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F4B" w:rsidRPr="00B25F4B" w:rsidRDefault="00B25F4B" w:rsidP="00B25F4B">
      <w:pPr>
        <w:pBdr>
          <w:top w:val="single" w:sz="6" w:space="6" w:color="CEE1EE"/>
          <w:bottom w:val="single" w:sz="6" w:space="6" w:color="E3EEF8"/>
        </w:pBdr>
        <w:shd w:val="clear" w:color="auto" w:fill="F7F7F7"/>
        <w:wordWrap w:val="0"/>
        <w:spacing w:before="100" w:beforeAutospacing="1" w:after="0" w:afterAutospacing="1" w:line="240" w:lineRule="auto"/>
        <w:outlineLvl w:val="2"/>
        <w:rPr>
          <w:rFonts w:ascii="Tahoma" w:eastAsia="Times New Roman" w:hAnsi="Tahoma" w:cs="Tahoma"/>
          <w:b/>
          <w:bCs/>
          <w:color w:val="333333"/>
          <w:sz w:val="18"/>
          <w:szCs w:val="18"/>
        </w:rPr>
      </w:pPr>
      <w:r w:rsidRPr="00B25F4B">
        <w:rPr>
          <w:rFonts w:ascii="SimSun" w:eastAsia="SimSun" w:hAnsi="SimSun" w:cs="SimSun" w:hint="eastAsia"/>
          <w:b/>
          <w:bCs/>
          <w:color w:val="333333"/>
        </w:rPr>
        <w:t>会计专业必备【会计学术语的中英对照</w:t>
      </w:r>
      <w:r w:rsidRPr="00B25F4B">
        <w:rPr>
          <w:rFonts w:ascii="Tahoma" w:eastAsia="Times New Roman" w:hAnsi="Tahoma" w:cs="Tahoma"/>
          <w:b/>
          <w:bCs/>
          <w:color w:val="333333"/>
        </w:rPr>
        <w:t xml:space="preserve"> </w:t>
      </w:r>
      <w:r w:rsidRPr="00B25F4B">
        <w:rPr>
          <w:rFonts w:ascii="SimSun" w:eastAsia="SimSun" w:hAnsi="SimSun" w:cs="SimSun" w:hint="eastAsia"/>
          <w:b/>
          <w:bCs/>
          <w:color w:val="333333"/>
        </w:rPr>
        <w:t>】</w:t>
      </w:r>
      <w:r w:rsidRPr="00B25F4B">
        <w:rPr>
          <w:rFonts w:ascii="Tahoma" w:eastAsia="Times New Roman" w:hAnsi="Tahoma" w:cs="Tahoma"/>
          <w:b/>
          <w:bCs/>
          <w:color w:val="333333"/>
          <w:sz w:val="18"/>
          <w:szCs w:val="18"/>
        </w:rPr>
        <w:t xml:space="preserve"> </w:t>
      </w:r>
    </w:p>
    <w:p w:rsidR="00B25F4B" w:rsidRPr="00B25F4B" w:rsidRDefault="00B25F4B" w:rsidP="00B25F4B">
      <w:pPr>
        <w:spacing w:after="192" w:line="240" w:lineRule="auto"/>
        <w:rPr>
          <w:rFonts w:ascii="Tahoma" w:eastAsia="Times New Roman" w:hAnsi="Tahoma" w:cs="Tahoma"/>
          <w:color w:val="333333"/>
          <w:sz w:val="21"/>
          <w:szCs w:val="21"/>
        </w:rPr>
      </w:pP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account payable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应付账款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bookmarkStart w:id="0" w:name="_GoBack"/>
      <w:bookmarkEnd w:id="0"/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account receivable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应收账款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accounting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会计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accounting equation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会计方程式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asset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资产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auditing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审计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balance sheet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资产负债表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capital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certified public accountant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注册会计师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corporation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公司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entity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主体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expense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费用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financial accounting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财务会计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financial statement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财务报表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generally accepted accounting principles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一般公认会计原则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income statement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损益表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liability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负债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management accounting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管理会计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net earnings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净盈余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net income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净利润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net loss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净损失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net profit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净利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note payable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应付票据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note receivable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应收票据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owner's equity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所有者权益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partnership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合伙企业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proprietorship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独资企业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revenue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收入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statement of cash flow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现金流量表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statement of earnings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盈余表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statement of operations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运营表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statement of owner's equity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所有者权益表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stockholder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股东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transaction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交易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account  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账户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chart of account  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会计科目表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credit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贷方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debit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借方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journal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日记帐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ledger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分类帐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posting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过帐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trial  balance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试算平衡表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accrual-basis accounting  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权责发生制会计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accrued expense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应计费用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lastRenderedPageBreak/>
        <w:t xml:space="preserve">accrued revenue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应计收入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accumulated depreciation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累计折旧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adjusted trial balance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调整后试算余额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adjusting entry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调整分录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book bvalue of a plant asset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固定资产账面净值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cash-basis accounting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现金收付制会计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contra account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备抵调整账户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depreciation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折旧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matching principle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配比原则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plant asset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固定资产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prepaid expense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待摊费用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revenue principle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收入原则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time-period concept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时间－期间概念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unearned revenue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未实现收入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balance between benefit and cost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收益与成本的平衡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balance sheet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资产负债表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balance sheet date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资产负债表日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balance sheet liability method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资产负债表负责法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bank overdrafts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银行透支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basic earnings per share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基本每股收益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beginning of the period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期初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benchmark treatments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基准处理方法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beneficiary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受益人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best estimate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最佳估计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bid bonds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投标保函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bid price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出价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bills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帐单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binding sale agreement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约束性销售协议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board of directors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董事会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bonus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奖金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;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红利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bonus issue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红股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bonus plan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奖金</w:t>
      </w:r>
      <w:hyperlink r:id="rId7" w:tgtFrame="_blank" w:history="1">
        <w:r w:rsidRPr="00B25F4B">
          <w:rPr>
            <w:rFonts w:ascii="SimSun" w:eastAsia="SimSun" w:hAnsi="SimSun" w:cs="SimSun" w:hint="eastAsia"/>
            <w:color w:val="4D4D4D"/>
            <w:sz w:val="24"/>
            <w:szCs w:val="24"/>
          </w:rPr>
          <w:t>计划</w:t>
        </w:r>
      </w:hyperlink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borrowing agreements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借款协议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borrowing cost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借款成本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bottom-up test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由下而上测试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branch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分支机构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brand name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商标名称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brokerage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经纪人佣金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;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经纪人业务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business combination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企业合并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business combination which is an acquisition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购买式企业合并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business segment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业务分部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buy back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回购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buying segment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采购分部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call option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看涨期权、买入期权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callable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可赎回的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callable debt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可赎回债券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>    cap (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利率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)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上限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capital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lastRenderedPageBreak/>
        <w:t xml:space="preserve">    capital approach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资本法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capital asset pricing model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资本资产定价模型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capital commitment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资本承诺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capital contributions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资本投入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capital gain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资本利得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capital maintenance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资本保全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capital transactions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资本交易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capitalisation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资本化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capitalization issues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资本化发行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capitalization rate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资本化比率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carry forward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结转后期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carry forward of unused tax credit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未利用的税款抵减结转后期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carry forward of unused tax losses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未利用的可抵扣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(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应税利润额的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)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亏损结转后期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carrying amount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账面金额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carrying back a tax loss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可抵扣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(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应税利润额的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)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亏损抵前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cash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现金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cash basis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收付实现制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cash equivalents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现金等价物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cash flow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现金流量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cash flow risk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现金流量风险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cash flow statements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现金流量表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cash generating unit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现金产出单元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cash in banks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银行存款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cash inflow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现金流入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cash on hand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库存现金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cash outflow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现金流出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certificates of deposit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存单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changes in accounting policies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会计政策变更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changes in financial position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财务状况变动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charge against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借记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;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计入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chief executive officer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首席执行官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行政总裁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总经理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class of assets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资产类别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classification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分类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归类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clearing house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清算所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closing rate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期末汇率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collateral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抵押品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collateralised borrowing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抵押借款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collectability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可收回性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collection cost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收帐费用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combination of shares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并股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combine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合并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combined entity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合并实体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combined result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合并经营结果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combining and segmenting construction contract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合并和分立的建造合同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combining enterprise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参与合并的企业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commission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佣金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commitment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承诺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lastRenderedPageBreak/>
        <w:t xml:space="preserve">    commitment fee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承诺费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承约费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commodity contract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商品合同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commodity future contract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商品期货合同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commodity-based contract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以商品为基础的合同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common share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普通股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comparability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可比性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comparable uncontrolled price method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不加控制的可比价格法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comparative period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比较期限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compensated absences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带薪缺勤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compensation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补偿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报酬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compound instrument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复合金融工具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computer software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计算机软件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concentration of credit risk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信用风险集中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concentration of risk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风险集中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consideration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对价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consistency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一致性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consolidated balance sheet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合并资产负债表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consolidated financial statements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合并财务报表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consolidated group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合并集团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consolidated income statement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合并收益表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consolidation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合并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consolidation of shares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并股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consolidation procedure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合并程序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constant rate of return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固定回报率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construction contract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建造合同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construction overhead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施工间接费用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constructive obligation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推定义务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consumable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易耗品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contingencies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或有事项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contingent asset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或有资产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contingent commitments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或有承诺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contingent gains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或有利得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contingent liabilities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或有负债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contingent losses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或有损失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contingent rental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或有租金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contingent issuable shares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或有可发行股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contract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合同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合约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contractor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承包商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contractual obligation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合同义务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contractual provision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合同条款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contractual right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合同权利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contribute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注资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出资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contribution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出资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提存金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control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控制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convention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惯例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conversion option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转换期权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conversion right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转换权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convert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转换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lastRenderedPageBreak/>
        <w:t xml:space="preserve">    convertible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可转换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convertible bonds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可转换债券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copyright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版权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corporate assets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总部资产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corridor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区间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 method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成本法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 of acquisition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购买成本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收买成本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购并成本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 of an investment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投资成本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 of conversion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加工成本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转换成本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 of disposal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处置成本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 of goods sold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销货成本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 of inventorise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存货成本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 of labor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人工成本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 of purchase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采购成本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 of sales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销售成本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 of sales method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销售成本法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 recovery approach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成本收回法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 saving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成本节省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cost-plus contract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成本加成合同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cost-plus method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成本加成法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 of acquisition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购买成本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 of meterial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材料成本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 of registering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注册费用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cost to complete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完工尚需发生的成本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counterparty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对应方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credit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贷记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;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贷项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credit facilities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信用便利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credit risk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信用风险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credit term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赊销期限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creditor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债权人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creditworthiness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信用可靠度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cumulative preference dividends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累计优先股股利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cumulative preferred share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累计优先股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currency risk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货币风险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currency swap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货币互换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currency translation differences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货币折算差额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current and expected profitability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当期和预期盈利能力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current assets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流动资产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current cost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现行成本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current cost approach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现行成本法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current cost financial statements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现行成本财务报表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current interest rate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现行利率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current investments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短期投资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current liabilities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流动负债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current obligation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现时义务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current period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当期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lastRenderedPageBreak/>
        <w:t xml:space="preserve">    current salary approch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当期工资法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current service cost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当期服务成本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current tax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当期税金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curtailment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缩减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customer loyalty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顾客信赖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顾客忠诚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Part 3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   date of acquisition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购买日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收买日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并购日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date of contribution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出资日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date of report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报告日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date of the valuation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评估日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day-to-day activity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日常活动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dealing securities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交易性证券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debt default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债务拖欠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debt instrument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债务性工具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debt security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债务性证券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debt-equity ratio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债务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-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权益比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decline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下跌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deductible temporary differences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可抵扣暂时性差异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default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违约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deferral method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递延法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deferred compensation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递延酬劳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deferred compensation arrangement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递延酬劳安排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deferred foreign exchange gain or loss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递延汇兑损益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deferred income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递延收益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deferred payment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递延付款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deferred payment terms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递延付款条件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deferred revenue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递延收入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deferred tax asset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递延所得税资产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deferred tax liabilities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递延所得税负债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deferred taxes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递延所得税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defined benefit liability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设定受益负债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defined benefit obligation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设定受益义务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defined benefit plans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设定受益</w:t>
      </w:r>
      <w:hyperlink r:id="rId8" w:tgtFrame="_blank" w:history="1">
        <w:r w:rsidRPr="00B25F4B">
          <w:rPr>
            <w:rFonts w:ascii="SimSun" w:eastAsia="SimSun" w:hAnsi="SimSun" w:cs="SimSun" w:hint="eastAsia"/>
            <w:color w:val="4D4D4D"/>
            <w:sz w:val="24"/>
            <w:szCs w:val="24"/>
          </w:rPr>
          <w:t>计划</w:t>
        </w:r>
      </w:hyperlink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defined contribution plans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设定提存</w:t>
      </w:r>
      <w:hyperlink r:id="rId9" w:tgtFrame="_blank" w:history="1">
        <w:r w:rsidRPr="00B25F4B">
          <w:rPr>
            <w:rFonts w:ascii="SimSun" w:eastAsia="SimSun" w:hAnsi="SimSun" w:cs="SimSun" w:hint="eastAsia"/>
            <w:color w:val="4D4D4D"/>
            <w:sz w:val="24"/>
            <w:szCs w:val="24"/>
          </w:rPr>
          <w:t>计划</w:t>
        </w:r>
      </w:hyperlink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degree of comparability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可比程度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delivery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交付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交割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交货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送达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demand deposits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活期存款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demonstrably committed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明确承诺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deposit withdrawal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提取存款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depreciable amount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应折旧金额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depreciable asset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应折旧资产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depreciation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折旧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depreciation method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折旧方法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depreciation rate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折旧率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derecognise (a financial instrument)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终止确认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(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某一金融工具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)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derecognition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终止确认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derivate financial instrument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衍生金融工具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lastRenderedPageBreak/>
        <w:t xml:space="preserve">    derivative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衍生工具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designate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指定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development costs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开发费用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development expenditure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开发支出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development phrase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开发阶段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diluted earnings per share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稀释每股收益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dilutive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稀释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  dilutive option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稀释选择权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dilutive potential ordinary share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稀释性潜在普通股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diminishing balance method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余额递减折旧法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direct effect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直接影响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direct increment costs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直接增量成本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direct investment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直接投资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direct labor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直接人工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direct method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直接法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direct relatonship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直接关系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directly attributable expenditure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可直接归属的支出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discharge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解脱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解除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disclose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披露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disclosure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披露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discontinued operations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已终止经营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discontinuing operation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终止经营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discount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折价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折扣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贴水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discount rate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折现率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disposal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处置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disposal consideration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处置收入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disposal of subsidiaries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子公司的处置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disposals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处置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distress sale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亏本销售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distribution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分配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分派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distribution costs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销售费用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分销费用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dividend income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股利收益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dividend receivable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应收股利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dividend yield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股利率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dividends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股利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dividends policy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股利政策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documentary credit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跟单信贷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downstream transactions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下游交易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下销交易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earnings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收益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earnings per share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每股收益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每股盈利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earnings-generating capacity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获利能力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economic benefits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经济利益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economic life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经济寿命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economic performance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经济业绩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effective date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生效日期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effective interest method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实际利率法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effective yield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实际收益率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eliminate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消除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lastRenderedPageBreak/>
        <w:t xml:space="preserve">    embedded derivative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嵌入衍生工具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employee benefit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雇员福利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employee benefit cost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雇员福利成本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employee share ownership plan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职工持股</w:t>
      </w:r>
      <w:hyperlink r:id="rId10" w:tgtFrame="_blank" w:history="1">
        <w:r w:rsidRPr="00B25F4B">
          <w:rPr>
            <w:rFonts w:ascii="SimSun" w:eastAsia="SimSun" w:hAnsi="SimSun" w:cs="SimSun" w:hint="eastAsia"/>
            <w:color w:val="4D4D4D"/>
            <w:sz w:val="24"/>
            <w:szCs w:val="24"/>
          </w:rPr>
          <w:t>计划</w:t>
        </w:r>
      </w:hyperlink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employee termination indemnity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辞退补偿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end of the period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期末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entity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实体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equity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权益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equity capital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权益资本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equity compensation benefits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权益计酬福利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equity compensation plans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权益计酬</w:t>
      </w:r>
      <w:hyperlink r:id="rId11" w:tgtFrame="_blank" w:history="1">
        <w:r w:rsidRPr="00B25F4B">
          <w:rPr>
            <w:rFonts w:ascii="SimSun" w:eastAsia="SimSun" w:hAnsi="SimSun" w:cs="SimSun" w:hint="eastAsia"/>
            <w:color w:val="4D4D4D"/>
            <w:sz w:val="24"/>
            <w:szCs w:val="24"/>
          </w:rPr>
          <w:t>计划</w:t>
        </w:r>
      </w:hyperlink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equity financial instrument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权益性金融工具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equity instruments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权益性工具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equity issue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股份发行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equity method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权益法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equity securities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权益性证券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estimated value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评估价值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evaluate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评价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>,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估价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events after the balance sheet date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资产负债表日后事项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exchange rate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汇率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exchange controls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外汇管制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exchange differences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汇兑差额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exchange loss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汇兑损失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exchange of assets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资产交换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br/>
        <w:t xml:space="preserve">    execution </w:t>
      </w:r>
      <w:r w:rsidRPr="00B25F4B">
        <w:rPr>
          <w:rFonts w:ascii="SimSun" w:eastAsia="SimSun" w:hAnsi="SimSun" w:cs="SimSun" w:hint="eastAsia"/>
          <w:color w:val="333333"/>
          <w:sz w:val="21"/>
          <w:szCs w:val="21"/>
        </w:rPr>
        <w:t>执行</w:t>
      </w:r>
      <w:r w:rsidRPr="00B25F4B">
        <w:rPr>
          <w:rFonts w:ascii="Tahoma" w:eastAsia="Times New Roman" w:hAnsi="Tahoma" w:cs="Tahoma"/>
          <w:color w:val="333333"/>
          <w:sz w:val="21"/>
          <w:szCs w:val="21"/>
        </w:rPr>
        <w:t xml:space="preserve"> </w:t>
      </w:r>
    </w:p>
    <w:p w:rsidR="001318A5" w:rsidRDefault="001318A5"/>
    <w:sectPr w:rsidR="001318A5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1CC" w:rsidRDefault="00BB41CC" w:rsidP="00842336">
      <w:pPr>
        <w:spacing w:after="0" w:line="240" w:lineRule="auto"/>
      </w:pPr>
      <w:r>
        <w:separator/>
      </w:r>
    </w:p>
  </w:endnote>
  <w:endnote w:type="continuationSeparator" w:id="0">
    <w:p w:rsidR="00BB41CC" w:rsidRDefault="00BB41CC" w:rsidP="0084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1CC" w:rsidRDefault="00BB41CC" w:rsidP="00842336">
      <w:pPr>
        <w:spacing w:after="0" w:line="240" w:lineRule="auto"/>
      </w:pPr>
      <w:r>
        <w:separator/>
      </w:r>
    </w:p>
  </w:footnote>
  <w:footnote w:type="continuationSeparator" w:id="0">
    <w:p w:rsidR="00BB41CC" w:rsidRDefault="00BB41CC" w:rsidP="00842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11401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42336" w:rsidRDefault="0084233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42336" w:rsidRDefault="008423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F4B"/>
    <w:rsid w:val="001318A5"/>
    <w:rsid w:val="00842336"/>
    <w:rsid w:val="00B25F4B"/>
    <w:rsid w:val="00BB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5F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5F4B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B25F4B"/>
    <w:rPr>
      <w:strike w:val="0"/>
      <w:dstrike w:val="0"/>
      <w:color w:val="336699"/>
      <w:u w:val="none"/>
      <w:effect w:val="none"/>
    </w:rPr>
  </w:style>
  <w:style w:type="character" w:customStyle="1" w:styleId="blog-legend">
    <w:name w:val="blog-legend"/>
    <w:basedOn w:val="DefaultParagraphFont"/>
    <w:rsid w:val="00B25F4B"/>
  </w:style>
  <w:style w:type="character" w:customStyle="1" w:styleId="name7">
    <w:name w:val="name7"/>
    <w:basedOn w:val="DefaultParagraphFont"/>
    <w:rsid w:val="00B25F4B"/>
  </w:style>
  <w:style w:type="paragraph" w:styleId="Header">
    <w:name w:val="header"/>
    <w:basedOn w:val="Normal"/>
    <w:link w:val="HeaderChar"/>
    <w:uiPriority w:val="99"/>
    <w:unhideWhenUsed/>
    <w:rsid w:val="0084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336"/>
  </w:style>
  <w:style w:type="paragraph" w:styleId="Footer">
    <w:name w:val="footer"/>
    <w:basedOn w:val="Normal"/>
    <w:link w:val="FooterChar"/>
    <w:uiPriority w:val="99"/>
    <w:unhideWhenUsed/>
    <w:rsid w:val="0084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336"/>
  </w:style>
  <w:style w:type="paragraph" w:styleId="BalloonText">
    <w:name w:val="Balloon Text"/>
    <w:basedOn w:val="Normal"/>
    <w:link w:val="BalloonTextChar"/>
    <w:uiPriority w:val="99"/>
    <w:semiHidden/>
    <w:unhideWhenUsed/>
    <w:rsid w:val="0084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5F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5F4B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B25F4B"/>
    <w:rPr>
      <w:strike w:val="0"/>
      <w:dstrike w:val="0"/>
      <w:color w:val="336699"/>
      <w:u w:val="none"/>
      <w:effect w:val="none"/>
    </w:rPr>
  </w:style>
  <w:style w:type="character" w:customStyle="1" w:styleId="blog-legend">
    <w:name w:val="blog-legend"/>
    <w:basedOn w:val="DefaultParagraphFont"/>
    <w:rsid w:val="00B25F4B"/>
  </w:style>
  <w:style w:type="character" w:customStyle="1" w:styleId="name7">
    <w:name w:val="name7"/>
    <w:basedOn w:val="DefaultParagraphFont"/>
    <w:rsid w:val="00B25F4B"/>
  </w:style>
  <w:style w:type="paragraph" w:styleId="Header">
    <w:name w:val="header"/>
    <w:basedOn w:val="Normal"/>
    <w:link w:val="HeaderChar"/>
    <w:uiPriority w:val="99"/>
    <w:unhideWhenUsed/>
    <w:rsid w:val="0084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336"/>
  </w:style>
  <w:style w:type="paragraph" w:styleId="Footer">
    <w:name w:val="footer"/>
    <w:basedOn w:val="Normal"/>
    <w:link w:val="FooterChar"/>
    <w:uiPriority w:val="99"/>
    <w:unhideWhenUsed/>
    <w:rsid w:val="0084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336"/>
  </w:style>
  <w:style w:type="paragraph" w:styleId="BalloonText">
    <w:name w:val="Balloon Text"/>
    <w:basedOn w:val="Normal"/>
    <w:link w:val="BalloonTextChar"/>
    <w:uiPriority w:val="99"/>
    <w:semiHidden/>
    <w:unhideWhenUsed/>
    <w:rsid w:val="0084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5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8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0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05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.3edu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.3edu.net/" TargetMode="Externa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j.3edu.ne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j.3edu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.3edu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10091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3</cp:revision>
  <cp:lastPrinted>2013-02-12T21:26:00Z</cp:lastPrinted>
  <dcterms:created xsi:type="dcterms:W3CDTF">2013-02-12T21:25:00Z</dcterms:created>
  <dcterms:modified xsi:type="dcterms:W3CDTF">2013-02-12T21:27:00Z</dcterms:modified>
</cp:coreProperties>
</file>