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7F6" w:rsidRPr="00071144" w:rsidRDefault="00F107F6" w:rsidP="00F107F6">
      <w:pPr>
        <w:jc w:val="both"/>
        <w:rPr>
          <w:b/>
          <w:noProof/>
          <w:snapToGrid w:val="0"/>
        </w:rPr>
      </w:pPr>
      <w:r w:rsidRPr="00071144">
        <w:rPr>
          <w:b/>
          <w:noProof/>
          <w:snapToGrid w:val="0"/>
        </w:rPr>
        <w:t xml:space="preserve">Problems – Please </w:t>
      </w:r>
      <w:r>
        <w:rPr>
          <w:b/>
          <w:noProof/>
          <w:snapToGrid w:val="0"/>
        </w:rPr>
        <w:t>Answer these on the provided</w:t>
      </w:r>
      <w:r w:rsidRPr="00071144">
        <w:rPr>
          <w:b/>
          <w:noProof/>
          <w:snapToGrid w:val="0"/>
        </w:rPr>
        <w:t xml:space="preserve"> workpapers</w:t>
      </w:r>
    </w:p>
    <w:p w:rsidR="00F107F6" w:rsidRDefault="00F107F6" w:rsidP="00F107F6">
      <w:pPr>
        <w:jc w:val="both"/>
        <w:rPr>
          <w:noProof/>
          <w:snapToGrid w:val="0"/>
        </w:rPr>
      </w:pPr>
    </w:p>
    <w:p w:rsidR="00F107F6" w:rsidRPr="00071144" w:rsidRDefault="00F107F6" w:rsidP="00F107F6">
      <w:pPr>
        <w:rPr>
          <w:snapToGrid w:val="0"/>
        </w:rPr>
      </w:pPr>
      <w:r w:rsidRPr="00071144">
        <w:rPr>
          <w:b/>
          <w:snapToGrid w:val="0"/>
        </w:rPr>
        <w:t xml:space="preserve">Problem </w:t>
      </w:r>
      <w:r>
        <w:rPr>
          <w:b/>
          <w:snapToGrid w:val="0"/>
        </w:rPr>
        <w:t>3</w:t>
      </w:r>
      <w:r>
        <w:rPr>
          <w:snapToGrid w:val="0"/>
        </w:rPr>
        <w:tab/>
      </w:r>
      <w:r w:rsidRPr="00071144">
        <w:rPr>
          <w:snapToGrid w:val="0"/>
        </w:rPr>
        <w:t>The following ledger accounts are used by the Matchbox Race Track, who’s advertising slogan is “Come have a little fun!</w:t>
      </w:r>
      <w:proofErr w:type="gramStart"/>
      <w:r w:rsidRPr="00071144">
        <w:rPr>
          <w:snapToGrid w:val="0"/>
        </w:rPr>
        <w:t>”:</w:t>
      </w:r>
      <w:proofErr w:type="gramEnd"/>
    </w:p>
    <w:p w:rsidR="00F107F6" w:rsidRPr="000C6756" w:rsidRDefault="00F107F6" w:rsidP="00F107F6">
      <w:pPr>
        <w:spacing w:before="120"/>
        <w:rPr>
          <w:snapToGrid w:val="0"/>
        </w:rPr>
      </w:pPr>
      <w:r w:rsidRPr="000C6756">
        <w:rPr>
          <w:snapToGrid w:val="0"/>
        </w:rPr>
        <w:tab/>
        <w:t>Accounts Receivable</w:t>
      </w:r>
    </w:p>
    <w:p w:rsidR="00F107F6" w:rsidRPr="000C6756" w:rsidRDefault="00F107F6" w:rsidP="00F107F6">
      <w:pPr>
        <w:rPr>
          <w:snapToGrid w:val="0"/>
        </w:rPr>
      </w:pPr>
      <w:r w:rsidRPr="000C6756">
        <w:rPr>
          <w:snapToGrid w:val="0"/>
        </w:rPr>
        <w:tab/>
        <w:t xml:space="preserve">Prepaid </w:t>
      </w:r>
      <w:r>
        <w:rPr>
          <w:snapToGrid w:val="0"/>
        </w:rPr>
        <w:t>Advertising</w:t>
      </w:r>
    </w:p>
    <w:p w:rsidR="00F107F6" w:rsidRPr="00183E63" w:rsidRDefault="00F107F6" w:rsidP="00F107F6">
      <w:pPr>
        <w:rPr>
          <w:snapToGrid w:val="0"/>
          <w:sz w:val="16"/>
          <w:szCs w:val="16"/>
        </w:rPr>
      </w:pPr>
      <w:r w:rsidRPr="000C6756">
        <w:rPr>
          <w:snapToGrid w:val="0"/>
        </w:rPr>
        <w:tab/>
        <w:t>Prepaid Rent</w:t>
      </w:r>
    </w:p>
    <w:p w:rsidR="00F107F6" w:rsidRPr="000C6756" w:rsidRDefault="00F107F6" w:rsidP="00F107F6">
      <w:pPr>
        <w:rPr>
          <w:snapToGrid w:val="0"/>
        </w:rPr>
      </w:pPr>
      <w:r w:rsidRPr="000C6756">
        <w:rPr>
          <w:snapToGrid w:val="0"/>
        </w:rPr>
        <w:tab/>
        <w:t xml:space="preserve">Unearned </w:t>
      </w:r>
      <w:r>
        <w:rPr>
          <w:snapToGrid w:val="0"/>
        </w:rPr>
        <w:t>Sales</w:t>
      </w:r>
      <w:r w:rsidRPr="000C6756">
        <w:rPr>
          <w:snapToGrid w:val="0"/>
        </w:rPr>
        <w:t xml:space="preserve"> Revenue</w:t>
      </w:r>
    </w:p>
    <w:p w:rsidR="00F107F6" w:rsidRPr="000C6756" w:rsidRDefault="00F107F6" w:rsidP="00F107F6">
      <w:pPr>
        <w:rPr>
          <w:snapToGrid w:val="0"/>
        </w:rPr>
      </w:pPr>
      <w:r w:rsidRPr="000C6756">
        <w:rPr>
          <w:snapToGrid w:val="0"/>
        </w:rPr>
        <w:tab/>
      </w:r>
      <w:r>
        <w:rPr>
          <w:snapToGrid w:val="0"/>
        </w:rPr>
        <w:t>Advertising</w:t>
      </w:r>
      <w:r w:rsidRPr="000C6756">
        <w:rPr>
          <w:snapToGrid w:val="0"/>
        </w:rPr>
        <w:t xml:space="preserve"> Expense</w:t>
      </w:r>
    </w:p>
    <w:p w:rsidR="00F107F6" w:rsidRPr="000C6756" w:rsidRDefault="00F107F6" w:rsidP="00F107F6">
      <w:pPr>
        <w:rPr>
          <w:snapToGrid w:val="0"/>
        </w:rPr>
      </w:pPr>
      <w:r w:rsidRPr="000C6756">
        <w:rPr>
          <w:snapToGrid w:val="0"/>
        </w:rPr>
        <w:tab/>
        <w:t>Rent Expense</w:t>
      </w:r>
    </w:p>
    <w:p w:rsidR="00F107F6" w:rsidRPr="000C6756" w:rsidRDefault="00F107F6" w:rsidP="00F107F6">
      <w:pPr>
        <w:rPr>
          <w:snapToGrid w:val="0"/>
        </w:rPr>
      </w:pPr>
      <w:r w:rsidRPr="000C6756">
        <w:rPr>
          <w:snapToGrid w:val="0"/>
        </w:rPr>
        <w:tab/>
      </w:r>
      <w:r>
        <w:rPr>
          <w:snapToGrid w:val="0"/>
        </w:rPr>
        <w:t>Sales</w:t>
      </w:r>
      <w:r w:rsidRPr="000C6756">
        <w:rPr>
          <w:snapToGrid w:val="0"/>
        </w:rPr>
        <w:t xml:space="preserve"> Revenue</w:t>
      </w:r>
    </w:p>
    <w:p w:rsidR="00F107F6" w:rsidRPr="00183E63" w:rsidRDefault="00F107F6" w:rsidP="00F107F6">
      <w:pPr>
        <w:rPr>
          <w:snapToGrid w:val="0"/>
          <w:sz w:val="16"/>
          <w:szCs w:val="16"/>
        </w:rPr>
      </w:pPr>
    </w:p>
    <w:p w:rsidR="00F107F6" w:rsidRPr="000C6756" w:rsidRDefault="00F107F6" w:rsidP="00F107F6">
      <w:pPr>
        <w:rPr>
          <w:snapToGrid w:val="0"/>
        </w:rPr>
      </w:pPr>
      <w:r w:rsidRPr="000C6756">
        <w:rPr>
          <w:b/>
          <w:snapToGrid w:val="0"/>
        </w:rPr>
        <w:t>Instructions</w:t>
      </w:r>
    </w:p>
    <w:p w:rsidR="00F107F6" w:rsidRDefault="00F107F6" w:rsidP="00F107F6">
      <w:pPr>
        <w:jc w:val="both"/>
        <w:rPr>
          <w:snapToGrid w:val="0"/>
        </w:rPr>
      </w:pPr>
      <w:r w:rsidRPr="000C6756">
        <w:rPr>
          <w:snapToGrid w:val="0"/>
        </w:rPr>
        <w:t xml:space="preserve">For each of </w:t>
      </w:r>
      <w:r>
        <w:rPr>
          <w:snapToGrid w:val="0"/>
        </w:rPr>
        <w:t>the following transactions</w:t>
      </w:r>
      <w:r w:rsidRPr="000C6756">
        <w:rPr>
          <w:snapToGrid w:val="0"/>
        </w:rPr>
        <w:t>, prepare the journal entry (if one is required) to record the initial transaction and then prepare the adjusting entry, if any, required on September 30, the end of the fiscal year.</w:t>
      </w:r>
      <w:r>
        <w:rPr>
          <w:snapToGrid w:val="0"/>
        </w:rPr>
        <w:t xml:space="preserve"> Show calculation for adjusting entries beneath the entries, for partial credit. </w:t>
      </w:r>
      <w:r>
        <w:rPr>
          <w:b/>
          <w:snapToGrid w:val="0"/>
        </w:rPr>
        <w:t>(20</w:t>
      </w:r>
      <w:r w:rsidRPr="00A9352E">
        <w:rPr>
          <w:b/>
          <w:snapToGrid w:val="0"/>
        </w:rPr>
        <w:t xml:space="preserve"> Points)</w:t>
      </w:r>
    </w:p>
    <w:p w:rsidR="00F107F6" w:rsidRPr="000C6756" w:rsidRDefault="00F107F6" w:rsidP="00F107F6">
      <w:pPr>
        <w:jc w:val="both"/>
        <w:rPr>
          <w:snapToGrid w:val="0"/>
        </w:rPr>
      </w:pPr>
    </w:p>
    <w:p w:rsidR="00F107F6" w:rsidRPr="000C6756" w:rsidRDefault="00F107F6" w:rsidP="00F107F6">
      <w:pPr>
        <w:ind w:left="504" w:hanging="504"/>
        <w:jc w:val="both"/>
        <w:rPr>
          <w:snapToGrid w:val="0"/>
        </w:rPr>
      </w:pPr>
      <w:r w:rsidRPr="000C6756">
        <w:rPr>
          <w:snapToGrid w:val="0"/>
        </w:rPr>
        <w:t>(a)</w:t>
      </w:r>
      <w:r w:rsidRPr="000C6756">
        <w:rPr>
          <w:snapToGrid w:val="0"/>
        </w:rPr>
        <w:tab/>
        <w:t>On September 1, paid rent on the track facility for three months, $</w:t>
      </w:r>
      <w:r>
        <w:rPr>
          <w:snapToGrid w:val="0"/>
        </w:rPr>
        <w:t>210</w:t>
      </w:r>
      <w:r w:rsidRPr="000C6756">
        <w:rPr>
          <w:snapToGrid w:val="0"/>
        </w:rPr>
        <w:t>,000.</w:t>
      </w:r>
    </w:p>
    <w:p w:rsidR="00F107F6" w:rsidRPr="000C6756" w:rsidRDefault="00F107F6" w:rsidP="00F107F6">
      <w:pPr>
        <w:ind w:left="504" w:hanging="504"/>
        <w:jc w:val="both"/>
        <w:rPr>
          <w:snapToGrid w:val="0"/>
        </w:rPr>
      </w:pPr>
      <w:r w:rsidRPr="000C6756">
        <w:rPr>
          <w:snapToGrid w:val="0"/>
        </w:rPr>
        <w:t>(b)</w:t>
      </w:r>
      <w:r w:rsidRPr="000C6756">
        <w:rPr>
          <w:snapToGrid w:val="0"/>
        </w:rPr>
        <w:tab/>
        <w:t>On September 1, sold season tickets for admission to the racetrack. The racing season is year-round with 25 racing days each month. Season ticket sales totaled $</w:t>
      </w:r>
      <w:r>
        <w:rPr>
          <w:snapToGrid w:val="0"/>
        </w:rPr>
        <w:t>960</w:t>
      </w:r>
      <w:r w:rsidRPr="000C6756">
        <w:rPr>
          <w:snapToGrid w:val="0"/>
        </w:rPr>
        <w:t>,000.</w:t>
      </w:r>
    </w:p>
    <w:p w:rsidR="00F107F6" w:rsidRPr="000C6756" w:rsidRDefault="00F107F6" w:rsidP="00F107F6">
      <w:pPr>
        <w:ind w:left="504" w:hanging="504"/>
        <w:jc w:val="both"/>
        <w:rPr>
          <w:snapToGrid w:val="0"/>
        </w:rPr>
      </w:pPr>
      <w:r w:rsidRPr="000C6756">
        <w:rPr>
          <w:snapToGrid w:val="0"/>
        </w:rPr>
        <w:t>(c)</w:t>
      </w:r>
      <w:r w:rsidRPr="000C6756">
        <w:rPr>
          <w:snapToGrid w:val="0"/>
        </w:rPr>
        <w:tab/>
        <w:t>On September 1, borrowed $3</w:t>
      </w:r>
      <w:r>
        <w:rPr>
          <w:snapToGrid w:val="0"/>
        </w:rPr>
        <w:t>5</w:t>
      </w:r>
      <w:r w:rsidRPr="000C6756">
        <w:rPr>
          <w:snapToGrid w:val="0"/>
        </w:rPr>
        <w:t>0,000 from First National Bank by issuing a 9% note payable due in three months.</w:t>
      </w:r>
    </w:p>
    <w:p w:rsidR="00F107F6" w:rsidRPr="000C6756" w:rsidRDefault="00F107F6" w:rsidP="00F107F6">
      <w:pPr>
        <w:ind w:left="504" w:hanging="504"/>
        <w:jc w:val="both"/>
        <w:rPr>
          <w:snapToGrid w:val="0"/>
        </w:rPr>
      </w:pPr>
      <w:r w:rsidRPr="000C6756">
        <w:rPr>
          <w:snapToGrid w:val="0"/>
        </w:rPr>
        <w:t>(d)</w:t>
      </w:r>
      <w:r w:rsidRPr="000C6756">
        <w:rPr>
          <w:snapToGrid w:val="0"/>
        </w:rPr>
        <w:tab/>
        <w:t xml:space="preserve">On September 5, </w:t>
      </w:r>
      <w:r>
        <w:rPr>
          <w:snapToGrid w:val="0"/>
        </w:rPr>
        <w:t>programs</w:t>
      </w:r>
      <w:r w:rsidRPr="000C6756">
        <w:rPr>
          <w:snapToGrid w:val="0"/>
        </w:rPr>
        <w:t xml:space="preserve"> for 20 racing days in September, 25 racing days in October, and 15 racing days in November were printed for $</w:t>
      </w:r>
      <w:r>
        <w:rPr>
          <w:snapToGrid w:val="0"/>
        </w:rPr>
        <w:t>3</w:t>
      </w:r>
      <w:r w:rsidRPr="000C6756">
        <w:rPr>
          <w:snapToGrid w:val="0"/>
        </w:rPr>
        <w:t>,</w:t>
      </w:r>
      <w:r>
        <w:rPr>
          <w:snapToGrid w:val="0"/>
        </w:rPr>
        <w:t>0</w:t>
      </w:r>
      <w:r w:rsidRPr="000C6756">
        <w:rPr>
          <w:snapToGrid w:val="0"/>
        </w:rPr>
        <w:t>00.</w:t>
      </w:r>
      <w:r>
        <w:rPr>
          <w:snapToGrid w:val="0"/>
        </w:rPr>
        <w:t xml:space="preserve"> (Hint – Calculate printing cost per racing day)</w:t>
      </w:r>
    </w:p>
    <w:p w:rsidR="00F107F6" w:rsidRDefault="00F107F6">
      <w:pPr>
        <w:spacing w:after="200" w:line="276" w:lineRule="auto"/>
        <w:rPr>
          <w:rFonts w:cs="Arial"/>
          <w:b/>
          <w:szCs w:val="22"/>
        </w:rPr>
      </w:pPr>
      <w:r>
        <w:rPr>
          <w:rFonts w:cs="Arial"/>
          <w:b/>
          <w:szCs w:val="22"/>
        </w:rPr>
        <w:br w:type="page"/>
      </w:r>
    </w:p>
    <w:p w:rsidR="00F107F6" w:rsidRPr="0069594F" w:rsidRDefault="00F107F6" w:rsidP="00F107F6">
      <w:pPr>
        <w:tabs>
          <w:tab w:val="decimal" w:pos="360"/>
        </w:tabs>
        <w:rPr>
          <w:rFonts w:cs="Arial"/>
          <w:szCs w:val="22"/>
        </w:rPr>
      </w:pPr>
      <w:r w:rsidRPr="0069594F">
        <w:rPr>
          <w:rFonts w:cs="Arial"/>
          <w:b/>
          <w:szCs w:val="22"/>
        </w:rPr>
        <w:lastRenderedPageBreak/>
        <w:t>Problem 5</w:t>
      </w:r>
      <w:r>
        <w:rPr>
          <w:rFonts w:cs="Arial"/>
          <w:szCs w:val="22"/>
        </w:rPr>
        <w:tab/>
      </w:r>
      <w:r w:rsidRPr="0069594F">
        <w:rPr>
          <w:rFonts w:cs="Arial"/>
          <w:szCs w:val="22"/>
        </w:rPr>
        <w:t>Team Jacob, Inc. provides security services in the Pacific Northwest.  The following items are taken from its General Ledger, after all adjustments have been made, for the year ending December 31, 2013:</w:t>
      </w:r>
    </w:p>
    <w:p w:rsidR="00F107F6" w:rsidRDefault="00F107F6" w:rsidP="00F107F6">
      <w:pPr>
        <w:tabs>
          <w:tab w:val="right" w:pos="7920"/>
        </w:tabs>
        <w:spacing w:before="120"/>
        <w:ind w:left="634"/>
        <w:rPr>
          <w:rFonts w:cs="Arial"/>
          <w:szCs w:val="22"/>
        </w:rPr>
      </w:pPr>
      <w:r>
        <w:rPr>
          <w:rFonts w:cs="Arial"/>
          <w:szCs w:val="22"/>
        </w:rPr>
        <w:t>Accounts payable</w:t>
      </w:r>
      <w:r>
        <w:rPr>
          <w:rFonts w:cs="Arial"/>
          <w:szCs w:val="22"/>
        </w:rPr>
        <w:tab/>
      </w:r>
      <w:proofErr w:type="gramStart"/>
      <w:r>
        <w:rPr>
          <w:rFonts w:cs="Arial"/>
          <w:szCs w:val="22"/>
        </w:rPr>
        <w:t>$  19,000</w:t>
      </w:r>
      <w:proofErr w:type="gramEnd"/>
    </w:p>
    <w:p w:rsidR="00F107F6" w:rsidRDefault="00F107F6" w:rsidP="00F107F6">
      <w:pPr>
        <w:tabs>
          <w:tab w:val="right" w:pos="7920"/>
        </w:tabs>
        <w:ind w:left="630"/>
        <w:rPr>
          <w:rFonts w:cs="Arial"/>
          <w:szCs w:val="22"/>
        </w:rPr>
      </w:pPr>
      <w:r>
        <w:rPr>
          <w:rFonts w:cs="Arial"/>
          <w:szCs w:val="22"/>
        </w:rPr>
        <w:t>Accounts receivable</w:t>
      </w:r>
      <w:r>
        <w:rPr>
          <w:rFonts w:cs="Arial"/>
          <w:szCs w:val="22"/>
        </w:rPr>
        <w:tab/>
        <w:t>11,000</w:t>
      </w:r>
    </w:p>
    <w:p w:rsidR="00F107F6" w:rsidRDefault="00F107F6" w:rsidP="00F107F6">
      <w:pPr>
        <w:tabs>
          <w:tab w:val="right" w:pos="7920"/>
        </w:tabs>
        <w:ind w:left="630"/>
        <w:rPr>
          <w:rFonts w:cs="Arial"/>
          <w:szCs w:val="22"/>
        </w:rPr>
      </w:pPr>
      <w:r>
        <w:rPr>
          <w:rFonts w:cs="Arial"/>
          <w:szCs w:val="22"/>
        </w:rPr>
        <w:t>Accumulated depreciation – equipment</w:t>
      </w:r>
      <w:r>
        <w:rPr>
          <w:rFonts w:cs="Arial"/>
          <w:szCs w:val="22"/>
        </w:rPr>
        <w:tab/>
        <w:t>28,000</w:t>
      </w:r>
    </w:p>
    <w:p w:rsidR="00F107F6" w:rsidRDefault="00F107F6" w:rsidP="00F107F6">
      <w:pPr>
        <w:tabs>
          <w:tab w:val="right" w:pos="7920"/>
        </w:tabs>
        <w:ind w:left="630"/>
        <w:rPr>
          <w:rFonts w:cs="Arial"/>
          <w:szCs w:val="22"/>
        </w:rPr>
      </w:pPr>
      <w:r>
        <w:rPr>
          <w:rFonts w:cs="Arial"/>
          <w:szCs w:val="22"/>
        </w:rPr>
        <w:t>Advertising expense</w:t>
      </w:r>
      <w:r>
        <w:rPr>
          <w:rFonts w:cs="Arial"/>
          <w:szCs w:val="22"/>
        </w:rPr>
        <w:tab/>
        <w:t>21,000</w:t>
      </w:r>
    </w:p>
    <w:p w:rsidR="00F107F6" w:rsidRDefault="00F107F6" w:rsidP="00F107F6">
      <w:pPr>
        <w:tabs>
          <w:tab w:val="right" w:pos="7920"/>
        </w:tabs>
        <w:ind w:left="630"/>
        <w:rPr>
          <w:rFonts w:cs="Arial"/>
          <w:szCs w:val="22"/>
        </w:rPr>
      </w:pPr>
      <w:r>
        <w:rPr>
          <w:rFonts w:cs="Arial"/>
          <w:szCs w:val="22"/>
        </w:rPr>
        <w:t>Cash</w:t>
      </w:r>
      <w:r>
        <w:rPr>
          <w:rFonts w:cs="Arial"/>
          <w:szCs w:val="22"/>
        </w:rPr>
        <w:tab/>
        <w:t>11,000</w:t>
      </w:r>
    </w:p>
    <w:p w:rsidR="00F107F6" w:rsidRDefault="00F107F6" w:rsidP="00F107F6">
      <w:pPr>
        <w:tabs>
          <w:tab w:val="right" w:pos="7920"/>
        </w:tabs>
        <w:ind w:left="630"/>
        <w:rPr>
          <w:rFonts w:cs="Arial"/>
          <w:szCs w:val="22"/>
        </w:rPr>
      </w:pPr>
      <w:r>
        <w:rPr>
          <w:rFonts w:cs="Arial"/>
          <w:szCs w:val="22"/>
        </w:rPr>
        <w:t>Common stock</w:t>
      </w:r>
      <w:r>
        <w:rPr>
          <w:rFonts w:cs="Arial"/>
          <w:szCs w:val="22"/>
        </w:rPr>
        <w:tab/>
        <w:t>40,000</w:t>
      </w:r>
    </w:p>
    <w:p w:rsidR="00F107F6" w:rsidRDefault="00F107F6" w:rsidP="00F107F6">
      <w:pPr>
        <w:tabs>
          <w:tab w:val="right" w:pos="7920"/>
        </w:tabs>
        <w:ind w:left="630"/>
        <w:rPr>
          <w:rFonts w:cs="Arial"/>
          <w:szCs w:val="22"/>
        </w:rPr>
      </w:pPr>
      <w:r>
        <w:rPr>
          <w:rFonts w:cs="Arial"/>
          <w:szCs w:val="22"/>
        </w:rPr>
        <w:t>Dividends</w:t>
      </w:r>
      <w:r>
        <w:rPr>
          <w:rFonts w:cs="Arial"/>
          <w:szCs w:val="22"/>
        </w:rPr>
        <w:tab/>
        <w:t>14,000</w:t>
      </w:r>
    </w:p>
    <w:p w:rsidR="00F107F6" w:rsidRDefault="00F107F6" w:rsidP="00F107F6">
      <w:pPr>
        <w:tabs>
          <w:tab w:val="right" w:pos="7920"/>
        </w:tabs>
        <w:ind w:left="630"/>
        <w:rPr>
          <w:rFonts w:cs="Arial"/>
          <w:szCs w:val="22"/>
        </w:rPr>
      </w:pPr>
      <w:r>
        <w:rPr>
          <w:rFonts w:cs="Arial"/>
          <w:szCs w:val="22"/>
        </w:rPr>
        <w:t>Depreciation expense</w:t>
      </w:r>
      <w:r>
        <w:rPr>
          <w:rFonts w:cs="Arial"/>
          <w:szCs w:val="22"/>
        </w:rPr>
        <w:tab/>
        <w:t>12,000</w:t>
      </w:r>
    </w:p>
    <w:p w:rsidR="00F107F6" w:rsidRDefault="00F107F6" w:rsidP="00F107F6">
      <w:pPr>
        <w:tabs>
          <w:tab w:val="right" w:pos="7920"/>
        </w:tabs>
        <w:ind w:left="630"/>
        <w:rPr>
          <w:rFonts w:cs="Arial"/>
          <w:szCs w:val="22"/>
        </w:rPr>
      </w:pPr>
      <w:r>
        <w:rPr>
          <w:rFonts w:cs="Arial"/>
          <w:szCs w:val="22"/>
        </w:rPr>
        <w:t>Insurance expense</w:t>
      </w:r>
      <w:r>
        <w:rPr>
          <w:rFonts w:cs="Arial"/>
          <w:szCs w:val="22"/>
        </w:rPr>
        <w:tab/>
        <w:t>3,000</w:t>
      </w:r>
    </w:p>
    <w:p w:rsidR="00F107F6" w:rsidRDefault="00F107F6" w:rsidP="00F107F6">
      <w:pPr>
        <w:tabs>
          <w:tab w:val="right" w:pos="7920"/>
        </w:tabs>
        <w:ind w:left="630"/>
        <w:rPr>
          <w:rFonts w:cs="Arial"/>
          <w:szCs w:val="22"/>
        </w:rPr>
      </w:pPr>
      <w:r>
        <w:rPr>
          <w:rFonts w:cs="Arial"/>
          <w:szCs w:val="22"/>
        </w:rPr>
        <w:t>Note payable, due 6/30/14</w:t>
      </w:r>
      <w:r>
        <w:rPr>
          <w:rFonts w:cs="Arial"/>
          <w:szCs w:val="22"/>
        </w:rPr>
        <w:tab/>
        <w:t>70,000</w:t>
      </w:r>
    </w:p>
    <w:p w:rsidR="00F107F6" w:rsidRDefault="00F107F6" w:rsidP="00F107F6">
      <w:pPr>
        <w:tabs>
          <w:tab w:val="right" w:pos="7920"/>
        </w:tabs>
        <w:ind w:left="630"/>
        <w:rPr>
          <w:rFonts w:cs="Arial"/>
          <w:szCs w:val="22"/>
        </w:rPr>
      </w:pPr>
      <w:r>
        <w:rPr>
          <w:rFonts w:cs="Arial"/>
          <w:szCs w:val="22"/>
        </w:rPr>
        <w:t>Prepaid insurance (12-month policy)</w:t>
      </w:r>
      <w:r>
        <w:rPr>
          <w:rFonts w:cs="Arial"/>
          <w:szCs w:val="22"/>
        </w:rPr>
        <w:tab/>
        <w:t>6,000</w:t>
      </w:r>
    </w:p>
    <w:p w:rsidR="00F107F6" w:rsidRDefault="00F107F6" w:rsidP="00F107F6">
      <w:pPr>
        <w:tabs>
          <w:tab w:val="right" w:pos="7920"/>
        </w:tabs>
        <w:ind w:left="630"/>
        <w:rPr>
          <w:rFonts w:cs="Arial"/>
          <w:szCs w:val="22"/>
        </w:rPr>
      </w:pPr>
      <w:r>
        <w:rPr>
          <w:rFonts w:cs="Arial"/>
          <w:szCs w:val="22"/>
        </w:rPr>
        <w:t>Rent expense</w:t>
      </w:r>
      <w:r>
        <w:rPr>
          <w:rFonts w:cs="Arial"/>
          <w:szCs w:val="22"/>
        </w:rPr>
        <w:tab/>
        <w:t>17,000</w:t>
      </w:r>
    </w:p>
    <w:p w:rsidR="00F107F6" w:rsidRDefault="00F107F6" w:rsidP="00F107F6">
      <w:pPr>
        <w:tabs>
          <w:tab w:val="right" w:pos="7920"/>
        </w:tabs>
        <w:ind w:left="630"/>
        <w:rPr>
          <w:rFonts w:cs="Arial"/>
          <w:szCs w:val="22"/>
        </w:rPr>
      </w:pPr>
      <w:r>
        <w:rPr>
          <w:rFonts w:cs="Arial"/>
          <w:szCs w:val="22"/>
        </w:rPr>
        <w:t>Retained earnings (1/1/13)</w:t>
      </w:r>
      <w:r>
        <w:rPr>
          <w:rFonts w:cs="Arial"/>
          <w:szCs w:val="22"/>
        </w:rPr>
        <w:tab/>
        <w:t>65,000</w:t>
      </w:r>
    </w:p>
    <w:p w:rsidR="00F107F6" w:rsidRDefault="00F107F6" w:rsidP="00F107F6">
      <w:pPr>
        <w:tabs>
          <w:tab w:val="right" w:pos="7920"/>
        </w:tabs>
        <w:ind w:left="630"/>
        <w:rPr>
          <w:rFonts w:cs="Arial"/>
          <w:szCs w:val="22"/>
        </w:rPr>
      </w:pPr>
      <w:r>
        <w:rPr>
          <w:rFonts w:cs="Arial"/>
          <w:szCs w:val="22"/>
        </w:rPr>
        <w:t xml:space="preserve">Salaries </w:t>
      </w:r>
      <w:r>
        <w:rPr>
          <w:noProof/>
          <w:snapToGrid w:val="0"/>
        </w:rPr>
        <w:t xml:space="preserve">and wages </w:t>
      </w:r>
      <w:r>
        <w:rPr>
          <w:rFonts w:cs="Arial"/>
          <w:szCs w:val="22"/>
        </w:rPr>
        <w:t>expense</w:t>
      </w:r>
      <w:r>
        <w:rPr>
          <w:rFonts w:cs="Arial"/>
          <w:szCs w:val="22"/>
        </w:rPr>
        <w:tab/>
        <w:t>32,000</w:t>
      </w:r>
    </w:p>
    <w:p w:rsidR="00F107F6" w:rsidRDefault="00F107F6" w:rsidP="00F107F6">
      <w:pPr>
        <w:tabs>
          <w:tab w:val="right" w:pos="7920"/>
        </w:tabs>
        <w:ind w:left="630"/>
        <w:rPr>
          <w:rFonts w:cs="Arial"/>
          <w:szCs w:val="22"/>
        </w:rPr>
      </w:pPr>
      <w:r>
        <w:rPr>
          <w:rFonts w:cs="Arial"/>
          <w:szCs w:val="22"/>
        </w:rPr>
        <w:t>Service revenue</w:t>
      </w:r>
      <w:r>
        <w:rPr>
          <w:rFonts w:cs="Arial"/>
          <w:szCs w:val="22"/>
        </w:rPr>
        <w:tab/>
        <w:t>125,000</w:t>
      </w:r>
    </w:p>
    <w:p w:rsidR="00F107F6" w:rsidRDefault="00F107F6" w:rsidP="00F107F6">
      <w:pPr>
        <w:tabs>
          <w:tab w:val="right" w:pos="7920"/>
        </w:tabs>
        <w:ind w:left="630"/>
        <w:rPr>
          <w:rFonts w:cs="Arial"/>
          <w:szCs w:val="22"/>
        </w:rPr>
      </w:pPr>
      <w:r>
        <w:rPr>
          <w:rFonts w:cs="Arial"/>
          <w:szCs w:val="22"/>
        </w:rPr>
        <w:t>Supplies Inventory</w:t>
      </w:r>
      <w:r>
        <w:rPr>
          <w:rFonts w:cs="Arial"/>
          <w:szCs w:val="22"/>
        </w:rPr>
        <w:tab/>
        <w:t>4,000</w:t>
      </w:r>
    </w:p>
    <w:p w:rsidR="00F107F6" w:rsidRDefault="00F107F6" w:rsidP="00F107F6">
      <w:pPr>
        <w:tabs>
          <w:tab w:val="right" w:pos="7920"/>
        </w:tabs>
        <w:ind w:left="630"/>
        <w:rPr>
          <w:rFonts w:cs="Arial"/>
          <w:szCs w:val="22"/>
        </w:rPr>
      </w:pPr>
      <w:r>
        <w:rPr>
          <w:rFonts w:cs="Arial"/>
          <w:szCs w:val="22"/>
        </w:rPr>
        <w:t>Supplies expense</w:t>
      </w:r>
      <w:r>
        <w:rPr>
          <w:rFonts w:cs="Arial"/>
          <w:szCs w:val="22"/>
        </w:rPr>
        <w:tab/>
        <w:t>6,000</w:t>
      </w:r>
    </w:p>
    <w:p w:rsidR="00F107F6" w:rsidRDefault="00F107F6" w:rsidP="00F107F6">
      <w:pPr>
        <w:tabs>
          <w:tab w:val="right" w:pos="7920"/>
        </w:tabs>
        <w:ind w:left="630"/>
        <w:rPr>
          <w:rFonts w:cs="Arial"/>
          <w:szCs w:val="22"/>
        </w:rPr>
      </w:pPr>
      <w:r>
        <w:rPr>
          <w:rFonts w:cs="Arial"/>
          <w:szCs w:val="22"/>
        </w:rPr>
        <w:t>Equipment</w:t>
      </w:r>
      <w:r>
        <w:rPr>
          <w:rFonts w:cs="Arial"/>
          <w:szCs w:val="22"/>
        </w:rPr>
        <w:tab/>
        <w:t>210,000</w:t>
      </w:r>
    </w:p>
    <w:p w:rsidR="00F107F6" w:rsidRDefault="00F107F6" w:rsidP="00F107F6"/>
    <w:p w:rsidR="00F107F6" w:rsidRPr="0069594F" w:rsidRDefault="00F107F6" w:rsidP="00F107F6">
      <w:pPr>
        <w:pStyle w:val="ListParagraph"/>
        <w:numPr>
          <w:ilvl w:val="0"/>
          <w:numId w:val="1"/>
        </w:numPr>
      </w:pPr>
      <w:r>
        <w:t xml:space="preserve">Prepare a Trial Balance as of December 31, 2013 (Hint – It may be helpful to note here if each item is Asset, Liability, </w:t>
      </w:r>
      <w:proofErr w:type="spellStart"/>
      <w:r>
        <w:t>SHEq</w:t>
      </w:r>
      <w:proofErr w:type="spellEnd"/>
      <w:r>
        <w:t xml:space="preserve">, Revenue or Expense, and if each amount will be a Debit or Credit) </w:t>
      </w:r>
      <w:r>
        <w:rPr>
          <w:b/>
        </w:rPr>
        <w:t>(9</w:t>
      </w:r>
      <w:r w:rsidRPr="0069594F">
        <w:rPr>
          <w:b/>
        </w:rPr>
        <w:t xml:space="preserve"> points)</w:t>
      </w:r>
    </w:p>
    <w:p w:rsidR="00F107F6" w:rsidRDefault="00F107F6" w:rsidP="00F107F6">
      <w:pPr>
        <w:pStyle w:val="ListParagraph"/>
      </w:pPr>
    </w:p>
    <w:p w:rsidR="00F107F6" w:rsidRDefault="00F107F6" w:rsidP="00F107F6">
      <w:pPr>
        <w:pStyle w:val="ListParagraph"/>
        <w:numPr>
          <w:ilvl w:val="0"/>
          <w:numId w:val="1"/>
        </w:numPr>
      </w:pPr>
      <w:r>
        <w:t xml:space="preserve">Prepare the financial statements, including proper headings, to present to Team Jacob’s management.  Don’t be too concerned, their bark is worse than their bite. </w:t>
      </w:r>
      <w:r w:rsidRPr="00A275FA">
        <w:rPr>
          <w:b/>
        </w:rPr>
        <w:t>(18 points)</w:t>
      </w:r>
    </w:p>
    <w:p w:rsidR="00F107F6" w:rsidRDefault="00F107F6" w:rsidP="00F107F6"/>
    <w:p w:rsidR="00F107F6" w:rsidRDefault="00F107F6" w:rsidP="00F107F6"/>
    <w:p w:rsidR="00E255E7" w:rsidRDefault="00E255E7"/>
    <w:sectPr w:rsidR="00E255E7" w:rsidSect="00E255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E6E63"/>
    <w:multiLevelType w:val="hybridMultilevel"/>
    <w:tmpl w:val="6816AD42"/>
    <w:lvl w:ilvl="0" w:tplc="5378AB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7F6"/>
    <w:rsid w:val="007138D2"/>
    <w:rsid w:val="008E1813"/>
    <w:rsid w:val="00A75243"/>
    <w:rsid w:val="00AD7B98"/>
    <w:rsid w:val="00E255E7"/>
    <w:rsid w:val="00F10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7F6"/>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Bennington</dc:creator>
  <cp:lastModifiedBy>Tom Bennington</cp:lastModifiedBy>
  <cp:revision>2</cp:revision>
  <dcterms:created xsi:type="dcterms:W3CDTF">2013-02-27T01:56:00Z</dcterms:created>
  <dcterms:modified xsi:type="dcterms:W3CDTF">2013-02-27T01:56:00Z</dcterms:modified>
</cp:coreProperties>
</file>