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FD6" w:rsidRDefault="00726BF7" w:rsidP="00726BF7">
      <w:pPr>
        <w:jc w:val="center"/>
        <w:rPr>
          <w:rFonts w:ascii="Tahoma" w:eastAsia="Times New Roman" w:hAnsi="Tahoma" w:cs="Tahoma"/>
          <w:b/>
          <w:bCs/>
          <w:color w:val="222222"/>
          <w:sz w:val="27"/>
          <w:szCs w:val="27"/>
        </w:rPr>
      </w:pPr>
      <w:r w:rsidRPr="007F0423">
        <w:rPr>
          <w:rFonts w:ascii="Tahoma" w:eastAsia="Times New Roman" w:hAnsi="Tahoma" w:cs="Tahoma"/>
          <w:b/>
          <w:bCs/>
          <w:color w:val="222222"/>
          <w:sz w:val="27"/>
          <w:szCs w:val="27"/>
        </w:rPr>
        <w:t>Compound Triggers</w:t>
      </w:r>
    </w:p>
    <w:p w:rsidR="008153E1" w:rsidRDefault="00726BF7" w:rsidP="00DE3C5F">
      <w:pPr>
        <w:rPr>
          <w:rFonts w:ascii="Tahoma" w:eastAsia="Times New Roman" w:hAnsi="Tahoma" w:cs="Tahoma"/>
          <w:color w:val="222222"/>
        </w:rPr>
      </w:pPr>
      <w:r w:rsidRPr="000F0BE5">
        <w:rPr>
          <w:rFonts w:ascii="Tahoma" w:eastAsia="Times New Roman" w:hAnsi="Tahoma" w:cs="Tahoma"/>
          <w:color w:val="222222"/>
        </w:rPr>
        <w:t>Compound trigger</w:t>
      </w:r>
      <w:r w:rsidR="00F21D7D" w:rsidRPr="000F0BE5">
        <w:rPr>
          <w:rFonts w:ascii="Tahoma" w:eastAsia="Times New Roman" w:hAnsi="Tahoma" w:cs="Tahoma"/>
          <w:color w:val="222222"/>
        </w:rPr>
        <w:t>s were</w:t>
      </w:r>
      <w:r w:rsidRPr="000F0BE5">
        <w:rPr>
          <w:rFonts w:ascii="Tahoma" w:eastAsia="Times New Roman" w:hAnsi="Tahoma" w:cs="Tahoma"/>
          <w:color w:val="222222"/>
        </w:rPr>
        <w:t xml:space="preserve"> introduced for the first time is</w:t>
      </w:r>
      <w:r w:rsidR="00F21D7D" w:rsidRPr="000F0BE5">
        <w:rPr>
          <w:rFonts w:ascii="Tahoma" w:eastAsia="Times New Roman" w:hAnsi="Tahoma" w:cs="Tahoma"/>
          <w:color w:val="222222"/>
        </w:rPr>
        <w:t xml:space="preserve"> in Oracle 11g. </w:t>
      </w:r>
      <w:r w:rsidR="00DE3C5F" w:rsidRPr="00DE3C5F">
        <w:rPr>
          <w:rFonts w:ascii="Tahoma" w:eastAsia="Times New Roman" w:hAnsi="Tahoma" w:cs="Tahoma"/>
          <w:color w:val="222222"/>
        </w:rPr>
        <w:t>A compound trigger is a single trigger on a table that enables you to specify actions</w:t>
      </w:r>
      <w:r w:rsidR="00DE3C5F">
        <w:rPr>
          <w:rFonts w:ascii="Tahoma" w:eastAsia="Times New Roman" w:hAnsi="Tahoma" w:cs="Tahoma"/>
          <w:color w:val="222222"/>
        </w:rPr>
        <w:t xml:space="preserve"> for each of four timing points</w:t>
      </w:r>
      <w:r w:rsidR="008153E1">
        <w:rPr>
          <w:rFonts w:ascii="Tahoma" w:eastAsia="Times New Roman" w:hAnsi="Tahoma" w:cs="Tahoma"/>
          <w:color w:val="222222"/>
        </w:rPr>
        <w:t>:</w:t>
      </w:r>
    </w:p>
    <w:p w:rsidR="008153E1" w:rsidRPr="008153E1" w:rsidRDefault="008153E1" w:rsidP="008153E1">
      <w:pPr>
        <w:pStyle w:val="ListParagraph"/>
        <w:numPr>
          <w:ilvl w:val="0"/>
          <w:numId w:val="1"/>
        </w:numPr>
        <w:rPr>
          <w:rFonts w:ascii="Tahoma" w:eastAsia="Times New Roman" w:hAnsi="Tahoma" w:cs="Tahoma"/>
          <w:color w:val="222222"/>
        </w:rPr>
      </w:pPr>
      <w:r w:rsidRPr="008153E1">
        <w:rPr>
          <w:rFonts w:ascii="Tahoma" w:eastAsia="Times New Roman" w:hAnsi="Tahoma" w:cs="Tahoma"/>
          <w:color w:val="222222"/>
        </w:rPr>
        <w:t>Before the firing statement</w:t>
      </w:r>
    </w:p>
    <w:p w:rsidR="008153E1" w:rsidRPr="008153E1" w:rsidRDefault="008153E1" w:rsidP="008153E1">
      <w:pPr>
        <w:pStyle w:val="ListParagraph"/>
        <w:numPr>
          <w:ilvl w:val="0"/>
          <w:numId w:val="1"/>
        </w:numPr>
        <w:rPr>
          <w:rFonts w:ascii="Tahoma" w:eastAsia="Times New Roman" w:hAnsi="Tahoma" w:cs="Tahoma"/>
          <w:color w:val="222222"/>
        </w:rPr>
      </w:pPr>
      <w:r w:rsidRPr="008153E1">
        <w:rPr>
          <w:rFonts w:ascii="Tahoma" w:eastAsia="Times New Roman" w:hAnsi="Tahoma" w:cs="Tahoma"/>
          <w:color w:val="222222"/>
        </w:rPr>
        <w:t>Before each row that the firing statement affects</w:t>
      </w:r>
    </w:p>
    <w:p w:rsidR="008153E1" w:rsidRPr="008153E1" w:rsidRDefault="008153E1" w:rsidP="008153E1">
      <w:pPr>
        <w:pStyle w:val="ListParagraph"/>
        <w:numPr>
          <w:ilvl w:val="0"/>
          <w:numId w:val="1"/>
        </w:numPr>
        <w:rPr>
          <w:rFonts w:ascii="Tahoma" w:eastAsia="Times New Roman" w:hAnsi="Tahoma" w:cs="Tahoma"/>
          <w:color w:val="222222"/>
        </w:rPr>
      </w:pPr>
      <w:r w:rsidRPr="008153E1">
        <w:rPr>
          <w:rFonts w:ascii="Tahoma" w:eastAsia="Times New Roman" w:hAnsi="Tahoma" w:cs="Tahoma"/>
          <w:color w:val="222222"/>
        </w:rPr>
        <w:t>After each row that the firing statement affects</w:t>
      </w:r>
    </w:p>
    <w:p w:rsidR="008153E1" w:rsidRDefault="008153E1" w:rsidP="008153E1">
      <w:pPr>
        <w:pStyle w:val="ListParagraph"/>
        <w:numPr>
          <w:ilvl w:val="0"/>
          <w:numId w:val="1"/>
        </w:numPr>
        <w:rPr>
          <w:rFonts w:ascii="Tahoma" w:eastAsia="Times New Roman" w:hAnsi="Tahoma" w:cs="Tahoma"/>
          <w:color w:val="222222"/>
        </w:rPr>
      </w:pPr>
      <w:r w:rsidRPr="008153E1">
        <w:rPr>
          <w:rFonts w:ascii="Tahoma" w:eastAsia="Times New Roman" w:hAnsi="Tahoma" w:cs="Tahoma"/>
          <w:color w:val="222222"/>
        </w:rPr>
        <w:t>After the firing statement</w:t>
      </w:r>
    </w:p>
    <w:p w:rsidR="00E701BC" w:rsidRDefault="00CF21DA" w:rsidP="00922055">
      <w:pPr>
        <w:rPr>
          <w:rFonts w:ascii="Tahoma" w:eastAsia="Times New Roman" w:hAnsi="Tahoma" w:cs="Tahoma"/>
          <w:color w:val="222222"/>
        </w:rPr>
      </w:pPr>
      <w:r>
        <w:rPr>
          <w:rFonts w:ascii="Tahoma" w:eastAsia="Times New Roman" w:hAnsi="Tahoma" w:cs="Tahoma"/>
          <w:color w:val="222222"/>
        </w:rPr>
        <w:t xml:space="preserve">Its function just likes the </w:t>
      </w:r>
      <w:r w:rsidRPr="00DE3C5F">
        <w:rPr>
          <w:rFonts w:ascii="Tahoma" w:eastAsia="Times New Roman" w:hAnsi="Tahoma" w:cs="Tahoma"/>
          <w:color w:val="222222"/>
        </w:rPr>
        <w:t>FOLLOWS clause</w:t>
      </w:r>
      <w:r>
        <w:rPr>
          <w:rFonts w:ascii="Tahoma" w:eastAsia="Times New Roman" w:hAnsi="Tahoma" w:cs="Tahoma"/>
          <w:color w:val="222222"/>
        </w:rPr>
        <w:t xml:space="preserve"> which can also</w:t>
      </w:r>
      <w:r w:rsidR="00A53A8A">
        <w:rPr>
          <w:rFonts w:ascii="Tahoma" w:eastAsia="Times New Roman" w:hAnsi="Tahoma" w:cs="Tahoma"/>
          <w:color w:val="222222"/>
        </w:rPr>
        <w:t xml:space="preserve"> control the </w:t>
      </w:r>
      <w:r w:rsidR="00B853A6">
        <w:rPr>
          <w:rFonts w:ascii="Tahoma" w:eastAsia="Times New Roman" w:hAnsi="Tahoma" w:cs="Tahoma"/>
          <w:color w:val="222222"/>
        </w:rPr>
        <w:t xml:space="preserve">firing </w:t>
      </w:r>
      <w:r w:rsidR="00A53A8A">
        <w:rPr>
          <w:rFonts w:ascii="Tahoma" w:eastAsia="Times New Roman" w:hAnsi="Tahoma" w:cs="Tahoma"/>
          <w:color w:val="222222"/>
        </w:rPr>
        <w:t>order or the</w:t>
      </w:r>
      <w:r w:rsidR="00B853A6">
        <w:rPr>
          <w:rFonts w:ascii="Tahoma" w:eastAsia="Times New Roman" w:hAnsi="Tahoma" w:cs="Tahoma"/>
          <w:color w:val="222222"/>
        </w:rPr>
        <w:t xml:space="preserve"> firing timing if you have</w:t>
      </w:r>
      <w:r w:rsidR="00A53A8A">
        <w:rPr>
          <w:rFonts w:ascii="Tahoma" w:eastAsia="Times New Roman" w:hAnsi="Tahoma" w:cs="Tahoma"/>
          <w:color w:val="222222"/>
        </w:rPr>
        <w:t xml:space="preserve"> many</w:t>
      </w:r>
      <w:r>
        <w:rPr>
          <w:rFonts w:ascii="Tahoma" w:eastAsia="Times New Roman" w:hAnsi="Tahoma" w:cs="Tahoma"/>
          <w:color w:val="222222"/>
        </w:rPr>
        <w:t xml:space="preserve"> trigger</w:t>
      </w:r>
      <w:r w:rsidR="00A53A8A">
        <w:rPr>
          <w:rFonts w:ascii="Tahoma" w:eastAsia="Times New Roman" w:hAnsi="Tahoma" w:cs="Tahoma"/>
          <w:color w:val="222222"/>
        </w:rPr>
        <w:t>s</w:t>
      </w:r>
      <w:r w:rsidR="00922055">
        <w:rPr>
          <w:rFonts w:ascii="Tahoma" w:eastAsia="Times New Roman" w:hAnsi="Tahoma" w:cs="Tahoma"/>
          <w:color w:val="222222"/>
        </w:rPr>
        <w:t xml:space="preserve">. But it does not have this part of function for </w:t>
      </w:r>
      <w:r w:rsidR="00922055">
        <w:rPr>
          <w:rFonts w:ascii="Tahoma" w:eastAsia="Times New Roman" w:hAnsi="Tahoma" w:cs="Tahoma"/>
          <w:color w:val="222222"/>
        </w:rPr>
        <w:t xml:space="preserve">the </w:t>
      </w:r>
      <w:r w:rsidR="00922055" w:rsidRPr="00DE3C5F">
        <w:rPr>
          <w:rFonts w:ascii="Tahoma" w:eastAsia="Times New Roman" w:hAnsi="Tahoma" w:cs="Tahoma"/>
          <w:color w:val="222222"/>
        </w:rPr>
        <w:t>FOLLOWS clause</w:t>
      </w:r>
      <w:r w:rsidR="00922055">
        <w:rPr>
          <w:rFonts w:ascii="Tahoma" w:eastAsia="Times New Roman" w:hAnsi="Tahoma" w:cs="Tahoma"/>
          <w:color w:val="222222"/>
        </w:rPr>
        <w:t xml:space="preserve"> which can arrange </w:t>
      </w:r>
      <w:r w:rsidR="00E701BC">
        <w:rPr>
          <w:rFonts w:ascii="Tahoma" w:eastAsia="Times New Roman" w:hAnsi="Tahoma" w:cs="Tahoma"/>
          <w:color w:val="222222"/>
        </w:rPr>
        <w:t>some</w:t>
      </w:r>
      <w:r w:rsidR="00AE6DDE">
        <w:rPr>
          <w:rFonts w:ascii="Tahoma" w:eastAsia="Times New Roman" w:hAnsi="Tahoma" w:cs="Tahoma"/>
          <w:color w:val="222222"/>
        </w:rPr>
        <w:t xml:space="preserve"> triggers fi</w:t>
      </w:r>
      <w:r w:rsidR="003D34BA">
        <w:rPr>
          <w:rFonts w:ascii="Tahoma" w:eastAsia="Times New Roman" w:hAnsi="Tahoma" w:cs="Tahoma"/>
          <w:color w:val="222222"/>
        </w:rPr>
        <w:t>re</w:t>
      </w:r>
      <w:r w:rsidR="00AE6DDE">
        <w:rPr>
          <w:rFonts w:ascii="Tahoma" w:eastAsia="Times New Roman" w:hAnsi="Tahoma" w:cs="Tahoma"/>
          <w:color w:val="222222"/>
        </w:rPr>
        <w:t xml:space="preserve"> in</w:t>
      </w:r>
      <w:r w:rsidR="00E701BC">
        <w:rPr>
          <w:rFonts w:ascii="Tahoma" w:eastAsia="Times New Roman" w:hAnsi="Tahoma" w:cs="Tahoma"/>
          <w:color w:val="222222"/>
        </w:rPr>
        <w:t xml:space="preserve"> same timing point</w:t>
      </w:r>
      <w:r>
        <w:rPr>
          <w:rFonts w:ascii="Tahoma" w:eastAsia="Times New Roman" w:hAnsi="Tahoma" w:cs="Tahoma"/>
          <w:color w:val="222222"/>
        </w:rPr>
        <w:t xml:space="preserve">. </w:t>
      </w:r>
      <w:r w:rsidR="00040ED2">
        <w:rPr>
          <w:rFonts w:ascii="Arial" w:hAnsi="Arial" w:cs="Arial"/>
          <w:color w:val="000000"/>
          <w:shd w:val="clear" w:color="auto" w:fill="FFFFFF"/>
        </w:rPr>
        <w:t xml:space="preserve">A </w:t>
      </w:r>
      <w:r w:rsidR="00040ED2">
        <w:rPr>
          <w:rStyle w:val="apple-converted-space"/>
          <w:rFonts w:ascii="Arial" w:hAnsi="Arial" w:cs="Arial"/>
          <w:color w:val="000000"/>
          <w:shd w:val="clear" w:color="auto" w:fill="FFFFFF"/>
        </w:rPr>
        <w:t>compound trigger can arrange the firing order</w:t>
      </w:r>
      <w:r w:rsidR="000D37C8">
        <w:rPr>
          <w:rStyle w:val="apple-converted-space"/>
          <w:rFonts w:ascii="Arial" w:hAnsi="Arial" w:cs="Arial"/>
          <w:color w:val="000000"/>
          <w:shd w:val="clear" w:color="auto" w:fill="FFFFFF"/>
        </w:rPr>
        <w:t xml:space="preserve"> for many different timing-point</w:t>
      </w:r>
      <w:r w:rsidR="00CA6703">
        <w:rPr>
          <w:rStyle w:val="apple-converted-space"/>
          <w:rFonts w:ascii="Arial" w:hAnsi="Arial" w:cs="Arial"/>
          <w:color w:val="000000"/>
          <w:shd w:val="clear" w:color="auto" w:fill="FFFFFF"/>
        </w:rPr>
        <w:t>s</w:t>
      </w:r>
      <w:r w:rsidR="00040ED2">
        <w:rPr>
          <w:rStyle w:val="apple-converted-space"/>
          <w:rFonts w:ascii="Arial" w:hAnsi="Arial" w:cs="Arial"/>
          <w:color w:val="000000"/>
          <w:shd w:val="clear" w:color="auto" w:fill="FFFFFF"/>
        </w:rPr>
        <w:t xml:space="preserve"> because it can clean up the trigger statement once this state ends due to successful completion or an error.</w:t>
      </w:r>
    </w:p>
    <w:p w:rsidR="008153E1" w:rsidRDefault="00B824C6" w:rsidP="00B853A6">
      <w:pPr>
        <w:rPr>
          <w:rFonts w:ascii="Tahoma" w:eastAsia="Times New Roman" w:hAnsi="Tahoma" w:cs="Tahoma"/>
          <w:color w:val="222222"/>
        </w:rPr>
      </w:pPr>
      <w:r>
        <w:rPr>
          <w:rFonts w:ascii="Tahoma" w:eastAsia="Times New Roman" w:hAnsi="Tahoma" w:cs="Tahoma"/>
          <w:color w:val="222222"/>
        </w:rPr>
        <w:t>By the way, i</w:t>
      </w:r>
      <w:r w:rsidR="0031509B">
        <w:rPr>
          <w:rFonts w:ascii="Tahoma" w:eastAsia="Times New Roman" w:hAnsi="Tahoma" w:cs="Tahoma"/>
          <w:color w:val="222222"/>
        </w:rPr>
        <w:t>n</w:t>
      </w:r>
      <w:r w:rsidR="007A52CD">
        <w:rPr>
          <w:rFonts w:ascii="Tahoma" w:eastAsia="Times New Roman" w:hAnsi="Tahoma" w:cs="Tahoma"/>
          <w:color w:val="222222"/>
        </w:rPr>
        <w:t xml:space="preserve"> a </w:t>
      </w:r>
      <w:r w:rsidR="00213882" w:rsidRPr="00213882">
        <w:rPr>
          <w:rFonts w:ascii="Tahoma" w:eastAsia="Times New Roman" w:hAnsi="Tahoma" w:cs="Tahoma"/>
          <w:color w:val="222222"/>
        </w:rPr>
        <w:t>compound trigger, both the statement-level and row-level action can be put up in a single trigger. Plus there is an added advantage: it allows sharing of common state between all the trigger-points using variable. This is because compound trigger in oracle 11g has a declarative section where one can declare variable to be used within trigger. This common state is established at the start of triggering statement and is destroyed after COMPLETION of trigger (regardless of trigger being in error or not). If same had to be done without compound-trigger, it might have been required to share data using packages.</w:t>
      </w:r>
    </w:p>
    <w:p w:rsidR="00B824C6" w:rsidRPr="0000600B" w:rsidRDefault="00363A2C" w:rsidP="00B853A6">
      <w:pPr>
        <w:rPr>
          <w:rFonts w:ascii="Tahoma" w:eastAsia="Times New Roman" w:hAnsi="Tahoma" w:cs="Tahoma"/>
          <w:b/>
          <w:bCs/>
          <w:color w:val="222222"/>
        </w:rPr>
      </w:pPr>
      <w:r>
        <w:rPr>
          <w:rFonts w:ascii="Tahoma" w:eastAsia="Times New Roman" w:hAnsi="Tahoma" w:cs="Tahoma"/>
          <w:b/>
          <w:bCs/>
          <w:color w:val="222222"/>
        </w:rPr>
        <w:t>S</w:t>
      </w:r>
      <w:r w:rsidR="002D22C0">
        <w:rPr>
          <w:rFonts w:ascii="Tahoma" w:eastAsia="Times New Roman" w:hAnsi="Tahoma" w:cs="Tahoma"/>
          <w:b/>
          <w:bCs/>
          <w:color w:val="222222"/>
        </w:rPr>
        <w:t>yntax</w:t>
      </w:r>
      <w:r w:rsidR="00645035" w:rsidRPr="0000600B">
        <w:rPr>
          <w:rFonts w:ascii="Tahoma" w:eastAsia="Times New Roman" w:hAnsi="Tahoma" w:cs="Tahoma"/>
          <w:b/>
          <w:bCs/>
          <w:color w:val="222222"/>
        </w:rPr>
        <w:t xml:space="preserve"> of </w:t>
      </w:r>
      <w:r w:rsidR="00EB4EF7">
        <w:rPr>
          <w:rFonts w:ascii="Tahoma" w:eastAsia="Times New Roman" w:hAnsi="Tahoma" w:cs="Tahoma"/>
          <w:b/>
          <w:bCs/>
          <w:color w:val="222222"/>
        </w:rPr>
        <w:t xml:space="preserve">a </w:t>
      </w:r>
      <w:r w:rsidR="00645035" w:rsidRPr="0000600B">
        <w:rPr>
          <w:rFonts w:ascii="Tahoma" w:eastAsia="Times New Roman" w:hAnsi="Tahoma" w:cs="Tahoma"/>
          <w:b/>
          <w:bCs/>
          <w:color w:val="222222"/>
        </w:rPr>
        <w:t>compound trigger:</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CREATE OR REPLACE TRIGGER &lt;trigger-name&gt;</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FOR &lt;trigger-action&gt; ON &lt;table-name&gt;</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COMPOUND TRIGGER</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 Global declaration.</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w:t>
      </w:r>
      <w:proofErr w:type="spellStart"/>
      <w:r w:rsidRPr="00BC2638">
        <w:rPr>
          <w:rFonts w:ascii="Courier New" w:eastAsia="Times New Roman" w:hAnsi="Courier New" w:cs="Courier New"/>
          <w:color w:val="000000"/>
          <w:sz w:val="20"/>
          <w:szCs w:val="20"/>
        </w:rPr>
        <w:t>g_global_variable</w:t>
      </w:r>
      <w:proofErr w:type="spellEnd"/>
      <w:r w:rsidRPr="00BC2638">
        <w:rPr>
          <w:rFonts w:ascii="Courier New" w:eastAsia="Times New Roman" w:hAnsi="Courier New" w:cs="Courier New"/>
          <w:color w:val="000000"/>
          <w:sz w:val="20"/>
          <w:szCs w:val="20"/>
        </w:rPr>
        <w:t xml:space="preserve"> </w:t>
      </w:r>
      <w:proofErr w:type="gramStart"/>
      <w:r w:rsidRPr="00BC2638">
        <w:rPr>
          <w:rFonts w:ascii="Courier New" w:eastAsia="Times New Roman" w:hAnsi="Courier New" w:cs="Courier New"/>
          <w:color w:val="000000"/>
          <w:sz w:val="20"/>
          <w:szCs w:val="20"/>
        </w:rPr>
        <w:t>VARCHAR2(</w:t>
      </w:r>
      <w:proofErr w:type="gramEnd"/>
      <w:r w:rsidRPr="00BC2638">
        <w:rPr>
          <w:rFonts w:ascii="Courier New" w:eastAsia="Times New Roman" w:hAnsi="Courier New" w:cs="Courier New"/>
          <w:color w:val="000000"/>
          <w:sz w:val="20"/>
          <w:szCs w:val="20"/>
        </w:rPr>
        <w:t>10);</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BEFORE STATEMENT IS</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BEGIN</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NULL; -- Do something here.</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END BEFORE STATEMENT;</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BEFORE EACH ROW IS</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BEGIN</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NULL; -- Do something here.</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END BEFORE EACH ROW;</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AFTER EACH ROW IS</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BEGIN</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NULL; -- Do something here.</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END AFTER EACH ROW;</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lastRenderedPageBreak/>
        <w:t xml:space="preserve">  AFTER STATEMENT IS</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BEGIN</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NULL; -- Do something here.</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 xml:space="preserve">  END AFTER STATEMENT;</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END &lt;trigger-name&gt;;</w:t>
      </w:r>
    </w:p>
    <w:p w:rsidR="00BC2638" w:rsidRPr="00BC2638" w:rsidRDefault="00BC2638" w:rsidP="00BC263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638">
        <w:rPr>
          <w:rFonts w:ascii="Courier New" w:eastAsia="Times New Roman" w:hAnsi="Courier New" w:cs="Courier New"/>
          <w:color w:val="000000"/>
          <w:sz w:val="20"/>
          <w:szCs w:val="20"/>
        </w:rPr>
        <w:t>/</w:t>
      </w:r>
    </w:p>
    <w:p w:rsidR="002714B4" w:rsidRPr="009A784D" w:rsidRDefault="00997F91" w:rsidP="009A784D">
      <w:pPr>
        <w:rPr>
          <w:rFonts w:ascii="Tahoma" w:eastAsia="Times New Roman" w:hAnsi="Tahoma" w:cs="Tahoma"/>
          <w:color w:val="222222"/>
        </w:rPr>
      </w:pPr>
      <w:bookmarkStart w:id="0" w:name="_GoBack"/>
      <w:bookmarkEnd w:id="0"/>
      <w:r w:rsidRPr="009A784D">
        <w:rPr>
          <w:rFonts w:ascii="Tahoma" w:eastAsia="Times New Roman" w:hAnsi="Tahoma" w:cs="Tahoma"/>
          <w:color w:val="222222"/>
        </w:rPr>
        <w:t>Notice: BEFORE STATEMENT, BEFORE EACH ROW, AFTER EACH ROW and AFTER STATEMENT are optional. You can choose all of them or some of them</w:t>
      </w:r>
      <w:r w:rsidR="000A4E59" w:rsidRPr="009A784D">
        <w:rPr>
          <w:rFonts w:ascii="Tahoma" w:eastAsia="Times New Roman" w:hAnsi="Tahoma" w:cs="Tahoma"/>
          <w:color w:val="222222"/>
        </w:rPr>
        <w:t xml:space="preserve"> (at least one time timing-point section)</w:t>
      </w:r>
      <w:r w:rsidRPr="009A784D">
        <w:rPr>
          <w:rFonts w:ascii="Tahoma" w:eastAsia="Times New Roman" w:hAnsi="Tahoma" w:cs="Tahoma"/>
          <w:color w:val="222222"/>
        </w:rPr>
        <w:t xml:space="preserve"> depending on the need.</w:t>
      </w:r>
      <w:r w:rsidR="009A784D" w:rsidRPr="009A784D">
        <w:rPr>
          <w:rFonts w:ascii="Tahoma" w:eastAsia="Times New Roman" w:hAnsi="Tahoma" w:cs="Tahoma"/>
          <w:color w:val="222222"/>
        </w:rPr>
        <w:t xml:space="preserve"> However, a </w:t>
      </w:r>
      <w:r w:rsidR="009A784D" w:rsidRPr="009A784D">
        <w:rPr>
          <w:rFonts w:ascii="Tahoma" w:eastAsia="Times New Roman" w:hAnsi="Tahoma" w:cs="Tahoma"/>
          <w:color w:val="222222"/>
        </w:rPr>
        <w:t>compound trigger cannot have multiple sections for the same timing point.</w:t>
      </w:r>
      <w:r w:rsidR="00EB4EF7" w:rsidRPr="009A784D">
        <w:rPr>
          <w:rFonts w:ascii="Tahoma" w:eastAsia="Times New Roman" w:hAnsi="Tahoma" w:cs="Tahoma"/>
          <w:color w:val="222222"/>
        </w:rPr>
        <w:t xml:space="preserve"> </w:t>
      </w:r>
      <w:r w:rsidRPr="009A784D">
        <w:rPr>
          <w:rFonts w:ascii="Tahoma" w:eastAsia="Times New Roman" w:hAnsi="Tahoma" w:cs="Tahoma"/>
          <w:color w:val="222222"/>
        </w:rPr>
        <w:t xml:space="preserve">  </w:t>
      </w:r>
    </w:p>
    <w:p w:rsidR="002714B4" w:rsidRPr="002714B4" w:rsidRDefault="002714B4" w:rsidP="002714B4">
      <w:pPr>
        <w:rPr>
          <w:rFonts w:ascii="Tahoma" w:eastAsia="Times New Roman" w:hAnsi="Tahoma" w:cs="Tahoma"/>
          <w:b/>
          <w:bCs/>
          <w:color w:val="222222"/>
        </w:rPr>
      </w:pPr>
      <w:r w:rsidRPr="002714B4">
        <w:rPr>
          <w:rFonts w:ascii="Tahoma" w:eastAsia="Times New Roman" w:hAnsi="Tahoma" w:cs="Tahoma"/>
          <w:b/>
          <w:bCs/>
          <w:color w:val="222222"/>
        </w:rPr>
        <w:t>When to use Compound Triggers</w:t>
      </w:r>
    </w:p>
    <w:p w:rsidR="002714B4" w:rsidRPr="002714B4" w:rsidRDefault="002714B4" w:rsidP="002714B4">
      <w:pPr>
        <w:rPr>
          <w:rFonts w:ascii="Tahoma" w:eastAsia="Times New Roman" w:hAnsi="Tahoma" w:cs="Tahoma"/>
          <w:color w:val="222222"/>
        </w:rPr>
      </w:pPr>
      <w:r w:rsidRPr="002714B4">
        <w:rPr>
          <w:rFonts w:ascii="Tahoma" w:eastAsia="Times New Roman" w:hAnsi="Tahoma" w:cs="Tahoma"/>
          <w:color w:val="222222"/>
        </w:rPr>
        <w:t>The compound trigger is useful when you want to accumulate facts that characterize the “for each row” changes and then act on them as a body at “after statement” time. Two popular reasons to use compound trigger are:</w:t>
      </w:r>
    </w:p>
    <w:p w:rsidR="00CA097C" w:rsidRDefault="002714B4" w:rsidP="00EB4EF7">
      <w:pPr>
        <w:pStyle w:val="ListParagraph"/>
        <w:numPr>
          <w:ilvl w:val="0"/>
          <w:numId w:val="2"/>
        </w:numPr>
        <w:rPr>
          <w:rFonts w:ascii="Tahoma" w:eastAsia="Times New Roman" w:hAnsi="Tahoma" w:cs="Tahoma"/>
          <w:color w:val="222222"/>
        </w:rPr>
      </w:pPr>
      <w:r w:rsidRPr="00CA097C">
        <w:rPr>
          <w:rFonts w:ascii="Tahoma" w:eastAsia="Times New Roman" w:hAnsi="Tahoma" w:cs="Tahoma"/>
          <w:color w:val="222222"/>
        </w:rPr>
        <w:t xml:space="preserve">To accumulate rows </w:t>
      </w:r>
      <w:r w:rsidR="00EB4EF7">
        <w:rPr>
          <w:rFonts w:ascii="Tahoma" w:eastAsia="Times New Roman" w:hAnsi="Tahoma" w:cs="Tahoma"/>
          <w:color w:val="222222"/>
        </w:rPr>
        <w:t>destined for a second table so that you can periodically bulk-insert them</w:t>
      </w:r>
      <w:r w:rsidRPr="00CA097C">
        <w:rPr>
          <w:rFonts w:ascii="Tahoma" w:eastAsia="Times New Roman" w:hAnsi="Tahoma" w:cs="Tahoma"/>
          <w:color w:val="222222"/>
        </w:rPr>
        <w:t xml:space="preserve">. </w:t>
      </w:r>
    </w:p>
    <w:p w:rsidR="00213882" w:rsidRPr="00CA097C" w:rsidRDefault="002714B4" w:rsidP="002714B4">
      <w:pPr>
        <w:pStyle w:val="ListParagraph"/>
        <w:numPr>
          <w:ilvl w:val="0"/>
          <w:numId w:val="2"/>
        </w:numPr>
        <w:rPr>
          <w:rFonts w:ascii="Tahoma" w:eastAsia="Times New Roman" w:hAnsi="Tahoma" w:cs="Tahoma"/>
          <w:color w:val="222222"/>
        </w:rPr>
      </w:pPr>
      <w:r w:rsidRPr="00CA097C">
        <w:rPr>
          <w:rFonts w:ascii="Tahoma" w:eastAsia="Times New Roman" w:hAnsi="Tahoma" w:cs="Tahoma"/>
          <w:color w:val="222222"/>
        </w:rPr>
        <w:t>To avoid the infamous ORA-04091: mutating-table error.</w:t>
      </w:r>
    </w:p>
    <w:p w:rsidR="002714B4" w:rsidRPr="002714B4" w:rsidRDefault="002714B4" w:rsidP="002714B4">
      <w:pPr>
        <w:rPr>
          <w:rFonts w:ascii="Tahoma" w:eastAsia="Times New Roman" w:hAnsi="Tahoma" w:cs="Tahoma"/>
          <w:b/>
          <w:bCs/>
          <w:color w:val="222222"/>
        </w:rPr>
      </w:pPr>
      <w:r w:rsidRPr="002714B4">
        <w:rPr>
          <w:rFonts w:ascii="Tahoma" w:eastAsia="Times New Roman" w:hAnsi="Tahoma" w:cs="Tahoma"/>
          <w:b/>
          <w:bCs/>
          <w:color w:val="222222"/>
        </w:rPr>
        <w:t>Some Restriction/Catches to note</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The body of a compound trigger must be a compound trigger block.</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A compound trigger must be a DML trigger.</w:t>
      </w:r>
    </w:p>
    <w:p w:rsidR="002714B4"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A compound trigger must be defined on either a table or a view.</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The declarative part cannot include PRAGMA AUTONOMOUS_TRANSACTION.</w:t>
      </w:r>
    </w:p>
    <w:p w:rsidR="009A784D"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 xml:space="preserve">A compound trigger body cannot have an initialization block; therefore, it cannot have an exception section. </w:t>
      </w:r>
    </w:p>
    <w:p w:rsidR="002714B4" w:rsidRPr="00306CF1" w:rsidRDefault="002714B4" w:rsidP="009A784D">
      <w:pPr>
        <w:pStyle w:val="ListParagraph"/>
        <w:rPr>
          <w:rFonts w:ascii="Tahoma" w:eastAsia="Times New Roman" w:hAnsi="Tahoma" w:cs="Tahoma"/>
          <w:color w:val="222222"/>
        </w:rPr>
      </w:pPr>
      <w:r w:rsidRPr="00306CF1">
        <w:rPr>
          <w:rFonts w:ascii="Tahoma" w:eastAsia="Times New Roman" w:hAnsi="Tahoma" w:cs="Tahoma"/>
          <w:color w:val="222222"/>
        </w:rPr>
        <w:t>This is not a problem, because the BEFORE STATEMENT section always executes exactly once before any other timing-point section executes.</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An exception that occurs in one section must be handled in that section. It cannot transfer control to another section.</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If a section includes a GOTO statement, the target of the GOTO statement must be in the same section.</w:t>
      </w:r>
    </w:p>
    <w:p w:rsidR="002714B4" w:rsidRPr="00306CF1" w:rsidRDefault="002714B4" w:rsidP="00306CF1">
      <w:pPr>
        <w:pStyle w:val="ListParagraph"/>
        <w:numPr>
          <w:ilvl w:val="0"/>
          <w:numId w:val="3"/>
        </w:numPr>
        <w:rPr>
          <w:rFonts w:ascii="Tahoma" w:eastAsia="Times New Roman" w:hAnsi="Tahoma" w:cs="Tahoma"/>
          <w:color w:val="222222"/>
        </w:rPr>
      </w:pPr>
      <w:proofErr w:type="gramStart"/>
      <w:r w:rsidRPr="00306CF1">
        <w:rPr>
          <w:rFonts w:ascii="Tahoma" w:eastAsia="Times New Roman" w:hAnsi="Tahoma" w:cs="Tahoma"/>
          <w:color w:val="222222"/>
        </w:rPr>
        <w:t>OLD, :NEW</w:t>
      </w:r>
      <w:proofErr w:type="gramEnd"/>
      <w:r w:rsidRPr="00306CF1">
        <w:rPr>
          <w:rFonts w:ascii="Tahoma" w:eastAsia="Times New Roman" w:hAnsi="Tahoma" w:cs="Tahoma"/>
          <w:color w:val="222222"/>
        </w:rPr>
        <w:t>, and :PARENT cannot appear in the declarative part, the BEFORE STATEMENT section, or the AFTER STATEMENT section.</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 xml:space="preserve">Only the BEFORE EACH ROW section can change the value </w:t>
      </w:r>
      <w:proofErr w:type="gramStart"/>
      <w:r w:rsidRPr="00306CF1">
        <w:rPr>
          <w:rFonts w:ascii="Tahoma" w:eastAsia="Times New Roman" w:hAnsi="Tahoma" w:cs="Tahoma"/>
          <w:color w:val="222222"/>
        </w:rPr>
        <w:t>of :NEW</w:t>
      </w:r>
      <w:proofErr w:type="gramEnd"/>
      <w:r w:rsidRPr="00306CF1">
        <w:rPr>
          <w:rFonts w:ascii="Tahoma" w:eastAsia="Times New Roman" w:hAnsi="Tahoma" w:cs="Tahoma"/>
          <w:color w:val="222222"/>
        </w:rPr>
        <w:t>.</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t>If, after the compound trigger fires, the triggering statement rolls back due to a DML exception:</w:t>
      </w:r>
    </w:p>
    <w:p w:rsidR="002714B4" w:rsidRPr="00306CF1" w:rsidRDefault="002714B4" w:rsidP="00E063A5">
      <w:pPr>
        <w:pStyle w:val="ListParagraph"/>
        <w:numPr>
          <w:ilvl w:val="0"/>
          <w:numId w:val="4"/>
        </w:numPr>
        <w:rPr>
          <w:rFonts w:ascii="Tahoma" w:eastAsia="Times New Roman" w:hAnsi="Tahoma" w:cs="Tahoma"/>
          <w:color w:val="222222"/>
        </w:rPr>
      </w:pPr>
      <w:r w:rsidRPr="00306CF1">
        <w:rPr>
          <w:rFonts w:ascii="Tahoma" w:eastAsia="Times New Roman" w:hAnsi="Tahoma" w:cs="Tahoma"/>
          <w:color w:val="222222"/>
        </w:rPr>
        <w:t>Local variables declared in the compound trigger sections are re-initialized, and any values COMPUTED thus far are lost.</w:t>
      </w:r>
    </w:p>
    <w:p w:rsidR="002714B4" w:rsidRPr="00306CF1" w:rsidRDefault="002714B4" w:rsidP="00E063A5">
      <w:pPr>
        <w:pStyle w:val="ListParagraph"/>
        <w:numPr>
          <w:ilvl w:val="0"/>
          <w:numId w:val="4"/>
        </w:numPr>
        <w:rPr>
          <w:rFonts w:ascii="Tahoma" w:eastAsia="Times New Roman" w:hAnsi="Tahoma" w:cs="Tahoma"/>
          <w:color w:val="222222"/>
        </w:rPr>
      </w:pPr>
      <w:r w:rsidRPr="00306CF1">
        <w:rPr>
          <w:rFonts w:ascii="Tahoma" w:eastAsia="Times New Roman" w:hAnsi="Tahoma" w:cs="Tahoma"/>
          <w:color w:val="222222"/>
        </w:rPr>
        <w:t>Side effects from firing the compound trigger are not rolled back.</w:t>
      </w:r>
    </w:p>
    <w:p w:rsidR="002714B4" w:rsidRPr="00306CF1" w:rsidRDefault="002714B4" w:rsidP="00306CF1">
      <w:pPr>
        <w:pStyle w:val="ListParagraph"/>
        <w:numPr>
          <w:ilvl w:val="0"/>
          <w:numId w:val="3"/>
        </w:numPr>
        <w:rPr>
          <w:rFonts w:ascii="Tahoma" w:eastAsia="Times New Roman" w:hAnsi="Tahoma" w:cs="Tahoma"/>
          <w:color w:val="222222"/>
        </w:rPr>
      </w:pPr>
      <w:r w:rsidRPr="00306CF1">
        <w:rPr>
          <w:rFonts w:ascii="Tahoma" w:eastAsia="Times New Roman" w:hAnsi="Tahoma" w:cs="Tahoma"/>
          <w:color w:val="222222"/>
        </w:rPr>
        <w:lastRenderedPageBreak/>
        <w:t>The firing order of compound triggers is not guaranteed. Their firing can be interleaved with the firing of simple triggers.</w:t>
      </w:r>
    </w:p>
    <w:p w:rsidR="00726BF7" w:rsidRPr="009A784D" w:rsidRDefault="002714B4" w:rsidP="00306CF1">
      <w:pPr>
        <w:pStyle w:val="ListParagraph"/>
        <w:numPr>
          <w:ilvl w:val="0"/>
          <w:numId w:val="3"/>
        </w:numPr>
      </w:pPr>
      <w:r w:rsidRPr="00306CF1">
        <w:rPr>
          <w:rFonts w:ascii="Tahoma" w:eastAsia="Times New Roman" w:hAnsi="Tahoma" w:cs="Tahoma"/>
          <w:color w:val="222222"/>
        </w:rPr>
        <w:t>If compound triggers are ordered using the FOLLOWS option, and if the target of FOLLOWS does not contain the corresponding section as source code, the ordering is ignored.</w:t>
      </w:r>
    </w:p>
    <w:p w:rsidR="009A784D" w:rsidRPr="000F0BE5" w:rsidRDefault="009A784D" w:rsidP="009A784D"/>
    <w:sectPr w:rsidR="009A784D" w:rsidRPr="000F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62EC9"/>
    <w:multiLevelType w:val="hybridMultilevel"/>
    <w:tmpl w:val="0E484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32473"/>
    <w:multiLevelType w:val="hybridMultilevel"/>
    <w:tmpl w:val="EC9C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E3153"/>
    <w:multiLevelType w:val="hybridMultilevel"/>
    <w:tmpl w:val="CF463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C0795"/>
    <w:multiLevelType w:val="hybridMultilevel"/>
    <w:tmpl w:val="1AB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7"/>
    <w:rsid w:val="0000600B"/>
    <w:rsid w:val="00040ED2"/>
    <w:rsid w:val="000A274E"/>
    <w:rsid w:val="000A4E59"/>
    <w:rsid w:val="000D37C8"/>
    <w:rsid w:val="000E7CA0"/>
    <w:rsid w:val="000F0BE5"/>
    <w:rsid w:val="001C22E0"/>
    <w:rsid w:val="00213882"/>
    <w:rsid w:val="002714B4"/>
    <w:rsid w:val="002D22C0"/>
    <w:rsid w:val="00306CF1"/>
    <w:rsid w:val="0031509B"/>
    <w:rsid w:val="00363A2C"/>
    <w:rsid w:val="003D34BA"/>
    <w:rsid w:val="00633F94"/>
    <w:rsid w:val="00645035"/>
    <w:rsid w:val="006A6A57"/>
    <w:rsid w:val="00726BF7"/>
    <w:rsid w:val="00754230"/>
    <w:rsid w:val="007A52CD"/>
    <w:rsid w:val="00803B93"/>
    <w:rsid w:val="008153E1"/>
    <w:rsid w:val="008F5C50"/>
    <w:rsid w:val="00922055"/>
    <w:rsid w:val="00997F91"/>
    <w:rsid w:val="009A784D"/>
    <w:rsid w:val="00A53A8A"/>
    <w:rsid w:val="00AE6DDE"/>
    <w:rsid w:val="00B824C6"/>
    <w:rsid w:val="00B853A6"/>
    <w:rsid w:val="00B86455"/>
    <w:rsid w:val="00BC2638"/>
    <w:rsid w:val="00C2282A"/>
    <w:rsid w:val="00C94938"/>
    <w:rsid w:val="00CA097C"/>
    <w:rsid w:val="00CA6703"/>
    <w:rsid w:val="00CF21DA"/>
    <w:rsid w:val="00DE3C5F"/>
    <w:rsid w:val="00E063A5"/>
    <w:rsid w:val="00E701BC"/>
    <w:rsid w:val="00EB4EF7"/>
    <w:rsid w:val="00F21D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3E1"/>
    <w:pPr>
      <w:ind w:left="720"/>
      <w:contextualSpacing/>
    </w:pPr>
  </w:style>
  <w:style w:type="character" w:customStyle="1" w:styleId="apple-converted-space">
    <w:name w:val="apple-converted-space"/>
    <w:basedOn w:val="DefaultParagraphFont"/>
    <w:rsid w:val="00E701BC"/>
  </w:style>
  <w:style w:type="paragraph" w:styleId="HTMLPreformatted">
    <w:name w:val="HTML Preformatted"/>
    <w:basedOn w:val="Normal"/>
    <w:link w:val="HTMLPreformattedChar"/>
    <w:uiPriority w:val="99"/>
    <w:semiHidden/>
    <w:unhideWhenUsed/>
    <w:rsid w:val="00BC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6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3E1"/>
    <w:pPr>
      <w:ind w:left="720"/>
      <w:contextualSpacing/>
    </w:pPr>
  </w:style>
  <w:style w:type="character" w:customStyle="1" w:styleId="apple-converted-space">
    <w:name w:val="apple-converted-space"/>
    <w:basedOn w:val="DefaultParagraphFont"/>
    <w:rsid w:val="00E701BC"/>
  </w:style>
  <w:style w:type="paragraph" w:styleId="HTMLPreformatted">
    <w:name w:val="HTML Preformatted"/>
    <w:basedOn w:val="Normal"/>
    <w:link w:val="HTMLPreformattedChar"/>
    <w:uiPriority w:val="99"/>
    <w:semiHidden/>
    <w:unhideWhenUsed/>
    <w:rsid w:val="00BC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6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2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44</cp:revision>
  <dcterms:created xsi:type="dcterms:W3CDTF">2014-11-12T18:10:00Z</dcterms:created>
  <dcterms:modified xsi:type="dcterms:W3CDTF">2014-11-12T20:16:00Z</dcterms:modified>
</cp:coreProperties>
</file>