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6"/>
          <w:szCs w:val="26"/>
          <w:u w:val="none"/>
        </w:rPr>
      </w:pPr>
      <w:r w:rsidDel="00000000" w:rsidR="00000000" w:rsidRPr="00000000">
        <w:rPr>
          <w:sz w:val="26"/>
          <w:szCs w:val="26"/>
          <w:rtl w:val="0"/>
        </w:rPr>
        <w:t xml:space="preserve">When an order is received from a customer, we first examine whether this customer is in our system or not. If this customer is not in the system, this transaction is aborted and doesn’t affect the database. Next, we check if we still have left parts to make products for this order. If not, we change the location that needs certain parts into emergency status and buy parts needed from the manufacturer. If the manufacturer doesn’t have parts we need, the transaction will be cancelled.</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If a customer doesn’t pay his/her bill after the due date. A late fee will be enforced to this customer’s order. Every day after the due date, if the customer still hasn’t paid, we charge his/her 20 dollars per day. If the customer pays at a certain date, we stop the normal bill pay transaction and change to the late fee transaction where customers have to pay the late fee and the original bill.</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sz w:val="26"/>
          <w:szCs w:val="26"/>
          <w:rtl w:val="0"/>
        </w:rPr>
        <w:t xml:space="preserve">If a customer is inside the country, then the payment transaction method will not change. However, if a customer orders from international, then the normal payment transaction will change to international payment transaction.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If two products are ordered by two different customers at the same time, however, the current product can only satisfy one customer’s order. So we fulfill one customer’s order and the transaction of another customer’s order will be cancelled.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