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c2290110b7f4c0597479abdf7dc370b81e4e2da"/>
    <w:p>
      <w:pPr>
        <w:pStyle w:val="Heading2"/>
        <w:keepNext/>
        <w:spacing w:line="480" w:lineRule="auto"/>
        <w:ind w:firstLine="0"/>
      </w:pPr>
      <w:r>
        <w:rPr>
          <w:rFonts w:ascii="Times New Roman" w:hAnsi="Times New Roman"/>
          <w:sz w:val="24"/>
        </w:rPr>
        <w:t xml:space="preserve">Stage 1: Comparison of LigandSeek2-Find with LigandSeek</w:t>
      </w:r>
    </w:p>
    <w:p>
      <w:pPr>
        <w:pStyle w:val="FirstParagraph"/>
        <w:spacing w:line="480" w:lineRule="auto" w:after="120"/>
        <w:ind w:firstLine="480"/>
      </w:pPr>
      <w:r>
        <w:rPr>
          <w:rFonts w:ascii="Times New Roman" w:hAnsi="Times New Roman"/>
          <w:sz w:val="24"/>
        </w:rP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480" w:lineRule="auto" w:after="120"/>
        <w:ind w:firstLine="480"/>
      </w:pPr>
      <w:r>
        <w:rPr>
          <w:rFonts w:ascii="Times New Roman" w:hAnsi="Times New Roman"/>
          <w:sz w:val="24"/>
        </w:rPr>
        <w:t xml:space="preserve">On the full test set, LigandSeek2-Find outperformed LigandSeek across all three detection metrics</w:t>
      </w:r>
      <w:r>
        <w:rPr>
          <w:rFonts w:ascii="Times New Roman" w:hAnsi="Times New Roman"/>
          <w:sz w:val="24"/>
        </w:rPr>
        <w:t xml:space="preserve"> </w:t>
      </w:r>
      <w:r>
        <w:rPr>
          <w:rFonts w:ascii="Times New Roman" w:hAnsi="Times New Roman"/>
          <w:sz w:val="24"/>
        </w:rPr>
        <w:t xml:space="preserve">(</w:t>
      </w:r>
      <w:r>
        <w:rPr>
          <w:rStyle w:val="MDFIGREF_eJyrrk7LTC9KTbPKyUxPzEspTk3NNtItK9ZFcA1rEmtrATN3D08"/>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comprised semantic Dice and one-to-one PRAUC at coverage thresholds of 0.3 and 0.5. When using the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trATN9D1E"/>
          <w:rFonts w:ascii="Times New Roman" w:hAnsi="Times New Roman"/>
          <w:sz w:val="24"/>
        </w:rPr>
        <w:t xml:space="preserve">Fig. 1c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also showed an overall advantage in the small-molecule test subset. For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0.621 to 0.701. For CA2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0.568 to 0.573</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prATN6D1A"/>
          <w:rFonts w:ascii="Times New Roman" w:hAnsi="Times New Roman"/>
          <w:sz w:val="24"/>
        </w:rPr>
        <w:t xml:space="preserve">Fig. 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paired CA2 comparisons, LigandSeek2-Find performed better than, as well as, or worse than LigandSeek in 27, 46 and 21 PDBs, respectively</w:t>
      </w:r>
      <w:r>
        <w:rPr>
          <w:rFonts w:ascii="Times New Roman" w:hAnsi="Times New Roman"/>
          <w:sz w:val="24"/>
        </w:rPr>
        <w:t xml:space="preserve"> </w:t>
      </w:r>
      <w:r>
        <w:rPr>
          <w:rFonts w:ascii="Times New Roman" w:hAnsi="Times New Roman"/>
          <w:sz w:val="24"/>
        </w:rPr>
        <w:t xml:space="preserve">(</w:t>
      </w:r>
      <w:r>
        <w:rPr>
          <w:rStyle w:val="MDFIGREF_eJyrrk7LTC9KTbPKyUxPzEspTk3NNtItK9ZFcA1rUmprATOAD1I"/>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Per-PDB precision and recall distributions are shown in</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F-PGzUQ_yqjSEitlGQ36SVH0lLpyPUqpOOIru0Ti06O18lat2sb20kupTwjHnhDvPAFeOIDgASfBtqPwYy9-XNcEaeiIqXqSbmd8Yx_M_7321l_1TDMF40hNF5-_-sfP_6WnMoZU_kTIS67Fwt3sVU7bWP8VaMJDSucLhcip16jYZY9c8K6LOv0Bp1Blh0Ld-m1ybJXP__y5w_fvPru25c__Z5lET7LboGvWCUIuww2R66thWtt1Q555dKZkq0uljKPA-i1-1KRhTPjpVYXFbOXc4OmzxsPlkMDV1Wp3HD5UdYovDfDJHG8EBVzbW2EQuNU24p5VO0sWWqbG6u5cE6qWVUm3TTtJxWTKms8JLSxDY8nflUKWA4XrETcTyo2E6MYnvyStQf5XgphzsSVD81bJcqnUgm3sdTacugM4xgfA5TYhBG6B2nWqNXzeUlNbO51Hax2p55S5eg2ldb509g1rZ3QEjOLQ4j_avlEK--wH3NcSuzzVFbCwZlYwrmumAqhiyPlXmsLqBGCwCZBnwRxFMcWnpjm882MdQ_WqT-P3WMinhYrDIcyN7jjhF0IdD2RszZ04AXEjdOyYoZzDbnwgtOsw2QFO1usdULzgNpOY5vixFV4uxPwH4YJe5Dja6fZFwLCpmvNhBKWhTXZegKzAriuDD5zmNPZwrUz2kmP-p3HT--CtjCyK33kddXF5eVaOW_nPNhHR927gG3CeHSL7XPMqA1PMW4pph7By3mlwBV66YCVJdS0AXc6hwMYH38MQnkrhWtCt9lLuyARnyk86Hfvh-ytnBW-7q9VuQJXEUylS8HxwCHQ4OA6zofdzg7K9e1F5-whkdJ7BnpHGIjtwdFs7kGO_xvFvZVdMNmDGW7CWNgWUdWx5AIc12gLLK2VaHndwgeMz4-ejYB55D60FrpEqtRTSNv3gmfa7rXhkbVItxNmXeBFGPQ-QMLzGIaVDpC0AnFWgimYWl1BJ22maQoTrT1yNDNI2Y5VhsgToXe48z1XvttcyffhlOxBjvvNlfkezHATORILS18Xp9Jh2UlkdaPIXUpf7Ba0sYb9p4p1XatihXoDyQhLHOZgIjxyabMOzSZYcyKlIqc5gUwNh4OkP0judXaJM5DubnVLXN09TA76CRajZPxb1dokDjb0jbQQ5WoPeHfjvSbC9xz8Zjtb7MPp24Mc95uDp3sww034bFuXYjuXjm4PiNpQITrDMpVtC9V1nXprCn7EeAFGY-mKrSEwjTtUwTW1ru4D0RwsC-kFcGl5WZfMvpD8MtbASAeSM7THqjeXLCYZSuIv58x6iWxnmZqJf6fdL5B3NxeVjV6nm_YP0qveoHt40O-_eGAkH-KvZmV2K1bOLVveoOMaAbHeBAO70UXLBsbeCkRPp_jhcaz5vMLJjUhWlOFSyBXSONofNEK1GEtOu4MUfrYYW8iF4xRlNEzC_XISrpeT-nY52b1cTryoDA5TzbGLNP5iKmd0K3TR571JJXq9JDZcpPTXaRs1w4HIHNE7HZTovhnl8XqMuDSbPLYpxQQZzeCp5pcOlB4VtMZH-HW0LATLHQES3toQVj42Iua2606AiJrcmIRJKc2JLEuKSHLoHwU2xL0tPC9InKLPOUYJ9mvKxim5jkeawzcZTJaf6nz3dciGV1Nb0RMXDq7iCxBWmxdhaCczvZ452evtil6c3OpdWzvHj6ctqMEX62OBn4ckoDeVWzEsW5y66LuV1t5kVzqmnmxFNizxlCLKoNftRZTXetG6PAqv7x2ZDT2T5bp5Vy5VPV_ObNYFfw8bX_8FroqVbg" id="10" name="Picture"/>
            <a:graphic>
              <a:graphicData uri="http://schemas.openxmlformats.org/drawingml/2006/picture">
                <pic:pic>
                  <pic:nvPicPr>
                    <pic:cNvPr descr="C:/Users/15919/Desktop/论文草稿/temp/manuscript_figures_6c5bme55/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Ligand-region detection by LigandSeek2-Find and LigandSeek.</w:t>
      </w:r>
      <w:r>
        <w:rPr>
          <w:rFonts w:ascii="Times New Roman" w:hAnsi="Times New Roman"/>
          <w:sz w:val="24"/>
        </w:rPr>
        <w:t xml:space="preserve"> </w:t>
      </w:r>
      <w:r>
        <w:rPr>
          <w:rFonts w:ascii="Times New Roman" w:hAnsi="Times New Roman"/>
          <w:sz w:val="24"/>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spacing w:line="480" w:lineRule="auto"/>
        <w:ind w:firstLine="0"/>
        <w:pageBreakBefore/>
      </w:pPr>
      <w:r>
        <w:rPr>
          <w:rFonts w:ascii="Times New Roman" w:hAnsi="Times New Roman"/>
          <w:b/>
          <w:i w:val="0"/>
          <w:sz w:val="24"/>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i/>
                <w:iCs/>
                <w:sz w:val="20"/>
              </w:rPr>
              <w:t xml:space="preserve">All ligands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i/>
                <w:iCs/>
                <w:sz w:val="20"/>
              </w:rPr>
              <w:t xml:space="preserve">Small molecules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12"/>
    <w:bookmarkStart w:id="13" w:name="stage-1-ablation-of-ligandseek2-find"/>
    <w:p>
      <w:pPr>
        <w:pStyle w:val="Heading2"/>
        <w:keepNext/>
        <w:spacing w:line="480" w:lineRule="auto"/>
        <w:ind w:firstLine="0"/>
      </w:pPr>
      <w:r>
        <w:rPr>
          <w:rFonts w:ascii="Times New Roman" w:hAnsi="Times New Roman"/>
          <w:sz w:val="24"/>
        </w:rPr>
        <w:t xml:space="preserve">Stage 1: Ablation of LigandSeek2-Find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3"/>
    <w:bookmarkStart w:id="23" w:name="stage-3-end-to-end-top-k-success"/>
    <w:p>
      <w:pPr>
        <w:pStyle w:val="Heading2"/>
        <w:keepNext/>
        <w:spacing w:line="480" w:lineRule="auto"/>
        <w:ind w:firstLine="0"/>
      </w:pPr>
      <w:r>
        <w:rPr>
          <w:rFonts w:ascii="Times New Roman" w:hAnsi="Times New Roman"/>
          <w:sz w:val="24"/>
        </w:rPr>
        <w:t xml:space="preserve">Stage 3: End-to-end top-k success</w:t>
      </w:r>
    </w:p>
    <w:bookmarkStart w:id="14" w:name="evaluation-protocol-top-k-success"/>
    <w:p>
      <w:pPr>
        <w:pStyle w:val="Heading3"/>
        <w:keepNext/>
        <w:spacing w:line="480" w:lineRule="auto"/>
        <w:ind w:firstLine="0"/>
      </w:pPr>
      <w:r>
        <w:rPr>
          <w:rFonts w:ascii="Times New Roman" w:hAnsi="Times New Roman"/>
          <w:sz w:val="24"/>
        </w:rPr>
        <w:t xml:space="preserve">Evaluation protocol (top-k success)</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w:t>
      </w:r>
    </w:p>
    <w:p>
      <w:pPr>
        <w:pStyle w:val="BodyText"/>
        <w:spacing w:line="480" w:lineRule="auto" w:after="120"/>
        <w:ind w:firstLine="480"/>
      </w:pPr>
      <w:r>
        <w:rPr>
          <w:rFonts w:ascii="Times New Roman" w:hAnsi="Times New Roman"/>
          <w:sz w:val="24"/>
        </w:rPr>
        <w:t xml:space="preserve">Find ranks candidate ligand regions by descending mean probability, yielding Rank 1, Rank 2 and subsequent candidates. For each PDB entry, the pipeline examines these candidates in order for up to</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attempts. A PDB entry is classified as successful if any attempt within this budget succeeds.</w:t>
      </w:r>
    </w:p>
    <w:p>
      <w:pPr>
        <w:pStyle w:val="BodyText"/>
        <w:spacing w:line="480" w:lineRule="auto" w:after="120"/>
        <w:ind w:firstLine="480"/>
      </w:pPr>
      <w:r>
        <w:rPr>
          <w:rFonts w:ascii="Times New Roman" w:hAnsi="Times New Roman"/>
          <w:sz w:val="24"/>
        </w:rPr>
        <w:t xml:space="preserve">Top-k success evaluates two basic end-to-end capabilities of our pipeline. These comprise detection and identity matching across all ligand categories, and detection, identity matching and modelling of single-residue organic small molecules with no missing atoms.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14"/>
    <w:bookmarkStart w:id="18" w:name="X5f64bd45b404ca02f1e597fd6c2fd1f17bc94df"/>
    <w:p>
      <w:pPr>
        <w:pStyle w:val="Heading3"/>
        <w:keepNext/>
        <w:spacing w:line="480" w:lineRule="auto"/>
        <w:ind w:firstLine="0"/>
      </w:pPr>
      <w:r>
        <w:rPr>
          <w:rFonts w:ascii="Times New Roman" w:hAnsi="Times New Roman"/>
          <w:sz w:val="24"/>
        </w:rPr>
        <w:t xml:space="preserve">End-to-end region detection and identity matching across ligand categories</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2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0tqy4YVjwJXtoKgdCI576hYGxR1pCe8uWZKrnzQFeit66ClFLy167qkP0ADtuxRonMfoDLmS5doBggQFGgMyh8OP3wyHw9n5KtLcFVHKopsfXv790x_xSXJy8_LFq19-7mrtFtEWiwxYVc4gJ9AwzbLPLBibZf3Bfn8_y47BXjuls-z1b7-_-vHb199_d_Prn1kW2LLsPl3NKyAqSKDDy7IzkXXeqbgTBa0Krp1U9VXFzXWjEfd5dDBPNVtUZW3T-aMsKpzTaRxbUUDFbVdpqHFxogxy4NRM47kyuTZKgLWynlZlnPR6u3HFZZ1Fh8Q2Mn546pYlsHk64yXyflLxKQyDecLFKwRhrwH0mazBev3GbJ5azQWaQZ4SVUiU7PSyqJ1eNCWpeONUy9nCaSceHGETaaw7C1t7LQhXggPB0_CvlU9V7Szu41ZIiXsuZQWWPYE5u1AVr73p4qi2D6551kBBZGM_H3txGM7mR3Tz2Towyc7K9Wdhe3DE0Z3445DnGrMEzAwQeiqnXZaw5-wEL9apDuAxSznlODMwxeiyHBwIijNDJZM51E66JfNJgLHpkhUXbP2nx3-PQ7IPwMfLAphoULbMFmrOHM41GIHhxlRnauI1_b195sA6Njr-mOGSkYifS1cw2wh6Q5OmZMiaS39lYU3S1THuHFTasXGTT8Eh4QcQlLsXV6XqHOtfW16qtyovajKRAo6VaCoM16q4uIL8qAKpO_z0IK68mVYT_o38YCnXW_e1997rAnjUEjx6iMAd9t-X969vXryBuXdHH7eh-b_eY5edYpX86JxqxirLDXzZSAOYxevCI5QxWGvYg5UnVKX7BWiLzQswwK234aEnFdcJ4jte8y97qi6Xb7TUvSUJzqI15YCdeeNPAa47a8CGzmO3kM1q4plBueyyx5ftboujVlY6yBEiQDtlmHWmEa7BLVuebXiUrOFDs1RHTlUJ1mCBr9hDH958t_zSV-gw-gI_zetPcjTY297e6Q8W273dfrKbPD_QUqT4a58Rf6tnlBs-v_d5bhmQ6104cBudYE1j3vk9Gyi5r3aF1JYSk05Yz0ZSUFrSRDyZjQyG1wqyMkxj3xbFviuK26Yo3uyJYqqVeMy6wS1Su6uJnFK4r3bFYFzBYBAHxVWP_pKurqd4EJkje38PJeqbUB6tzohXs_bj1qXgIKcInilxbVmthgWvp3BkjMKs5rklQuJbLfgEC0rkvN26YSCwxveCMC6lPpVlSRZJ9vuDwLH0GMAcJnGCmAu04tfvTNag-C4fzSy2P2w8P1f5Zg_F08XEVDTixbFF6JrYct09eT0tw8IxQettuiJKEKzN2haMKD-uSDV2Y49BVYwERNObDmb57MwG7K20QtN6rYLr8a3I07Jm1LTuD5JBYHkQRfdy4nu-DZmnjstypd6Uy7qNl9Xre8HfYfT1Py1IGPE" id="16" name="Picture"/>
            <a:graphic>
              <a:graphicData uri="http://schemas.openxmlformats.org/drawingml/2006/picture">
                <pic:pic>
                  <pic:nvPicPr>
                    <pic:cNvPr descr="C:/Users/15919/Desktop/论文草稿/temp/manuscript_figures_6c5bme55/figure_000002.png" id="17" name="Picture"/>
                    <pic:cNvPicPr>
                      <a:picLocks noChangeArrowheads="1" noChangeAspect="1"/>
                    </pic:cNvPicPr>
                  </pic:nvPicPr>
                  <pic:blipFill>
                    <a:blip r:embed="rId15"/>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End-to-end ligand-region detection and identity matching.</w:t>
      </w:r>
      <w:r>
        <w:rPr>
          <w:rFonts w:ascii="Times New Roman" w:hAnsi="Times New Roman"/>
          <w:sz w:val="24"/>
        </w:rPr>
        <w:t xml:space="preserve"> </w:t>
      </w:r>
      <w:r>
        <w:rPr>
          <w:rFonts w:ascii="Times New Roman" w:hAnsi="Times New Roman"/>
          <w:sz w:val="24"/>
        </w:rPr>
        <w:t xml:space="preserve">The curves show the percentage of the 179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480" w:lineRule="auto" w:after="120"/>
        <w:ind w:firstLine="480"/>
      </w:pPr>
      <w:r>
        <w:rPr>
          <w:rFonts w:ascii="Times New Roman" w:hAnsi="Times New Roman"/>
          <w:sz w:val="24"/>
        </w:rPr>
        <w:t xml:space="preserve">We first evaluated end-to-end ligand-region detection and identity matching in 179 independent test PDB entries</w:t>
      </w:r>
      <w:r>
        <w:rPr>
          <w:rFonts w:ascii="Times New Roman" w:hAnsi="Times New Roman"/>
          <w:sz w:val="24"/>
        </w:rPr>
        <w:t xml:space="preserve"> </w:t>
      </w:r>
      <w:r>
        <w:rPr>
          <w:rFonts w:ascii="Times New Roman" w:hAnsi="Times New Roman"/>
          <w:sz w:val="24"/>
        </w:rPr>
        <w:t xml:space="preserve">(</w:t>
      </w:r>
      <w:r>
        <w:rPr>
          <w:rStyle w:val="MDFIGREF_eJyrrk7LTC9KTbNKNUrVTczJ0U3LzEvRzU0sSc6orQUApM0LCA"/>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entries contained coexisting ligand categories, including small molecules, ions and sugars. Under the strictest single-attempt condition (</w:t>
      </w:r>
      <m:oMath>
        <m:r>
          <m:t>K</m:t>
        </m:r>
        <m:r>
          <m:rPr>
            <m:sty m:val="p"/>
          </m:rPr>
          <m:t>=</m:t>
        </m:r>
        <m:r>
          <m:t>1</m:t>
        </m:r>
      </m:oMath>
      <w:r>
        <w:rPr>
          <w:rFonts w:ascii="Times New Roman" w:hAnsi="Times New Roman"/>
          <w:sz w:val="24"/>
        </w:rP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ascii="Times New Roman" w:hAnsi="Times New Roman"/>
          <w:sz w:val="24"/>
        </w:rPr>
        <w:t xml:space="preserve">and 93 entries (52.0%)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w:t>
      </w:r>
    </w:p>
    <w:bookmarkEnd w:id="18"/>
    <w:bookmarkStart w:id="22" w:name="X6e1b63a4e35e6bf9431f623eff6c1e348a6971c"/>
    <w:p>
      <w:pPr>
        <w:pStyle w:val="Heading3"/>
        <w:keepNext/>
        <w:spacing w:line="480" w:lineRule="auto"/>
        <w:ind w:firstLine="0"/>
      </w:pPr>
      <w:r>
        <w:rPr>
          <w:rFonts w:ascii="Times New Roman" w:hAnsi="Times New Roman"/>
          <w:sz w:val="24"/>
        </w:rPr>
        <w:t xml:space="preserve">End-to-end reconstruction of all-atom small-molecule poses</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3 | End-to-end modelling of single-residue organic small molecules with no missing atom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M1uGzcQfhVCpwaVtLJsJbWaGHBlOyhqB4KdAgW6hUFxR1rC3CVLciUrTYFegqKHnlL00qLnnvoADdAe8iYFmuQxOkOuZDlxiiBB0Aio4RV_ZvhxODOcIflVw3CfN_qs8fSHR3__9Eey391_-ujhk19-bhvjzxtN1rDgtJpCRkyDfpp-6sC6NN3obW9sp-keuDOvTZo---33Jz9---z7757--meaRrQ0fRGu5AUQFHSh5QquVMtIA0qWQFTBjZe6PC24PasM8n3euDnrG3ZeqNL1Z7fSRu696SeJEzkU3LW1gRKJY20L7rFpJ8lM28xYLcA5WU4KlXQ7netJwWWZNnYIbWhDceLnCtisP-UKcT8u-AQGcXriSxYcxHsGYA5RRBf6V1qzvjNc4DSIQ2tAoO5WJ23UzeNKURevvK4xa3YaKcsM2cbSOn8Yh3ZqJqREAaKk8aeuH-jSOxzHnZASx9yVBTh2B2bsWBe8DFPnu6W7khZQIwSBjUJ7FKqDuLZQopj3lorpbi1EvxeHR0E82SQshyQ36CVgp4CsB3LSZpvsPtsvs5bXLcBlFjoDpUhNeszIKgpaOEJmFTA0GS-lYMEZkFOBQK3hEqXPWalZIYMdGfe6cG2SwEc53qpq3kABbA1kHFRYOuZyPWM-B2bACig9bgGyEPXcuME8OM-Gex8xpFi5MImrBG2tcaUYAmZS0I6JNFkyjv_eQ2E8G1XZBDzirYE-Ltus6OsjDIt11CleKero8VgK2NOiKlBdi5jjc5KjiKB-55ObSRGmqXvizzAUzs9ZUYtvgvShLzIPa4BbVwH4nY03xf3rm4cvQe5c6k9q1byrdmyzAwqrHD8UU-Qsg1J7YIcSg0x2AnDWWjKs9AXeJkMcA-jPU1DzNrt9N7ANdrsLlAyMdtJDHD-wc72LQamLoUzgFvC2EkTDFhivLYs9FaI-B712G2LdchBfAw03g6u-H91UxHhs4ctKWsCAu0ydQlt0KI-kCcZZdEEPIeIGF1TBhZlE__SS9jmBYbJsslkOFri72A77BTdd5I_-_9x8ulTzl870v7u-bXcdrYGGm2sg43p7gVgDDTfZSTz-McvxeMjwBLQarDA9AlvJhhRHwqFxqMUZ-M-OtGr5qsQkWYUz_UVCfe_23SYbXfvXxPoepuImE9euyrCMC6tRLJFzO6EEHQ-hbg10-p-cPd_9g9zS0WKOcuz46GSPjUDhlaXLHj_AiyNeMx8_QE6tJOVCvJEvTmpem9ZGcEe85ABeKcl_RvN4EWUOUx18yDLucnhu4AjvPC09bvU6cfTl5Ed38p3GF03WWD5QNHo3Nje3Nnrnm1vbH2x2O_dvGin6-NUW5K9kwczy2QuPFTUCYr0OBg6jnbGEsa_tShYUD5e8XBpHZqQVltOhFGREaog706FFFTpBswz6SXgkSsIbUVI_ESWrL0QJ7U5cZlnhEGn86VhOaBufXhe9UQG9XhI7Tjv0t9k25QQXIjPypA2s0SsS1oeLNaJplnJciBQF5KTBQwxAjpV6kPNyArvWajwh8cwhSMBbEMIpPXYi5sXQlQkiavKCEkZKmgOpFM1I9TA-VjjeuCzg2YyqY-Q5xlkC_VJjyZRcxqOWM6jh0ewIHXjlRYn3z8e2oBINx87jGxKbL9-SQj-R4dwzQfTaXZFLEFvttTUzcoVyAWqs87dBF4wqyE3nwzgtnx66yHtRW3ATvdRR9OSiyvsKswGibPe6vYhyJRfZZT-8gK3Ued9zqRbdq3VV1vpyZmkX_HYaX_8DNEsnLQ" id="20" name="Picture"/>
            <a:graphic>
              <a:graphicData uri="http://schemas.openxmlformats.org/drawingml/2006/picture">
                <pic:pic>
                  <pic:nvPicPr>
                    <pic:cNvPr descr="C:/Users/15919/Desktop/论文草稿/temp/manuscript_figures_6c5bme55/figure_000003.png" id="21" name="Picture"/>
                    <pic:cNvPicPr>
                      <a:picLocks noChangeArrowheads="1" noChangeAspect="1"/>
                    </pic:cNvPicPr>
                  </pic:nvPicPr>
                  <pic:blipFill>
                    <a:blip r:embed="rId19"/>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modelling of single-residue organic small molecules with no missing atoms.</w:t>
      </w:r>
      <w:r>
        <w:rPr>
          <w:rFonts w:ascii="Times New Roman" w:hAnsi="Times New Roman"/>
          <w:sz w:val="24"/>
        </w:rPr>
        <w:t xml:space="preserve"> </w:t>
      </w:r>
      <w:r>
        <w:rPr>
          <w:rFonts w:ascii="Times New Roman" w:hAnsi="Times New Roman"/>
          <w:sz w:val="24"/>
        </w:rPr>
        <w:t xml:space="preserve">Curves show the percentage of the 77 test PDB entries with successful predictions within an attempt budget of</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Find and Match denote LigandSeek-Find and LigandSeek-Match, respectively. GT and CA2 denote deposited and CryoAtom2-reconstructed receptor structures, respectively.</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curves require end-to-end correct region detection and ligand identity matching, whereas Find and Emap2lig-Find curves require only correct region detection.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Success rates for end-to-end pose reconstruction with PocketXMol-tuned using deposited (GT, b) and CryoAtom2-reconstructed (CA2, c) receptor structures across charged attempts</w:t>
      </w:r>
      <w:r>
        <w:rPr>
          <w:rFonts w:ascii="Times New Roman" w:hAnsi="Times New Roman"/>
          <w:sz w:val="24"/>
        </w:rPr>
        <w:t xml:space="preserve"> </w:t>
      </w:r>
      <m:oMath>
        <m:r>
          <m:t>K</m:t>
        </m:r>
      </m:oMath>
      <w:r>
        <w:rPr>
          <w:rFonts w:ascii="Times New Roman" w:hAnsi="Times New Roman"/>
          <w:sz w:val="24"/>
        </w:rPr>
        <w:t xml:space="preserve">. Success requires RMSD below 2 Å or 3 Å. Solid lines denote top-1 poses selected by model score; dashed lines denote best-of-50 poses.</w:t>
      </w:r>
    </w:p>
    <w:p>
      <w:pPr>
        <w:pStyle w:val="BodyText"/>
        <w:spacing w:line="480" w:lineRule="auto" w:after="120"/>
        <w:ind w:firstLine="480"/>
      </w:pPr>
      <w:r>
        <w:rPr>
          <w:rFonts w:ascii="Times New Roman" w:hAnsi="Times New Roman"/>
          <w:sz w:val="24"/>
        </w:rPr>
        <w:t xml:space="preserve">We evaluated the full end-to-end reconstruction pipeline (detection, matching, and pose reconstruction) for single-residue organic small molecules with no missing atoms across 77 PDB entries which contain at least one of them</w:t>
      </w:r>
      <w:r>
        <w:rPr>
          <w:rFonts w:ascii="Times New Roman" w:hAnsi="Times New Roman"/>
          <w:sz w:val="24"/>
        </w:rPr>
        <w:t xml:space="preserve"> </w:t>
      </w:r>
      <w:r>
        <w:rPr>
          <w:rFonts w:ascii="Times New Roman" w:hAnsi="Times New Roman"/>
          <w:sz w:val="24"/>
        </w:rPr>
        <w:t xml:space="preserve">(</w:t>
      </w:r>
      <w:r>
        <w:rPr>
          <w:rStyle w:val="MDFIGREF_eJyrrk7LTC9KTbNKNUrVLc5NzMnRLcgsSM3JzEutSdJJrq0FANjnDNA"/>
          <w:rFonts w:ascii="Times New Roman" w:hAnsi="Times New Roman"/>
          <w:sz w:val="24"/>
        </w:rPr>
        <w:t xml:space="preserve">Fig. 3b, 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all evaluations, PocketXMol-tuned used the centroid of the ligand region predicted by Find to define the binding site and pocket, without relying on ground-truth ligand coordinates. We tested the pipeline using both deposited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qtBQDAgAxB"/>
          <w:rFonts w:ascii="Times New Roman" w:hAnsi="Times New Roman"/>
          <w:sz w:val="24"/>
        </w:rPr>
        <w:t xml:space="preserve">Fig. 3b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and CryoAtom2-reconstructed receptors</w:t>
      </w:r>
      <w:r>
        <w:rPr>
          <w:rFonts w:ascii="Times New Roman" w:hAnsi="Times New Roman"/>
          <w:sz w:val="24"/>
        </w:rPr>
        <w:t xml:space="preserve"> </w:t>
      </w:r>
      <w:r>
        <w:rPr>
          <w:rFonts w:ascii="Times New Roman" w:hAnsi="Times New Roman"/>
          <w:sz w:val="24"/>
        </w:rPr>
        <w:t xml:space="preserve">(</w:t>
      </w:r>
      <w:r>
        <w:rPr>
          <w:rStyle w:val="MDFIGREF_eJyrrk7LTC9KTbNKNUrVLc5NzMnRLcgsSM3JzEutSa6tBQDAgwxC"/>
          <w:rFonts w:ascii="Times New Roman" w:hAnsi="Times New Roman"/>
          <w:sz w:val="24"/>
        </w:rPr>
        <w:t xml:space="preserve">Fig. 3c</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where in the latter, no deposited structural information was used at any stage of the pipeline.</w:t>
      </w:r>
    </w:p>
    <w:p>
      <w:pPr>
        <w:pStyle w:val="BodyText"/>
        <w:spacing w:line="480" w:lineRule="auto" w:after="120"/>
        <w:ind w:firstLine="480"/>
      </w:pPr>
      <w:r>
        <w:rPr>
          <w:rFonts w:ascii="Times New Roman" w:hAnsi="Times New Roman"/>
          <w:sz w:val="24"/>
        </w:rPr>
        <w:t xml:space="preserve">The strictest evaluation allowed one attempt (</w:t>
      </w:r>
      <m:oMath>
        <m:r>
          <m:t>K</m:t>
        </m:r>
        <m:r>
          <m:rPr>
            <m:sty m:val="p"/>
          </m:rPr>
          <m:t>=</m:t>
        </m:r>
        <m:r>
          <m:t>1</m:t>
        </m:r>
      </m:oMath>
      <w:r>
        <w:rPr>
          <w:rFonts w:ascii="Times New Roman" w:hAnsi="Times New Roman"/>
          <w:sz w:val="24"/>
        </w:rP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rPr>
          <w:rFonts w:ascii="Times New Roman" w:hAnsi="Times New Roman"/>
          <w:sz w:val="24"/>
        </w:rP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480" w:lineRule="auto" w:after="120"/>
        <w:ind w:firstLine="480"/>
      </w:pPr>
      <w:r>
        <w:rPr>
          <w:rFonts w:ascii="Times New Roman" w:hAnsi="Times New Roman"/>
          <w:sz w:val="24"/>
        </w:rPr>
        <w:t xml:space="preserve">For best-of-50 poses within</w:t>
      </w:r>
      <w:r>
        <w:rPr>
          <w:rFonts w:ascii="Times New Roman" w:hAnsi="Times New Roman"/>
          <w:sz w:val="24"/>
        </w:rPr>
        <w:t xml:space="preserve"> </w:t>
      </w:r>
      <m:oMath>
        <m:r>
          <m:t>K</m:t>
        </m:r>
        <m:r>
          <m:rPr>
            <m:sty m:val="p"/>
          </m:rPr>
          <m:t>≤</m:t>
        </m:r>
        <m:r>
          <m:t>10</m:t>
        </m:r>
      </m:oMath>
      <w:r>
        <w:rPr>
          <w:rFonts w:ascii="Times New Roman" w:hAnsi="Times New Roman"/>
          <w:sz w:val="24"/>
        </w:rPr>
        <w:t xml:space="preserve">, success at RMSD &lt; 2 Å reached 67.5% and 75.3% with CryoAtom2-reconstructed and deposited receptors, respectively. At RMSD &lt; 3 Å, the corresponding success rates were 75.3% and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3a</w:t>
      </w:r>
      <w:r>
        <w:rPr>
          <w:rFonts w:ascii="Times New Roman" w:hAnsi="Times New Roman"/>
          <w:sz w:val="24"/>
        </w:rPr>
        <w:t xml:space="preserve"> </w:t>
      </w:r>
      <w:r>
        <w:rPr>
          <w:rFonts w:ascii="Times New Roman" w:hAnsi="Times New Roman"/>
          <w:sz w:val="24"/>
        </w:rPr>
        <w:t xml:space="preserve">further separates the success rates of individual pipeline stages. Within the first 10 charged attempts (</w:t>
      </w:r>
      <m:oMath>
        <m:r>
          <m:t>K</m:t>
        </m:r>
        <m:r>
          <m:rPr>
            <m:sty m:val="p"/>
          </m:rPr>
          <m:t>≤</m:t>
        </m:r>
        <m:r>
          <m:t>10</m:t>
        </m:r>
      </m:oMath>
      <w:r>
        <w:rPr>
          <w:rFonts w:ascii="Times New Roman" w:hAnsi="Times New Roman"/>
          <w:sz w:val="24"/>
        </w:rP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22"/>
    <w:bookmarkEnd w:id="23"/>
    <w:bookmarkStart w:id="27" w:name="X9c1e71af165d87e9c7616a17e64efc2f5522419"/>
    <w:p>
      <w:pPr>
        <w:pStyle w:val="Heading2"/>
        <w:keepNext/>
        <w:spacing w:line="480" w:lineRule="auto"/>
        <w:ind w:firstLine="0"/>
      </w:pPr>
      <w:r>
        <w:rPr>
          <w:rFonts w:ascii="Times New Roman" w:hAnsi="Times New Roman"/>
          <w:sz w:val="24"/>
        </w:rPr>
        <w:t xml:space="preserve">Find–Build comparison with correct ligand identities</w:t>
      </w:r>
    </w:p>
    <w:p>
      <w:pPr>
        <w:pStyle w:val="FirstParagraph"/>
        <w:spacing w:line="480" w:lineRule="auto" w:after="120"/>
        <w:ind w:firstLine="480"/>
      </w:pPr>
      <w:r>
        <w:rPr>
          <w:rFonts w:ascii="Times New Roman" w:hAnsi="Times New Roman"/>
          <w:sz w:val="24"/>
        </w:rPr>
        <w:t xml:space="preserve">Full completion curves and per-PDB distributions for the Find–Build comparison with correct ligand identities are shown in</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4</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1"/>
            <wp:effectExtent b="0" l="0" r="0" t="0"/>
            <wp:docPr descr="Fig. 4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s1uGzcQfpWBgPYkaW3VcmolMZD4JwhgG4bdoAWqwqC4Iy1hLsmQXMlKUyA9FEX6c0rRS4uee-oDNEB76AP0HQI0yWN0uFzJcuwCaZIGFioD8nI5Mx9nOEPOiOKnNcN8VutA7dl3j__64bdkq7X17PGjpz_92DTGn9TqULPotBxiGpg2Ot3uHYfWdbvL7bXltW53E92x16bbff7Lr0-___L5tw-f_fx7txvRut3zcIrlGKBcYUyjL1Ta4Npa5L6RM8-zRq8QMg2MqXBGsvHRSKRRw3azLVSgcGa80OooZ_a4MET6uHZt1DFwkkvlOqPr3VrmvekkieMZ5sw1tUFFxL62NAa92kEy0jY1VnN0TqhBLpPW0tJqkjOhurX1gLZvy8ehH0uEUWfIJOHeztkAN-LwgS-ZcATeY0Szhyd-yr1UsUwIE6YdodBNKdXbqOMM46QLiUvqIvnWCiFUrweFDF2s8LpCrdiDJM0isfWFdX4nik6GJkrUMpoT_1Xtba28IznmuBAk84HI0cEejuBA50yVQ2c3lLuQVqJGiADWK997ZXMj2lY-Sc170_lorUxUvxfFoyI-OK40J2huKN7QDpFYt8WgCStwH7bJjCcPHt0MoQFc50Zi8ADoPgTvSWyQkEgLBHItU4KDy5mUkGuJnCaOrBQ-A6UhF6W_gXmduzow54o8vFcxCFKQfAoiReWFF-iaQVEf1f1PZ_A15gnmQMetIdoxGKZQ0mQrTwvNgc8QHO0HcOUK7G_edBDmfmVlFYjomaLF2QRGjk_rsJUz05IhIJA6sjrslJ46RDyOzt2wY32DvNoCciQary0JC-KV53lTNNoJj-ks74dEEQqQ8QwGVhemDrSxlSr1tCdksHrkwGV6FAiN5UhC5xu632gvAWGiuwoS-74kWTHIPBkri5xstXi3EBYhQzYcN0L8wcHu4SY4bwX3cjwHPjwbZ3lH71LuqHbd_KV2Xd3vC46bmhc5LbDJnuuzoEceQUsl8o7zY8grPU2pZtlXPisWv_6u9FdDh4_dUwy_3rq4-8mDhxcR_s2Yf3xxBiGppmE-fHY5daTFMgdazlH0v7eI_uizJsS805O6F3O8M1qlIeN7TZs0IKUU0aMK72zBUOYFMcSYoibFweHu7Z2tw-ZsOiloy5_UIIaqCdjX_Bj9R7taNnyhKMNwcjVt-yn1E1sdRhlaZG6a0CKEoNlSzNOQMChEqWDQuQk3GT8O2SikGuqgFElgPGN2gJQVQ5rRRZmAHKeIAwo3PMfujoUxmDbhjkrRkyWkVpDsMyGpOU22ZHUogKmjNJtqIE3FEaUq24RtbRdrdLKQ9uZqEcxDCvAhoP1MKBq0oSSsU0zKuC56RUosc2DLWwrCPz9fROGbLkSkpBJ_DhS9dLXIk2--urjmeCFK_2ELfaURv17E_xvWsaorgHmPuaFIgY3TwxYRiyFV5D3am3UfUuG8UFQXuYKHc7R-IWc28FQMRUpYvcU32zmtG5pwyyIqCMeP8WiGC8vDaVo8A6FgoAzdwLsFo8oZmYr1aE8WOCOTCpZTyT0jlCP1qRJ9DEaLYGzgHAotw6lQyUjIZYBZ0StC-BHLIvdPA6m99Lrb5ztzFYr1hesnrl9eWvj-0un4lnzf-r_5fh6KpsXp5ezJ4yJCL5-O8eTkhZ8y6b9Zr31Sh9r0Z_Rae6m1Rn49WW0tv7-6tnz_mhG8Q58qTthLxUlq2ejcT-oVAmG9CgaJ-cLiFMa-csDG0yQqJzNhXJjFYKEa7gse5jC88L3hvoUUHQ-jbHSS8r5DUl53SKrbDsnsZYckfFciM1VBIsL4o74YkLLuaJW3ezm220nsOFoKfytNowZkiEiDI1epFS5EUHt_YiO5ZqrHqUpRQRZmcEfzYwdKb2RMDfCGtXqUIUsdgSwHvAnBGeQ-dhLmqejMABE1OTcJPSnMtpAyjBjapXxsMFqxFj3PQrNPPAc0Skk_8zJlSs7ihTdnaIZ7o12dzl5pYJ2Tvs3DkxwHJ9fLSwwwvj65zFD2B3K4YsEDvQpX4uKBrYrairm8b5Gcghrr_C3UOYQGcYcT_TgsG-64yHvamnAHutJR9eS0yTpSQbhostZutSPKhVzBL1vlFYyZNut4JuSke7YtVTVfzkz9Qp_12md_AyuQKO0" id="25" name="Picture"/>
            <a:graphic>
              <a:graphicData uri="http://schemas.openxmlformats.org/drawingml/2006/picture">
                <pic:pic>
                  <pic:nvPicPr>
                    <pic:cNvPr descr="C:/Users/15919/Desktop/论文草稿/temp/manuscript_figures_6c5bme55/figure_000004.png" id="26" name="Picture"/>
                    <pic:cNvPicPr>
                      <a:picLocks noChangeArrowheads="1" noChangeAspect="1"/>
                    </pic:cNvPicPr>
                  </pic:nvPicPr>
                  <pic:blipFill>
                    <a:blip r:embed="rId2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4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2026-10-20T14:58:23Z</dcterms:created>
  <dcterms:modified xsi:type="dcterms:W3CDTF">2026-10-20T14:58:23Z</dcterms:modified>
</cp:coreProperties>
</file>

<file path=docProps/custom.xml><?xml version="1.0" encoding="utf-8"?>
<Properties xmlns="http://schemas.openxmlformats.org/officeDocument/2006/custom-properties" xmlns:vt="http://schemas.openxmlformats.org/officeDocument/2006/docPropsVTypes"/>
</file>