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ydUs2O0zAQfpUoZ6ibdtvdRksltAtcFlQhcbNUeR2nsZrYlu2mQYDEDThwQ1x4ADjxAKwET8NuH4OZOP1ZLQdEpMifZz5_M_PZr2LDfBGnUXzz6er3l5_k-u3V5ut7QD1jfBPfi2IrnC5rkSHpLKX0hRPWUZqMJsmE0nPhll4bSjfff1x_frf5-OHm2y9Kgxqld-UUqwRK5XJxX9fC1lKs5_UAUxWzy5XB5Oh4ODxKRk0yOUpOjk9enxrJU_ijpiqVS9kDGhfem5QQxwtRMdfTRihI5tpWzMPWLkhm2VqqRVWSQb8_JhWTisadAmj9jwYc8ysrdjL2n0R0nksuzjVfVUL5oGRFybzUyhXSOBpP2wlVPZN8ZsOGP6tnNsqE41jlLCWt8aT1nXS2k0PXiReVgTHVCo5I4-dgMTTr5kZzP7Z8TEJg3scv6Rm1gEFkBurJEBDeDODZdsbpKdn1sW8pNMjQwQvNly5S-qxgaiEeWqvXhWCZQ0HU2yacEdyHIGjujx4UCKrkjgmXpTSPZVliRcTt-QBY6rwVnhcIc-A8hypt_tZmRyK39XDnDDh8uX6qMxycrbzGDlna5LbCFS4uaiDTh2lehrXVhDimReMjjvnuuQKLI617tR0ZWO26FTXW-SdCVxECYFvoNJRl9YUL3D3asjGvdGid7CFLSxWtQWUyGoyCyl9ZeC-PVNZGd5ilnslyGz7Eper8Qoc6CP80fvMH-VN_jg" id="12" name="Picture"/>
            <a:graphic>
              <a:graphicData uri="http://schemas.openxmlformats.org/drawingml/2006/picture">
                <pic:pic>
                  <pic:nvPicPr>
                    <pic:cNvPr descr="C:/Users/15919/Desktop/论文草稿/temp/manuscript_figures_poct6rc6/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 c, Foreground classification and identity assignment in Match. The candidate encoder processes a 48³ grid centred on each blob with a U-Net to generate voxel summary h_j^{\mathrm{vox}}. Find-derived blob, pocket and pseudo-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ydUsuKFDEU_ZWi1k6nH9PVdDE2SI-6mZFGcBdoMqlUV-jKgyT9EBXciQt3gxt_wJUfoKBf48x8hvdWqh-DsxALipybe3LuvSd5k1oWqjRP0tvrH7-__CSXIlSmuHmPQcfasE0fJakT3tRrUSBvmlP6ygvnKe0Nx70xpefCL4OxlN59-37z-cPdp4-3X39RGgUpfVBRMyVQrZSLE9UQTtanmFDMLVcWU8PRYHDaG26z0aifDbpvz6zkOfzJVtXa5-wxTasQbE6I55VQzHeMFRqSpXGKBQjdghSObaReqJr0u92MKCY1TVsF0PofDTgWVk7sZdw_iZiylFycG75SQoeo5ETNgjTaV9J6mk6aCfV6JvnMxYC_WM9cUgjPsco0J43zpDGetL6TY9tJEMrCmHoFR6QNczAYmvVza3jIHM9I3Jh38et3rF7AILIA9V4GCO8F8Gw34-SM7Ps4tBQbZOjgheFLn2gzrZheiCfOmU0lWOFREPV2CW8FD3ETNA9HjwpEVfKXCVe1tM9kXWNFxM35CFjugxOBVwhL4LyEKk3-XrAnkft6GHkLDl9tLk2Bg7NVMNghy7elU7jCxSVbyHRhmtdxbTRhH9NiGxKO-fa5AosjrX21LRlYzboTtc6H58KoBAGwHXQay7L1hY_cA9qxMa9NbJ0cIMtrnWxAZTzsD6PKgyy8l6e6aHb3mOWByXq3fYxr3fqFDrUQ_kn67g8gfH7y" id="15" name="Picture"/>
            <a:graphic>
              <a:graphicData uri="http://schemas.openxmlformats.org/drawingml/2006/picture">
                <pic:pic>
                  <pic:nvPicPr>
                    <pic:cNvPr descr="C:/Users/15919/Desktop/论文草稿/temp/manuscript_figures_poct6rc6/figure_000002.png" id="16" name="Picture"/>
                    <pic:cNvPicPr>
                      <a:picLocks noChangeArrowheads="1" noChangeAspect="1"/>
                    </pic:cNvPicPr>
                  </pic:nvPicPr>
                  <pic:blipFill>
                    <a:blip r:embed="rId14"/>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bookmarkEnd w:id="17"/>
    <w:bookmarkStart w:id="56" w:name="results"/>
    <w:p>
      <w:pPr>
        <w:pStyle w:val="Heading1"/>
        <w:keepNext/>
        <w:spacing w:line="480" w:lineRule="auto"/>
        <w:ind w:firstLine="0"/>
      </w:pPr>
      <w:r>
        <w:rPr>
          <w:rFonts w:ascii="Times New Roman" w:hAnsi="Times New Roman"/>
          <w:sz w:val="24"/>
        </w:rPr>
        <w:t xml:space="preserve">Results</w:t>
      </w:r>
    </w:p>
    <w:bookmarkStart w:id="27"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performance was measured using the Dice score.</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one-to-oneF1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one-to-onePRAUC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18"/>
    <w:bookmarkStart w:id="22" w:name="stage-1-results"/>
    <w:p>
      <w:pPr>
        <w:pStyle w:val="Heading3"/>
        <w:keepNext/>
        <w:spacing w:line="480" w:lineRule="auto"/>
        <w:ind w:firstLine="0"/>
      </w:pPr>
      <w:r>
        <w:rPr>
          <w:rFonts w:ascii="Times New Roman" w:hAnsi="Times New Roman"/>
          <w:sz w:val="24"/>
        </w:rPr>
        <w:t xml:space="preserve">Stage 1: Results</w:t>
      </w:r>
    </w:p>
    <w:p>
      <w:pPr>
        <w:pStyle w:val="FirstParagraph"/>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 one-to-one PRAUC@0.3 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 one-to-one PRAUC@0.5 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 one-to-one PRAUC@0.3</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While this low precision directly depressed the Dice score of Emap2lig-Find, its top-k success rates remained moderate</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7</w:t>
      </w:r>
      <w:r>
        <w:rPr>
          <w:rFonts w:ascii="Times New Roman" w:hAnsi="Times New Roman"/>
          <w:sz w:val="24"/>
        </w:rPr>
        <w:t xml:space="preserve">,</w:t>
      </w:r>
      <w:r>
        <w:rPr>
          <w:rFonts w:ascii="Times New Roman" w:hAnsi="Times New Roman"/>
          <w:sz w:val="24"/>
        </w:rPr>
        <w:t xml:space="preserve"> </w:t>
      </w:r>
      <w:r>
        <w:rPr>
          <w:rStyle w:val="MDFIGREF_eJyrrk7LTC9KTbNKNUrVLc5NzMnRLcgsSM3JzEutSaytBQDAfQxA"/>
          <w:rFonts w:ascii="Times New Roman" w:hAnsi="Times New Roman"/>
          <w:sz w:val="24"/>
        </w:rPr>
        <w:t xml:space="preserve">Fig. 8a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spacing w:line="480" w:lineRule="auto"/>
        <w:ind w:firstLine="0"/>
        <w:jc w:val="center"/>
      </w:pPr>
      <w:r>
        <w:rPr>
          <w:rFonts w:ascii="Times New Roman" w:hAnsi="Times New Roman"/>
          <w:sz w:val="24"/>
        </w:rPr>
        <w:drawing>
          <wp:inline>
            <wp:extent cx="5733415" cy="6363415"/>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ydUsuO0zAU_ZUoa6ZuWlrUaKiEOsBmQBUSO0uVx3ESq4lt2W4bBKwRC1aM2IBYs-IDGAm-hul8BvfG6WPELBCRIh_fc3zuw34dG-bLOI3i7eXV788_ifOsEMn26uP11y89Y3wT34tiK5yu1iJD3Syl9KUT1lGajCbJhNIz4ZZeG0pvvv-4_vTu5sP77bdflAZDSu90VKwW6BbIk5pJdeJkY5gSFfI1s8uVQcXowXB4Pxk14-EY1zenRvIU_qipK-VS9pDGpfcmJcTxUtTM9bQRCshc25p52NqCZJZtpCrqigz6_THBdDTuHMDrfzzgmF9Zsbex_2Si81xycab5qhbKBycrKualVq6UxtF42nao1nPJ5zZs-PP13EaZcByzzFLSXgBp50-68ZPj6RMvagNtqhUckcYvcllAsW5hNPdjy8ckBBZ9_IY9owpoRGbgPkgA4fUAnu96nJ6SfR2HkkKBDCd4rvnSRUrPSqYK8chavSkFyxyYtH47whnBfQiC5-HoUYLgSv4awkUlzRNZVZgRcXs-AJY6b4XnJcIcNC8gS8vf2uxF5LYf7pyBCV9snukMG2crr7FClja5rXGFi4saYPrQzauwtp4QR1o0PuLId88VVBxl3avtxKBq152psc4_FbqOEIDaQqUhLVufu6A9oJ0aeaVD6eQAWVqpaAMuk9FgFFzuVOG9PFZZG91jlnomq134GFeqmxdOqIPwT-O3fwBJs4GK" id="20" name="Picture"/>
            <a:graphic>
              <a:graphicData uri="http://schemas.openxmlformats.org/drawingml/2006/picture">
                <pic:pic>
                  <pic:nvPicPr>
                    <pic:cNvPr descr="C:/Users/15919/Desktop/论文草稿/temp/manuscript_figures_poct6rc6/figure_000003.png" id="21" name="Picture"/>
                    <pic:cNvPicPr>
                      <a:picLocks noChangeArrowheads="1" noChangeAspect="1"/>
                    </pic:cNvPicPr>
                  </pic:nvPicPr>
                  <pic:blipFill>
                    <a:blip r:embed="rId19"/>
                    <a:stretch>
                      <a:fillRect/>
                    </a:stretch>
                  </pic:blipFill>
                  <pic:spPr bwMode="auto">
                    <a:xfrm>
                      <a:off x="0" y="0"/>
                      <a:ext cx="5733415" cy="6363415"/>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b,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d,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 f, One-to-one precision and recall at threshold of 0.3. Each point represents one PDB entry; open white circles and thick bars indicate the median and interquartile range, respectively.</w:t>
      </w:r>
    </w:p>
    <w:bookmarkEnd w:id="22"/>
    <w:bookmarkStart w:id="26"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4a–d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4d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4a–c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4d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usaually retained good detection performance with CryoAtom2-reconstructed receptors when deposited receptor structures were unavailable.</w:t>
      </w:r>
    </w:p>
    <w:p>
      <w:pPr>
        <w:pStyle w:val="CaptionedFigure"/>
        <w:keepNext/>
        <w:spacing w:line="480" w:lineRule="auto"/>
        <w:ind w:firstLine="0"/>
        <w:jc w:val="center"/>
      </w:pPr>
      <w:r>
        <w:rPr>
          <w:rFonts w:ascii="Times New Roman" w:hAnsi="Times New Roman"/>
          <w:sz w:val="24"/>
        </w:rPr>
        <w:drawing>
          <wp:inline>
            <wp:extent cx="5733415" cy="7082454"/>
            <wp:effectExtent b="0" l="0" r="0" t="0"/>
            <wp:docPr descr="Fig. 4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ydUt2KEzEUfpVhrt2m7bZdO6wF6ao3qxTBu0DJZjKd0JkkJJl2RL1VBMUb2RsfQK_0XkGfZt0-hudMpj-LLIgDQ76c853v_OVFbJjP4ySKrz_-uPr0kzjPFqJ39eHb5vPrq3eXHWN8Hd-JYiucLlYiReo0ofSZE9ZR2huOe2NKz4Rbem0o3Xz9_vvyzeb92-svvygNmpTeJqpYKVAw-I8yXVnOnDgqmVToL5ldVgYZw5Pj40FvWJ907_YHw8HLUyN5An9Ul4VyCbtH49x7kxDieC5K5jraCAXOTNuSebjaBUktW0u1KAvS73ZHBLPQuFUArf_RgDBfWbGTsf8korNMcnGmeVUK5YOSFQXzUiuXS-NoPGk6VKuZ5DMbLvzJamajVDiOWaYJaXZAmhWQdgPkcAHEi9JAm6qCEGn8PJMLKNbNjeZ-ZPmIBMO8i9-gY9QCGpEpqPeHgHA9gGfbHienZFfHvqRQIMMJnmu-dJHS05yphbhvrV7ngqUORHqot3U4I7gPRtDchx4kCKrkryFcFNI8lEWBGRE38QGwxHkrPM8RZsB5Clka_43LjkRu6uHNGZjwxfqxTrFxVnmNFbKkzmyJJywuqsHThW6eh7PRBDu6Re0jjv72uQKLI619tS0ZWM25FTXW-UdClxECYFuoNKRlq3MXuHu0ZaNf6VA62UOWFCpag8p4iDu8lYV7eaDSxrrDLPFMFlvzIS5UOy-cUAvhn8Sv_gAttIVb" id="24" name="Picture"/>
            <a:graphic>
              <a:graphicData uri="http://schemas.openxmlformats.org/drawingml/2006/picture">
                <pic:pic>
                  <pic:nvPicPr>
                    <pic:cNvPr descr="C:/Users/15919/Desktop/论文草稿/temp/manuscript_figures_poct6rc6/figure_000004.png" id="25" name="Picture"/>
                    <pic:cNvPicPr>
                      <a:picLocks noChangeArrowheads="1" noChangeAspect="1"/>
                    </pic:cNvPicPr>
                  </pic:nvPicPr>
                  <pic:blipFill>
                    <a:blip r:embed="rId23"/>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4 | Small-molecule region detection under different receptor conditions.</w:t>
      </w:r>
      <w:r>
        <w:rPr>
          <w:rFonts w:ascii="Times New Roman" w:hAnsi="Times New Roman"/>
          <w:sz w:val="24"/>
        </w:rPr>
        <w:t xml:space="preserve"> </w:t>
      </w:r>
      <w:r>
        <w:rPr>
          <w:rFonts w:ascii="Times New Roman" w:hAnsi="Times New Roman"/>
          <w:sz w:val="24"/>
        </w:rPr>
        <w:t xml:space="preserve">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6"/>
    <w:bookmarkEnd w:id="27"/>
    <w:bookmarkStart w:id="55" w:name="stage-2"/>
    <w:p>
      <w:pPr>
        <w:pStyle w:val="Heading2"/>
        <w:keepNext/>
        <w:spacing w:line="480" w:lineRule="auto"/>
        <w:ind w:firstLine="0"/>
      </w:pPr>
      <w:r>
        <w:rPr>
          <w:rFonts w:ascii="Times New Roman" w:hAnsi="Times New Roman"/>
          <w:sz w:val="24"/>
        </w:rPr>
        <w:t xml:space="preserve">Stage 2</w:t>
      </w:r>
    </w:p>
    <w:bookmarkStart w:id="28"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blob predicted by Find.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Conversely,</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We define the set of instances meeting a threshold of 0.30 in both directions as:</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We label</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meaning that both coverage fractions reach at least 30% for a ground-truth ligand. Otherwise, we label the blob as background under this criterion.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representation of that instance defines the ligand identity label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Find, we ran inference with deposited receptors on 1,650 training and 200 validation PDB entries. The resulting candidate blobs and their auxiliary features formed the training and validation sets for Match.</w:t>
      </w:r>
    </w:p>
    <w:p>
      <w:pPr>
        <w:pStyle w:val="BodyText"/>
        <w:spacing w:line="480" w:lineRule="auto" w:after="120"/>
        <w:ind w:firstLine="480"/>
      </w:pPr>
      <w:r>
        <w:rPr>
          <w:rFonts w:ascii="Times New Roman" w:hAnsi="Times New Roman"/>
          <w:sz w:val="24"/>
        </w:rPr>
        <w:t xml:space="preserve">Find also processed the 179 test PDB entries separately with deposited and CryoAtom2-reconstructed receptors. These conditions yielded 1,238 and 1,160 foreground blobs, respectively, whose corresponding ligands could be successfully parsed. They also yielded 413 and 489 false-positive blobs, respectively. The Match test sets included all these blobs, including false positives, under the same two receptor conditions. We applied no additional filtering or processing to the blobs, so this evaluation reflected the operation of the actual inference pipeline.</w:t>
      </w:r>
    </w:p>
    <w:p>
      <w:pPr>
        <w:pStyle w:val="BodyText"/>
        <w:spacing w:line="480" w:lineRule="auto" w:after="120"/>
        <w:ind w:firstLine="480"/>
      </w:pPr>
      <w:r>
        <w:rPr>
          <w:rFonts w:ascii="Times New Roman" w:hAnsi="Times New Roman"/>
          <w:sz w:val="24"/>
        </w:rPr>
        <w:t xml:space="preserve">We refer to the main model, which uses the</w:t>
      </w:r>
      <w:r>
        <w:rPr>
          <w:rFonts w:ascii="Times New Roman" w:hAnsi="Times New Roman"/>
          <w:sz w:val="24"/>
        </w:rPr>
        <w:t xml:space="preserve"> </w:t>
      </w:r>
      <w:r>
        <w:rPr>
          <w:rFonts w:ascii="Times New Roman" w:hAnsi="Times New Roman"/>
          <w:b/>
          <w:bCs/>
          <w:sz w:val="24"/>
        </w:rPr>
        <w:t xml:space="preserve">full voxel feature set</w:t>
      </w:r>
      <w:r>
        <w:rPr>
          <w:rFonts w:ascii="Times New Roman" w:hAnsi="Times New Roman"/>
          <w:sz w:val="24"/>
        </w:rPr>
        <w:t xml:space="preserve">, pocket context and auxiliary information AUX, as strongest. We also trained three ablation models on the same samples using the same training protocol. The voxel-only model used the full voxel feature set, density-only used only experimental density, and pocket-only used only pocket information.</w:t>
      </w:r>
    </w:p>
    <w:bookmarkEnd w:id="28"/>
    <w:bookmarkStart w:id="54"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480" w:lineRule="auto"/>
        <w:ind w:firstLine="0"/>
        <w:jc w:val="center"/>
      </w:pPr>
      <w:r>
        <w:rPr>
          <w:rFonts w:ascii="Times New Roman" w:hAnsi="Times New Roman"/>
          <w:sz w:val="24"/>
        </w:rPr>
        <w:drawing>
          <wp:inline>
            <wp:extent cx="5733415" cy="5752164"/>
            <wp:effectExtent b="0" l="0" r="0" t="0"/>
            <wp:docPr descr="Fig. 5 | Foreground classification and ligand identity matching by LigandSeek-Match. a, Results with deposited receptor structures. b, Corresponding results with CryoAtom2-reconstructed receptor structures. The six axes show overall SMILES matching accuracy, small-molecule accuracy, sugar accuracy, foreground F1, metal-ion accuracy and peptide accuracy, clockwise from the top. Radial coordinates span 20–100%. With deposited receptors, 1,653 candidates undergo classification and matching, including 1,238 foreground candidates for identity matching. These comprise 389 small molecules, 284 sugars, 564 metal ions and one peptide. With CryoAtom2-reconstructed receptors, 1,651 candidates undergo classification and matching, including 1,160 foreground candidates for identity matching. These comprise 348 small molecules, 277 sugars, 534 metal ions and one peptide. Diamonds indicate EMERALD-ID matching accuracy on a separate small-molecule test set, averaged only over sites that returned valid predictions. Valid predictions were returned for 282 sites with deposited receptors and 313 sites with CryoAtom2-reconstructed receptors." title="MDPPTFIG_eJydUstu1DAU_ZUoazqeRzNVozISmgKbgkZI7CyNbh0nsSaxLdszkwpYIxasQGxArFnxAVSCr6HTz-A6zjwqukBEinyuz_G5D_tVrMGVcRrFm4_Xvz__JNZBwYeb6w83X7_0tHZN_CCKDbeqWvHM66YppS8tN5bSQXI6OKX0nNuFU5rS2-8_bj69vX3_bvPtF6XBkNJ7HSXU3LsF8shABuZIgzCerMEsltrTyclodDxImuQkGQ7Gx6_PtGAp_lFTV9Km8JDGpXM6JcSyktdge0pziWSuTA0OQ1OQzMBayKKuyLDfH5MahKRx54Be_-OBx9zS8J2N-ScTleeC8XPFljWXLjgZXoETStpSaEvjSduhXM0Em5kQsOermYkybpnPMk1JO33SDp90syeHoyeO1xrblEs8IrSb56LAYu1cK-bGho1J2Jj3_Zf0tCywEZGh-2iAyN8N4tm2x8kZ2dWxLykUCH6CF4otbCTVtARZ8EfGqHXJIbNo0vptCas5c2ETPfdHDxIEV_LXEC4roZ-IqvIZPW7PBwCpdYY7VnqYo-YFZmn5O8FORO76-chqnPDl-pnKfOOwdMpXCGmTm9qveHFRg0wfu7kKa-uJ-57mjYuY57vniip21Ybtq-3EqGrXrak21j3lqo48QLXBSkNaWF3YoN2jrdrzUoXSyR5CWslojS6nyTAJLveq_L08llm7u8OQOhDVdvsQV7Kbl59QB_GfxG_-AM9BgEE" id="30" name="Picture"/>
            <a:graphic>
              <a:graphicData uri="http://schemas.openxmlformats.org/drawingml/2006/picture">
                <pic:pic>
                  <pic:nvPicPr>
                    <pic:cNvPr descr="C:/Users/15919/Desktop/论文草稿/temp/manuscript_figures_poct6rc6/figure_000005.png" id="31" name="Picture"/>
                    <pic:cNvPicPr>
                      <a:picLocks noChangeArrowheads="1" noChangeAspect="1"/>
                    </pic:cNvPicPr>
                  </pic:nvPicPr>
                  <pic:blipFill>
                    <a:blip r:embed="rId29"/>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5 | Foreground classification and ligand identity matching by LigandSeek-Match.</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Results with deposited receptor structures.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Corresponding results with CryoAtom2-reconstructed receptor structures.</w:t>
      </w:r>
      <w:r>
        <w:rPr>
          <w:rFonts w:ascii="Times New Roman" w:hAnsi="Times New Roman"/>
          <w:sz w:val="24"/>
        </w:rPr>
        <w:t xml:space="preserve"> </w:t>
      </w:r>
      <w:r>
        <w:rPr>
          <w:rFonts w:ascii="Times New Roman" w:hAnsi="Times New Roman"/>
          <w:sz w:val="24"/>
        </w:rPr>
        <w:t xml:space="preserve">The six axes show overall SMILES matching accuracy, small-molecule accuracy, sugar accuracy, foreground F1, metal-ion accuracy and peptide accuracy, clockwise from the top. Radial coordinates span 20–100%.</w:t>
      </w:r>
      <w:r>
        <w:rPr>
          <w:rFonts w:ascii="Times New Roman" w:hAnsi="Times New Roman"/>
          <w:sz w:val="24"/>
        </w:rPr>
        <w:t xml:space="preserve"> </w:t>
      </w:r>
      <w:r>
        <w:rPr>
          <w:rFonts w:ascii="Times New Roman" w:hAnsi="Times New Roman"/>
          <w:sz w:val="24"/>
        </w:rPr>
        <w:t xml:space="preserve">With deposited receptors, 1,653 candidates undergo classification and matching, including 1,238 foreground candidates for identity matching. These comprise 389 small molecules, 284 sugars, 564 metal ions and one peptide.</w:t>
      </w:r>
      <w:r>
        <w:rPr>
          <w:rFonts w:ascii="Times New Roman" w:hAnsi="Times New Roman"/>
          <w:sz w:val="24"/>
        </w:rPr>
        <w:t xml:space="preserve"> </w:t>
      </w:r>
      <w:r>
        <w:rPr>
          <w:rFonts w:ascii="Times New Roman" w:hAnsi="Times New Roman"/>
          <w:sz w:val="24"/>
        </w:rPr>
        <w:t xml:space="preserve">With CryoAtom2-reconstructed receptors, 1,651 candidates undergo classification and matching, including 1,160 foreground candidates for identity matching. These comprise 348 small molecules, 277 sugars, 534 metal ions and one peptide.</w:t>
      </w:r>
      <w:r>
        <w:rPr>
          <w:rFonts w:ascii="Times New Roman" w:hAnsi="Times New Roman"/>
          <w:sz w:val="24"/>
        </w:rPr>
        <w:t xml:space="preserve"> </w:t>
      </w:r>
      <w:r>
        <w:rPr>
          <w:rFonts w:ascii="Times New Roman" w:hAnsi="Times New Roman"/>
          <w:sz w:val="24"/>
        </w:rPr>
        <w:t xml:space="preserve">Diamonds indicate EMERALD-ID matching accuracy on a separate small-molecule test set, averaged only over sites that returned valid predictions. Valid predictions were returned for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5a</w:t>
      </w:r>
      <w:r>
        <w:rPr>
          <w:rFonts w:ascii="Times New Roman" w:hAnsi="Times New Roman"/>
          <w:sz w:val="24"/>
        </w:rPr>
        <w:t xml:space="preserve"> </w:t>
      </w:r>
      <w:r>
        <w:rPr>
          <w:rFonts w:ascii="Times New Roman" w:hAnsi="Times New Roman"/>
          <w:sz w:val="24"/>
        </w:rPr>
        <w:t xml:space="preserve">shows false-positive detection and ligand identity matching for the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5b</w:t>
      </w:r>
      <w:r>
        <w:rPr>
          <w:rFonts w:ascii="Times New Roman" w:hAnsi="Times New Roman"/>
          <w:sz w:val="24"/>
        </w:rPr>
        <w:t xml:space="preserve"> </w:t>
      </w:r>
      <w:r>
        <w:rPr>
          <w:rFonts w:ascii="Times New Roman" w:hAnsi="Times New Roman"/>
          <w:sz w:val="24"/>
        </w:rPr>
        <w:t xml:space="preserve">shows the corresponding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Peptides accounted for only 0.08% of all ligands in the full dataset. We retained the original test distribution without increasing the representation of this rare category, leaving only one peptide test case.</w:t>
      </w:r>
    </w:p>
    <w:p>
      <w:pPr>
        <w:pStyle w:val="BodyText"/>
        <w:spacing w:line="480" w:lineRule="auto" w:after="120"/>
        <w:ind w:firstLine="480"/>
      </w:pPr>
      <w:r>
        <w:rPr>
          <w:rFonts w:ascii="Times New Roman" w:hAnsi="Times New Roman"/>
          <w:sz w:val="24"/>
        </w:rPr>
        <w:t xml:space="preserve">The voxel-only model achieved a foreground F1 of 84.1% and an overall matching accuracy of 83.7%. Its matching accuracy was slightly below strongest’s 87.8%, but substantially above density-only’s 78.6% and pocket-only’s 79.4%. These comparisons showed that the</w:t>
      </w:r>
      <w:r>
        <w:rPr>
          <w:rFonts w:ascii="Times New Roman" w:hAnsi="Times New Roman"/>
          <w:sz w:val="24"/>
        </w:rPr>
        <w:t xml:space="preserve"> </w:t>
      </w:r>
      <w:r>
        <w:rPr>
          <w:rFonts w:ascii="Times New Roman" w:hAnsi="Times New Roman"/>
          <w:b/>
          <w:bCs/>
          <w:sz w:val="24"/>
        </w:rPr>
        <w:t xml:space="preserve">full voxel feature set</w:t>
      </w:r>
      <w:r>
        <w:rPr>
          <w:rFonts w:ascii="Times New Roman" w:hAnsi="Times New Roman"/>
          <w:sz w:val="24"/>
        </w:rPr>
        <w:t xml:space="preserve"> </w:t>
      </w:r>
      <w:r>
        <w:rPr>
          <w:rFonts w:ascii="Times New Roman" w:hAnsi="Times New Roman"/>
          <w:sz w:val="24"/>
        </w:rPr>
        <w:t xml:space="preserve">provided important discriminative information.</w:t>
      </w:r>
    </w:p>
    <w:p>
      <w:pPr>
        <w:pStyle w:val="BodyText"/>
        <w:spacing w:line="480" w:lineRule="auto" w:after="120"/>
        <w:ind w:firstLine="480"/>
      </w:pPr>
      <w:r>
        <w:rPr>
          <w:rFonts w:ascii="Times New Roman" w:hAnsi="Times New Roman"/>
          <w:sz w:val="24"/>
        </w:rPr>
        <w:t xml:space="preserve">Overall matching accuracy showed no marked decline for any of the four models when deposited receptors were replaced with CryoAtom2-reconstructed receptors. By contrast, Find showed some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480" w:lineRule="auto"/>
        <w:ind w:firstLine="0"/>
        <w:jc w:val="center"/>
      </w:pPr>
      <w:r>
        <w:rPr>
          <w:rFonts w:ascii="Times New Roman" w:hAnsi="Times New Roman"/>
          <w:sz w:val="24"/>
        </w:rPr>
        <w:drawing>
          <wp:inline>
            <wp:extent cx="5733415" cy="5608064"/>
            <wp:effectExtent b="0" l="0" r="0" t="0"/>
            <wp:docPr descr="Fig. 6 | LigandSeek-Match identity matching accuracy by number of competing ligand identities. a, Results for the strongest model with deposited receptor structures. b, Corresponding results for the strongest model with CryoAtom2-reconstructed receptor structures. With deposited receptors, groups with 1, 2, 3, 4 and ≥5 competing identities contain 419, 459, 113, 85 and 162 sites, respectively. With CryoAtom2-reconstructed receptors, the corresponding groups contain 413, 443, 91, 63 and 150 sites, respectively. One competing identity means that the candidate region belongs to a PDB entry containing only one ligand identity, giving 100% matching accuracy by definition." title="MDPPTFIG_eJydUsuO0zAU_ZUoa6ZOHwk0GiqhDrAZUIXEzlLlcZzEamJbttsGAWvEgtUgNiDWrPgARoKvYTqfwXWctB0xC0SkyMf3nnvuy69DRWwZpkG4-3j1-_NPZCwp2Gh3dXn99ctAKduE94JQMyOrDcscb55i_NIwbTAextPhFOMzZlZWKoxvvv-4_vTu5sP73bdfGHtBjO9UFKRmTs07T4zVUhTM2BNFuHaEmujVWjlKfH88ngzjJk6iB1EyeXOqOE3hD5q6EiYlD3FYWqtShAwtWU3MQComwJlLXRMLV12gTJMtF0VdoVEUJagmXOCwUwCt_9GAMLvWbC-j_0lE5jmn7EzSdc2E9UqaVcRyKUzJlcHhrO1QbBacLrS_0OebhQ4yZqjLMk9RuwHULgB180fH40eW1QraFGsI4couc15AsWapJLWJpgnyhmXkvmSgRAGN8AzUxxNAbj-AF32Ps1O0r-NQki-QuAmeS7oygZDzksAiH2kttyUjmQGRodPrHUYxar0RNA-hRwm8KvprCBcVV094VbmMDrfxHpAUXhCztHQwB84LyNL6b132JHRbz92MgglfbJ_JzDVO1la6Ckna5Lp2JywuaMATQTev_Nlqgt25WWMD6vzdcwUWdbTu1XZkYLVnL6q0sU-ZrAMHgK2hUp-WbM6N5x5Qz3Z-IX3p6ABJWolgCyrTeBR7lTtZbi-PRdZa95iklvCqNx_jSnTzchPqIPyz8O0fq7aCIg" id="33" name="Picture"/>
            <a:graphic>
              <a:graphicData uri="http://schemas.openxmlformats.org/drawingml/2006/picture">
                <pic:pic>
                  <pic:nvPicPr>
                    <pic:cNvPr descr="C:/Users/15919/Desktop/论文草稿/temp/manuscript_figures_poct6rc6/figure_000006.png" id="34" name="Picture"/>
                    <pic:cNvPicPr>
                      <a:picLocks noChangeArrowheads="1" noChangeAspect="1"/>
                    </pic:cNvPicPr>
                  </pic:nvPicPr>
                  <pic:blipFill>
                    <a:blip r:embed="rId32"/>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6 | LigandSeek-Match identity matching accuracy by number of competing ligand identities.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Results for the strongest model with deposited receptor structures.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Corresponding results for the strongest model with CryoAtom2-reconstructed receptor structures.</w:t>
      </w:r>
      <w:r>
        <w:rPr>
          <w:rFonts w:ascii="Times New Roman" w:hAnsi="Times New Roman"/>
          <w:sz w:val="24"/>
        </w:rPr>
        <w:t xml:space="preserve"> </w:t>
      </w:r>
      <w:r>
        <w:rPr>
          <w:rFonts w:ascii="Times New Roman" w:hAnsi="Times New Roman"/>
          <w:sz w:val="24"/>
        </w:rPr>
        <w:t xml:space="preserve">With deposited receptors, groups with 1, 2, 3, 4 and ≥5 competing identities contain 419, 459, 113, 85 and 162 sites, respectively. With CryoAtom2-reconstructed receptors, the corresponding groups contain 413, 443, 91, 63 and 150 sites, respectively.</w:t>
      </w:r>
      <w:r>
        <w:rPr>
          <w:rFonts w:ascii="Times New Roman" w:hAnsi="Times New Roman"/>
          <w:sz w:val="24"/>
        </w:rPr>
        <w:t xml:space="preserve"> </w:t>
      </w:r>
      <w:r>
        <w:rPr>
          <w:rFonts w:ascii="Times New Roman" w:hAnsi="Times New Roman"/>
          <w:sz w:val="24"/>
        </w:rPr>
        <w:t xml:space="preserve">One competing identity means that the candidate region belongs to a PDB entry containing only one ligand identity, giving 100% matching accuracy by definition.</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6a, b</w:t>
      </w:r>
      <w:r>
        <w:rPr>
          <w:rFonts w:ascii="Times New Roman" w:hAnsi="Times New Roman"/>
          <w:sz w:val="24"/>
        </w:rPr>
        <w:t xml:space="preserve"> </w:t>
      </w:r>
      <w:r>
        <w:rPr>
          <w:rFonts w:ascii="Times New Roman" w:hAnsi="Times New Roman"/>
          <w:sz w:val="24"/>
        </w:rPr>
        <w:t xml:space="preserve">stratifies strongest’s results by the number of SMILES representations in each PDB entry. This number corresponds to the ligand identities competing for assignment to each candidate region in that entry. Identity discrimination became more difficult as the number of competing identities increased. For example, with deposited receptors, small-molecule matching accuracy fell from 94.8% in entries with two identities to 65.9% in entries with four. Nevertheless, when fewer than 4 identities competed, matching accuracy generally exceeded 80% across ligand categories. These cases accounted for approximately 80% of tasks, making Match’s accuracy acceptable for practical use.</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This reflected their greater chemical separability from the other ligands. During identity matching, we provided no prior information about the ligand category within each candidate blob. Thus, the high accuracy did not arise from the limited number of metal-ion types.</w:t>
      </w:r>
    </w:p>
    <w:p>
      <w:pPr>
        <w:pStyle w:val="BodyText"/>
        <w:spacing w:line="480" w:lineRule="auto" w:after="120"/>
        <w:ind w:firstLine="480"/>
      </w:pPr>
      <w:r>
        <w:rPr>
          <w:rFonts w:ascii="Times New Roman" w:hAnsi="Times New Roman"/>
          <w:sz w:val="24"/>
        </w:rPr>
        <w:t xml:space="preserve">We also evaluated EMERALD-ID, which supports only small molecules. EMERALD-ID docks candidate small-molecule SMILES representations individually at each site,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small-molecule identities. In contrast, our model supports GPU acceleration through vectorised computation and required a mean of only 0.09 s to match each candidate blob. This mean runtime was measured on an NVIDIA H100 GPU.</w:t>
      </w:r>
    </w:p>
    <w:p>
      <w:pPr>
        <w:pStyle w:val="BodyText"/>
        <w:spacing w:line="480" w:lineRule="auto" w:after="120"/>
        <w:ind w:firstLine="480"/>
      </w:pPr>
      <w:r>
        <w:rPr>
          <w:rFonts w:ascii="Times New Roman" w:hAnsi="Times New Roman"/>
          <w:sz w:val="24"/>
        </w:rPr>
        <w:t xml:space="preserve">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5a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5b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p>
      <w:pPr>
        <w:pStyle w:val="CaptionedFigure"/>
        <w:keepNext/>
        <w:spacing w:line="480" w:lineRule="auto"/>
        <w:ind w:firstLine="0"/>
        <w:jc w:val="center"/>
      </w:pPr>
      <w:r>
        <w:rPr>
          <w:rFonts w:ascii="Times New Roman" w:hAnsi="Times New Roman"/>
          <w:sz w:val="24"/>
        </w:rPr>
        <w:drawing>
          <wp:inline>
            <wp:extent cx="5733415" cy="2915483"/>
            <wp:effectExtent b="0" l="0" r="0" t="0"/>
            <wp:docPr descr="Fig. 7 | End-to-end ligand-region detection and identity matching. The curves show the percentage of 179 test PDB entries with successful predictions within an attempt budget of K, for K=1–10.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 title="MDPPTFIG_eJydkstuEzEUhl9lNGsS59JJyKhEQmlgU1CExM5S5Ho8GSse27KdZBCwRixYFbEBse6qD0AleBqaPgbH48mlKgvESCP_9vn9-Zxjv401cUWcRvH2883vrz_RtDfd3lzefv_W1tpV8aMoNswqsWaZN01SjF9bZizG3WTUHWF8xuzSKY3x3fWP2y8f7j593F79wjjQMH6Ik6RkHsV6rEWEaOVcZq2SOFr4aEnMcqV9PBn2-yfdpOqNusnJ4_67U81pCn9UlULalDzBceGcThGytGAlsW2lmYRgrgzgYGoWKDNkw-WiFKjX6QxQSbjEcUMA1v8wYJtbGbbHmH-CqDznlJ0puiqZdIFkmCCOK2kLri2Ox3WFcj3jdGbChL5cz0yUMUv9KZMU1b1HdetR03l03HjkWKmhTLmCLVy7ec4XkKyda0XdwNABCgvzjv-GbS0XUAjPgN4fgvKXA3q2q3F8ivZ5HFIKCRLfwXNFlzaSalIQuWBPjVGbgpHMAqTrebuA1Yy6sAjMw9ajAwIVPWjCheD6GRfCn-h1vT8IklpnGDwdL3PwvIJT6vi9yd6E7vP8zGro8MXmhcp84WTllM-QpFVuSj_CxUUVRDpQzZsw1kxY92FWuYj6ePNcwUW9rXm1jRlc9biDamPdc6bKyAtwG8g0HEvW5zZ4D2rn9nGpQuroIEkqZLQByijpJYHyV5e_l6nM6tW9JqkjXOyWj7WQTb98hxoJ_zh-_weHcX1N" id="36" name="Picture"/>
            <a:graphic>
              <a:graphicData uri="http://schemas.openxmlformats.org/drawingml/2006/picture">
                <pic:pic>
                  <pic:nvPicPr>
                    <pic:cNvPr descr="C:/Users/15919/Desktop/论文草稿/temp/manuscript_figures_poct6rc6/figure_000007.png" id="37" name="Picture"/>
                    <pic:cNvPicPr>
                      <a:picLocks noChangeArrowheads="1" noChangeAspect="1"/>
                    </pic:cNvPicPr>
                  </pic:nvPicPr>
                  <pic:blipFill>
                    <a:blip r:embed="rId35"/>
                    <a:stretch>
                      <a:fillRect/>
                    </a:stretch>
                  </pic:blipFill>
                  <pic:spPr bwMode="auto">
                    <a:xfrm>
                      <a:off x="0" y="0"/>
                      <a:ext cx="5733415" cy="2915483"/>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7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179 test PDB entries with successful predictions within an attempt budget of</w:t>
      </w:r>
      <w:r>
        <w:rPr>
          <w:rFonts w:ascii="Times New Roman" w:hAnsi="Times New Roman"/>
          <w:sz w:val="24"/>
        </w:rPr>
        <w:t xml:space="preserve"> </w:t>
      </w:r>
      <m:oMath>
        <m:r>
          <m:t>K</m:t>
        </m:r>
      </m:oMath>
      <w:r>
        <w:rPr>
          <w:rFonts w:ascii="Times New Roman" w:hAnsi="Times New Roman"/>
          <w:sz w:val="24"/>
        </w:rPr>
        <w:t xml:space="preserve">, for</w:t>
      </w:r>
      <w:r>
        <w:rPr>
          <w:rFonts w:ascii="Times New Roman" w:hAnsi="Times New Roman"/>
          <w:sz w:val="24"/>
        </w:rPr>
        <w:t xml:space="preserve"> </w:t>
      </w:r>
      <m:oMath>
        <m:r>
          <m:t>K</m:t>
        </m:r>
        <m:r>
          <m:rPr>
            <m:sty m:val="p"/>
          </m:rPr>
          <m:t>=</m:t>
        </m:r>
        <m:r>
          <m:t>1</m:t>
        </m:r>
      </m:oMath>
      <w:r>
        <w:rPr>
          <w:rFonts w:ascii="Times New Roman" w:hAnsi="Times New Roman"/>
          <w:sz w:val="24"/>
        </w:rPr>
        <w:t xml:space="preserve">–</w:t>
      </w:r>
      <m:oMath>
        <m:r>
          <m:t>10</m:t>
        </m:r>
      </m:oMath>
      <w:r>
        <w:rPr>
          <w:rFonts w:ascii="Times New Roman" w:hAnsi="Times New Roman"/>
          <w:sz w:val="24"/>
        </w:rPr>
        <w:t xml:space="preserve">.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w:t>
      </w:r>
    </w:p>
    <w:p>
      <w:pPr>
        <w:pStyle w:val="CaptionedFigure"/>
        <w:keepNext/>
        <w:spacing w:line="480" w:lineRule="auto"/>
        <w:ind w:firstLine="0"/>
        <w:jc w:val="center"/>
      </w:pPr>
      <w:r>
        <w:rPr>
          <w:rFonts w:ascii="Times New Roman" w:hAnsi="Times New Roman"/>
          <w:sz w:val="24"/>
        </w:rPr>
        <w:drawing>
          <wp:inline>
            <wp:extent cx="5733415" cy="5023421"/>
            <wp:effectExtent b="0" l="0" r="0" t="0"/>
            <wp:docPr descr="Fig. 8 | End-to-end modelling of single-residue organic small molecules with no missing atoms. The evaluation includes 77 PDB entries containing these small molecules. Find and Match denote LigandSeek-Find and LigandSeek-Match, respectively, within the LigandSeek framework. a, Find curves require correct region detection, whereas Find+Match curves require both correct region detection and correct ligand identity matching. b,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 K; the vertical axis shows the percentage of PDB entries with successful predictions within that budget. GT and CA2 denote deposited and CryoAtom2-reconstructed receptor structures, respectively." title="MDPPTFIG_eJydUsuO0zAU_ZUoa6Zu06bQaKiEOoXNgCokdpYqj-M0Vv2S7T4QsEYsWIHYgFiz4gMYCb6G6XwG13HazmhYICJFPr73-Nx7j_0qNcTXaZGku4-Xvz__RNNsurv8cPX1S8cYv03vJallTos1KwNpUmD8wjHrMO7lo94I4zPmll4bjK-__7j69Pb6_bvdt18YRzWM78opIlmQYhk7cZIIcWK4YYIrFrKS2OXKhHx-v98f9PJt3s36g6z3-tRwWsCfbKVQriAPcVp7bwqEHK2ZJK6jDVOQrLSVxMPWLlBpyYarhRQo63aHSBKucNoqgNb_aMAxv7LsIGP_SURXFafsTNOVZMpHJcsE8VwrV3PjcDpuJlTrGaczGzf02Xpmk5I5GqpMCtR4jxrrUes8umk88kwaGFOt4Ag3fl7xBTTr5kZTP7R0iGJg3g3fg45RCxiEl6A-6AIKlwN4tp9xfIoOfRxbig2S4OC5pkuXKD2piVqwR9bqTc1I6UCkF_T2CWcY9TEImsejNwpEVXTHhAvBzWMuRKgYcHM-AlI4b5mndYAVcJ5DlSZ_a3Mgodt6YecMOHyxearLMDhZeR06JMW2sjKscHHJFjLBnZdxbTQhHtJs6xMa8u1zBRYNtPbVtmRgNete1FjnnzAtkwCAbaHTWJasz13kHtGeHfJKx9bREZJCqGQDKqM8y6PKX1nhXqaqbKIHTApPuNiHb2KhWr-CQy2Ef5y--QOKi32F" id="39" name="Picture"/>
            <a:graphic>
              <a:graphicData uri="http://schemas.openxmlformats.org/drawingml/2006/picture">
                <pic:pic>
                  <pic:nvPicPr>
                    <pic:cNvPr descr="C:/Users/15919/Desktop/论文草稿/temp/manuscript_figures_poct6rc6/figure_000008.png" id="40" name="Picture"/>
                    <pic:cNvPicPr>
                      <a:picLocks noChangeArrowheads="1" noChangeAspect="1"/>
                    </pic:cNvPicPr>
                  </pic:nvPicPr>
                  <pic:blipFill>
                    <a:blip r:embed="rId38"/>
                    <a:stretch>
                      <a:fillRect/>
                    </a:stretch>
                  </pic:blipFill>
                  <pic:spPr bwMode="auto">
                    <a:xfrm>
                      <a:off x="0" y="0"/>
                      <a:ext cx="5733415" cy="5023421"/>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8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The evaluation includes 77 PDB entries containing these small molecules. Find and Match denote LigandSeek-Find and LigandSeek-Match, respectively, within the LigandSeek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 curves require correct region detection, whereas Find+Match curves require both correct region detection and correct ligand identity matching.</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w:t>
      </w:r>
      <w:r>
        <w:rPr>
          <w:rFonts w:ascii="Times New Roman" w:hAnsi="Times New Roman"/>
          <w:sz w:val="24"/>
        </w:rPr>
        <w:t xml:space="preserve"> </w:t>
      </w:r>
      <m:oMath>
        <m:r>
          <m:t>K</m:t>
        </m:r>
      </m:oMath>
      <w:r>
        <w:rPr>
          <w:rFonts w:ascii="Times New Roman" w:hAnsi="Times New Roman"/>
          <w:sz w:val="24"/>
        </w:rPr>
        <w:t xml:space="preserve">; the vertical axis shows the percentage of PDB entries with successful predictions within that budget. GT and CA2 denote deposited and CryoAtom2-reconstructed receptor structures, respectively.</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41">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42">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43">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44">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45">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46">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47">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48">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49">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50">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51">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52">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53">
        <w:r>
          <w:rPr>
            <w:rStyle w:val="Hyperlink"/>
          </w:rPr>
          <w:t xml:space="preserve">10.1021/acs.jmedchem.3c01134</w:t>
        </w:r>
      </w:hyperlink>
      <w:r>
        <w:rPr>
          <w:rFonts w:ascii="Times New Roman" w:hAnsi="Times New Roman"/>
          <w:sz w:val="24"/>
        </w:rPr>
        <w:t xml:space="preserve">.</w:t>
      </w:r>
    </w:p>
    <w:bookmarkEnd w:id="54"/>
    <w:bookmarkEnd w:id="55"/>
    <w:bookmarkEnd w:id="56"/>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50" Type="http://schemas.openxmlformats.org/officeDocument/2006/relationships/hyperlink" Target="https://doi.org/10.1016/j.cell.2026.01.003" TargetMode="External"/><Relationship Id="rId52" Type="http://schemas.openxmlformats.org/officeDocument/2006/relationships/hyperlink" Target="https://doi.org/10.1016/j.str.2020.04.018" TargetMode="External"/><Relationship Id="rId48" Type="http://schemas.openxmlformats.org/officeDocument/2006/relationships/hyperlink" Target="https://doi.org/10.1016/j.str.2025.07.002" TargetMode="External"/><Relationship Id="rId42" Type="http://schemas.openxmlformats.org/officeDocument/2006/relationships/hyperlink" Target="https://doi.org/10.1016/j.tibs.2014.10.005" TargetMode="External"/><Relationship Id="rId53" Type="http://schemas.openxmlformats.org/officeDocument/2006/relationships/hyperlink" Target="https://doi.org/10.1021/acs.jmedchem.3c01134" TargetMode="External"/><Relationship Id="rId41" Type="http://schemas.openxmlformats.org/officeDocument/2006/relationships/hyperlink" Target="https://doi.org/10.1038/d41586-020-00341-9" TargetMode="External"/><Relationship Id="rId51" Type="http://schemas.openxmlformats.org/officeDocument/2006/relationships/hyperlink" Target="https://doi.org/10.1038/s41467-023-36732-5" TargetMode="External"/><Relationship Id="rId43" Type="http://schemas.openxmlformats.org/officeDocument/2006/relationships/hyperlink" Target="https://doi.org/10.1038/s41586-024-07215-4" TargetMode="External"/><Relationship Id="rId45" Type="http://schemas.openxmlformats.org/officeDocument/2006/relationships/hyperlink" Target="https://doi.org/10.1038/s41594-025-01723-1" TargetMode="External"/><Relationship Id="rId46" Type="http://schemas.openxmlformats.org/officeDocument/2006/relationships/hyperlink" Target="https://doi.org/10.1126/science.aat4346" TargetMode="External"/><Relationship Id="rId47" Type="http://schemas.openxmlformats.org/officeDocument/2006/relationships/hyperlink" Target="https://doi.org/10.64898/2026.06.01.729423" TargetMode="External"/><Relationship Id="rId44" Type="http://schemas.openxmlformats.org/officeDocument/2006/relationships/hyperlink" Target="https://doi.org/10.65215/LTSpreprints.2026.04.14.000185" TargetMode="External"/><Relationship Id="rId49"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016/j.cell.2026.01.003" TargetMode="External"/><Relationship Id="rId52" Type="http://schemas.openxmlformats.org/officeDocument/2006/relationships/hyperlink" Target="https://doi.org/10.1016/j.str.2020.04.018" TargetMode="External"/><Relationship Id="rId48" Type="http://schemas.openxmlformats.org/officeDocument/2006/relationships/hyperlink" Target="https://doi.org/10.1016/j.str.2025.07.002" TargetMode="External"/><Relationship Id="rId42" Type="http://schemas.openxmlformats.org/officeDocument/2006/relationships/hyperlink" Target="https://doi.org/10.1016/j.tibs.2014.10.005" TargetMode="External"/><Relationship Id="rId53" Type="http://schemas.openxmlformats.org/officeDocument/2006/relationships/hyperlink" Target="https://doi.org/10.1021/acs.jmedchem.3c01134" TargetMode="External"/><Relationship Id="rId41" Type="http://schemas.openxmlformats.org/officeDocument/2006/relationships/hyperlink" Target="https://doi.org/10.1038/d41586-020-00341-9" TargetMode="External"/><Relationship Id="rId51" Type="http://schemas.openxmlformats.org/officeDocument/2006/relationships/hyperlink" Target="https://doi.org/10.1038/s41467-023-36732-5" TargetMode="External"/><Relationship Id="rId43" Type="http://schemas.openxmlformats.org/officeDocument/2006/relationships/hyperlink" Target="https://doi.org/10.1038/s41586-024-07215-4" TargetMode="External"/><Relationship Id="rId45" Type="http://schemas.openxmlformats.org/officeDocument/2006/relationships/hyperlink" Target="https://doi.org/10.1038/s41594-025-01723-1" TargetMode="External"/><Relationship Id="rId46" Type="http://schemas.openxmlformats.org/officeDocument/2006/relationships/hyperlink" Target="https://doi.org/10.1126/science.aat4346" TargetMode="External"/><Relationship Id="rId47" Type="http://schemas.openxmlformats.org/officeDocument/2006/relationships/hyperlink" Target="https://doi.org/10.64898/2026.06.01.729423" TargetMode="External"/><Relationship Id="rId44" Type="http://schemas.openxmlformats.org/officeDocument/2006/relationships/hyperlink" Target="https://doi.org/10.65215/LTSpreprints.2026.04.14.000185" TargetMode="External"/><Relationship Id="rId49"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2026-10-06T13:21:00Z</dcterms:created>
  <dcterms:modified xsi:type="dcterms:W3CDTF">2026-10-06T13:21:00Z</dcterms:modified>
</cp:coreProperties>
</file>

<file path=docProps/custom.xml><?xml version="1.0" encoding="utf-8"?>
<Properties xmlns="http://schemas.openxmlformats.org/officeDocument/2006/custom-properties" xmlns:vt="http://schemas.openxmlformats.org/officeDocument/2006/docPropsVTypes"/>
</file>