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6ibhrJqtFRCXeCyoAqJm6XK6ziN1cS2bDcNAiRuwIEb4sIDwIkHYCV4Gnb7GMzE6c9qOSAiRf488_mbmc9-FRvmyziL4utPl7-__CRXby-3X98DGhjj2_hOFFvhdNWIHEmzjNIXTlhHaTKeJBNKz4RbeW0o3X7_cfX53fbjh-tvvygNapTellOsFihVyOVd3QjbSLFZNCNM1cyu1gaT45M0GSfDNpncS0Zp-vrUSJ7BH7V1pVzGHtC49N5khDheipq5gTZCQbLQtmYetnZJcss2Ui3rioyGw_ukZlLRuFcArf_RgGN-bcVexv6TiC4KycWZ5utaKB-UrKiYl1q5UhpH42k3oWrmks9t2PBnzdxGuXAcq8wy0hlPOt9Jbzs5dp14URsYU63hiDR-ARZDs26RlkIamU5ICCyG-CUDo5YwiMxBPT0BhDcDeL6bcXpK9n0cWgoNMnTwXPOVi5SelUwtxUNr9aYULHcgkqDeLuGM4D4EQfNw9KhAUCW3TLiopHksqworIu7OB8Ay563wvERYAOc5VOnyNzZ7ErmphztnwOGLzVOd4-Bs7TV2yLK2sDWucHFRC5khTPMyrJ0mxDEtWh9xzPfPFVgcaf2r7cnA6tadqLHOPxG6jhAA20KnoSxrzl3gHtCOjXmlQ-vkAFlWqWgDKpPxaBxU_srCe3mk8i66xyzzTFa78DGuVO8XOtRD-Kfxmz8CV38h" id="36" name="Picture"/>
            <a:graphic>
              <a:graphicData uri="http://schemas.openxmlformats.org/drawingml/2006/picture">
                <pic:pic>
                  <pic:nvPicPr>
                    <pic:cNvPr descr="C:/Users/15919/Desktop/论文草稿/temp/manuscript_figures_3heipi39/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ind w:firstLine="0"/>
        <w:jc w:val="center"/>
      </w:pPr>
      <w:r>
        <w:drawing>
          <wp:inline>
            <wp:extent cx="5731510" cy="677038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1uEzEQfpXVnmm9SZqGrEoklAKXFkVI3CxFrtebtbL-ke0kiwCJG-LADXHhBTjxACDB09D2MZhZb34qekCstPI3ns_fzHz269SyUKV5kt58-vH7y09yKUJliut3GBxbG5r0QZI64U29FgXypjmlL71wntLecNwbU3ou_DIYS-ntt-_Xn9_ffvxw8_UXpVGQ0nsVNVMC1Uq5OFIt4Wh9ggnF3HJlMTUcDXrDXtacjkbZ4GH25sxKnsOfNKrWPmePaFqFYHNCPK-EYv7YWKEhWRqnWIDQLUjh2EbqhapJP8tOiWJS07RTAK3_0YBjYeXETsb9k4gpS8nFueErJXSISk7ULEijfSWtp-mknVCvZ5LPXAz48_XMJYXwHKtMc9I6T1rjSec7ObSdBKEsjKlXcETaMAeDoVk_H1RCWjkYk7gxz_DrH1u9gEFkAeonGSC8F8Cz7YyTM7LrY99SbJChgxeGL32izbRieiEeO2c2lWCFB5Ee6m0T3goe4iZo7o8eFIiq5C8Trmppn8q6xoqI2_MRsNwHJwKvEJbAeQFV2vydYEcid_Uw8hYcvtpcmgIHZ6tgsEOWN6VTuMLFJQ1k0J1XcW01YR_TogkJx3z3XIHFkda92o4MrHbdilrnwzNhVIIA2A46jWXZ-sJH7h5t2ZjXJrZO9pDltU42oDIe9odR5V4W3ssTXbS7O8zywGS93T7Ete78Qoc6CP8kffsHV9F-mg" id="39" name="Picture"/>
            <a:graphic>
              <a:graphicData uri="http://schemas.openxmlformats.org/drawingml/2006/picture">
                <pic:pic>
                  <pic:nvPicPr>
                    <pic:cNvPr descr="C:/Users/15919/Desktop/论文草稿/temp/manuscript_figures_3heipi39/figure_000002.png" id="40" name="Picture"/>
                    <pic:cNvPicPr>
                      <a:picLocks noChangeArrowheads="1" noChangeAspect="1"/>
                    </pic:cNvPicPr>
                  </pic:nvPicPr>
                  <pic:blipFill>
                    <a:blip r:embed="rId38"/>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80" w:name="results"/>
    <w:p>
      <w:pPr>
        <w:pStyle w:val="1"/>
        <w:keepNext/>
        <w:ind w:firstLine="0"/>
      </w:pPr>
      <w:r>
        <w:t xml:space="preserve">Results</w:t>
      </w:r>
    </w:p>
    <w:bookmarkStart w:id="51"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performance was measured using the Dice score.</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one-to-oneF1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42"/>
    <w:bookmarkStart w:id="46" w:name="stage-1-results"/>
    <w:p>
      <w:pPr>
        <w:pStyle w:val="3"/>
        <w:keepNext/>
        <w:ind w:firstLine="0"/>
      </w:pPr>
      <w:r>
        <w:t xml:space="preserve">Stage 1: Results</w:t>
      </w:r>
    </w:p>
    <w:p>
      <w:pPr>
        <w:pStyle w:val="FirstParagraph"/>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 one-to-one PRAUC@0.3 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 one-to-one PRAUC@0.3</w:t>
      </w:r>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r>
        <w:t xml:space="preserve"> </w:t>
      </w:r>
      <w:r>
        <w:t xml:space="preserve">While this low precision directly depressed the Dice score of Emap2lig-Find, its top-k success rates remained moderate</w:t>
      </w:r>
      <w:r>
        <w:t xml:space="preserve"> </w:t>
      </w:r>
      <w:r>
        <w:t xml:space="preserve">(</w:t>
      </w:r>
      <w:r>
        <w:rPr>
          <w:rStyle w:val="MDFIGREF_eJyrrk7LTC9KTbNKNUrVTczJ0U3LzEvRzU0sSc6orQUApM0LCA"/>
        </w:rPr>
        <w:t xml:space="preserve">Fig. 7</w:t>
      </w:r>
      <w:r>
        <w:t xml:space="preserve">,</w:t>
      </w:r>
      <w:r>
        <w:t xml:space="preserve"> </w:t>
      </w:r>
      <w:r>
        <w:rPr>
          <w:rStyle w:val="MDFIGREF_eJyrrk7LTC9KTbNKNUrVLc5NzMnRLcgsSM3JzEutSaytBQDAfQxA"/>
        </w:rPr>
        <w:t xml:space="preserve">Fig. 8a</w:t>
      </w:r>
      <w:r>
        <w:t xml:space="preserve">),</w:t>
      </w:r>
      <w:r>
        <w:t xml:space="preserve"> </w:t>
      </w:r>
      <w: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uO0zAU_ZUoa6ZOJqSo0VAJdYDNgCokdpYqT-IkVhPbst02CFgjFqwYsQGxZsUHMBJ8DdP5DO6N03ZGzAIRKfLxPcfnPuzXoWauDrMg3F5c_v78k1jHKh5vLz9eff0y0tp14b0gNNyqZs0L1M0ySl9abiylcTqJJ5Secrt0SlN6_f3H1ad31x_eb7_9otQbUnqno2QtRzdPHrVMyCMrOs0kb5BvmVmuNCrSB0mcxlE3TsZxEkVvTrTIM_iDrm2kzdhDGtbO6YwQm9e8ZXakNJdAlsq0zMHWVKQwbCNk1TbkOIrGBNPRcHAAr__xgGNuZfjexvyTiSpLkfNTla9aLp13MrxhTihpa6EtDad9h3I9F_nc-E3-fD03QcFtjllmGekvgPTzJ8P4yc3pE8dbDW3KFRwR2i1KUUGxdpHUXGiRTIgPLCL8kpGWFTQiCnC_nwLC6wE83_U4PSH7Og4l-QIZTvBM5UsbSDWrmaz4I2PUpuassGASo9-OsJrnzgfB83D0RgLvSv4awnkj9BPRNJgRcX_eA5ZZZ7jLa4QlaF5Alp6_tdmLyG0_3FkNEz7fPFMFNs5WTmGFLOtK0-IKFxd0wETQzSu_9p4QR5p3LsiRH54rqHKUDa92EIOqX3em2lj3lKs2QABqA5X6tGx9Zr32gHZq5KXypZMDZFkjgw24TNLj1LvcqcJ7eSyLPrrHLHNMNLvwTdzIYV44oQHCPw3f_gFtAoEp" id="44" name="Picture"/>
            <a:graphic>
              <a:graphicData uri="http://schemas.openxmlformats.org/drawingml/2006/picture">
                <pic:pic>
                  <pic:nvPicPr>
                    <pic:cNvPr descr="C:/Users/15919/Desktop/论文草稿/temp/manuscript_figures_3heipi39/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b,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f, One-to-one precision and recall at threshold of 0.3. Each point represents one PDB entry; open white circles and thick bars indicate the median and interquartile range, respectively.</w:t>
      </w:r>
    </w:p>
    <w:bookmarkEnd w:id="46"/>
    <w:bookmarkStart w:id="50"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4a–d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4a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4b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4c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4d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4a–c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4d</w:t>
      </w:r>
      <w:r>
        <w:t xml:space="preserve">).</w:t>
      </w:r>
      <w:r>
        <w:t xml:space="preserve"> </w:t>
      </w:r>
      <w:r>
        <w:t xml:space="preserve">Nevertheless, the prediction still covered 0.810 of the ground-truth ligand region, and its Dice score exceeded the 0.131 achieved by Emap2lig-Find. Thus, across these four cases, LigandSeek-Find usaually retained good detection performance with CryoAtom2-reconstructed receptors when deposited receptor structures were unavailable.</w:t>
      </w:r>
    </w:p>
    <w:p>
      <w:pPr>
        <w:pStyle w:val="CaptionedFigure"/>
        <w:keepNext/>
        <w:ind w:firstLine="0"/>
        <w:jc w:val="center"/>
      </w:pPr>
      <w:r>
        <w:drawing>
          <wp:inline>
            <wp:extent cx="5731510" cy="7080101"/>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ydUt2K1DAUfpXSa3fT7uy4TlkHZFa9WWUQvAsM2TRtw7RJSDI_ot4qwoo3sjc-gF7pvYI-zbjzGJ7TdH4WFcRCyZdzvvOdvzyPDfNVnEXx9ftvqw_fifOsFOnq3Zf1x1ery6tDY_wyvhXFVjhdz0WO1FFG6VMnrKM07Q_SAaVnwk29NpSuP3_9efV6_fbN9acflAZNSv8mqlgjUDD4Dwo9s5w5cdAwqdDfMDudGWT0T3ppP02WJ8mdJE3SF6dG8gz-aNnUymXsLo0r701GiOOVaJg71EYocBbaNszD1ZYkt2whVdnU5ChJbhPMQuNOAbT-RwPC_MyKrYz9JxFdFJKLM81njVA-KFlRMy-1cpU0jsbDtkM1H0s-tuHCH8_HNsqF45hllJF2B6RdAek2QPYXQLxoDLSpZhAijZ8UsoRi3aRXCWlkb0CCYZLgd3xoVAmNyBzUjweAcD2Ax5seh6dkW8eupFAgwwmeaz51kdKjiqlS3LNWLyrBcgciKeptHM4I7oMRNHehewmCKvltCBe1NA9kXWNGxG18ACxz3grPK4QFcJ5AltZ_47IlkZt6eHMGJnyxeKRzbJzNvMYKWbYsbIMnLC5agieBbp6Fs9UEO7rF0kcc_d1zBRZHWvdqOzKw2nMjaqzzD4VuIgTAtlBpSMvm5y5wd2jDRr_SoXSygyyrVbQAlUH_qB9U_sjCvdxXeWvdYpZ5JuuNeR_XqpsXTqiD8A_jl78AP2uE8g" id="48" name="Picture"/>
            <a:graphic>
              <a:graphicData uri="http://schemas.openxmlformats.org/drawingml/2006/picture">
                <pic:pic>
                  <pic:nvPicPr>
                    <pic:cNvPr descr="C:/Users/15919/Desktop/论文草稿/temp/manuscript_figures_3heipi39/figure_000004.png" id="49" name="Picture"/>
                    <pic:cNvPicPr>
                      <a:picLocks noChangeArrowheads="1" noChangeAspect="1"/>
                    </pic:cNvPicPr>
                  </pic:nvPicPr>
                  <pic:blipFill>
                    <a:blip r:embed="rId47"/>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Small-molecule region detection under different receptor conditions.</w:t>
      </w:r>
      <w:r>
        <w:rPr>
          <w:rFonts w:ascii="华文仿宋" w:hAnsi="华文仿宋" w:eastAsia="华文仿宋"/>
          <w:sz w:val="18"/>
        </w:rPr>
        <w:t xml:space="preserve"> </w:t>
      </w:r>
      <w:r>
        <w:rPr>
          <w:rFonts w:ascii="华文仿宋" w:hAnsi="华文仿宋" w:eastAsia="华文仿宋"/>
          <w:sz w:val="18"/>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0"/>
    <w:bookmarkEnd w:id="51"/>
    <w:bookmarkStart w:id="79" w:name="stage-2"/>
    <w:p>
      <w:pPr>
        <w:pStyle w:val="2"/>
        <w:keepNext/>
        <w:ind w:firstLine="0"/>
      </w:pPr>
      <w:r>
        <w:t xml:space="preserve">Stage 2</w:t>
      </w:r>
    </w:p>
    <w:bookmarkStart w:id="52"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blob predicted by Find.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Here,</w:t>
      </w:r>
      <w:r>
        <w:t xml:space="preserve"> </w:t>
      </w:r>
      <m:oMath>
        <m:sSubSup>
          <m:e>
            <m:r>
              <m:t>c</m:t>
            </m:r>
          </m:e>
          <m:sub>
            <m:r>
              <m:t>i</m:t>
            </m:r>
            <m:r>
              <m:t>j</m:t>
            </m:r>
          </m:sub>
          <m:sup>
            <m:r>
              <m:t>B</m:t>
            </m:r>
          </m:sup>
        </m:sSubSup>
      </m:oMath>
      <w:r>
        <w:t xml:space="preserve"> </w:t>
      </w:r>
      <w:r>
        <w:t xml:space="preserve">is the fraction of the blob covered by the ground-truth ligand region. Conversely,</w:t>
      </w:r>
      <w:r>
        <w:t xml:space="preserve"> </w:t>
      </w:r>
      <m:oMath>
        <m:sSubSup>
          <m:e>
            <m:r>
              <m:t>c</m:t>
            </m:r>
          </m:e>
          <m:sub>
            <m:r>
              <m:t>i</m:t>
            </m:r>
            <m:r>
              <m:t>j</m:t>
            </m:r>
          </m:sub>
          <m:sup>
            <m:r>
              <m:t>G</m:t>
            </m:r>
          </m:sup>
        </m:sSubSup>
      </m:oMath>
      <w:r>
        <w:t xml:space="preserve"> </w:t>
      </w:r>
      <w:r>
        <w:t xml:space="preserve">is the fraction of the ground-truth ligand region covered by the blob. We define the set of instances meeting a threshold of 0.30 in both directions as:</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We label</w:t>
      </w:r>
      <w:r>
        <w:t xml:space="preserve"> </w:t>
      </w:r>
      <m:oMath>
        <m:sSub>
          <m:e>
            <m:r>
              <m:t>B</m:t>
            </m:r>
          </m:e>
          <m:sub>
            <m:r>
              <m:t>i</m:t>
            </m:r>
          </m:sub>
        </m:sSub>
      </m:oMath>
      <w:r>
        <w:t xml:space="preserve"> </w:t>
      </w:r>
      <w:r>
        <w:t xml:space="preserve">as foreground if</w:t>
      </w:r>
      <w:r>
        <w:t xml:space="preserve"> </w:t>
      </w:r>
      <m:oMath>
        <m:sSub>
          <m:e>
            <m:r>
              <m:rPr>
                <m:scr m:val="script"/>
                <m:sty m:val="p"/>
              </m:rPr>
              <m:t>J</m:t>
            </m:r>
          </m:e>
          <m:sub>
            <m:r>
              <m:t>i</m:t>
            </m:r>
          </m:sub>
        </m:sSub>
      </m:oMath>
      <w:r>
        <w:t xml:space="preserve"> </w:t>
      </w:r>
      <w:r>
        <w:t xml:space="preserve">is non-empty, meaning that both coverage fractions reach at least 30% for a ground-truth ligand. Otherwise, we label the blob as background under this criterion.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representation of that instance defines the ligand identity label for</w:t>
      </w:r>
      <w:r>
        <w:t xml:space="preserve"> </w:t>
      </w:r>
      <m:oMath>
        <m:sSub>
          <m:e>
            <m:r>
              <m:t>B</m:t>
            </m:r>
          </m:e>
          <m:sub>
            <m:r>
              <m:t>i</m:t>
            </m:r>
          </m:sub>
        </m:sSub>
      </m:oMath>
      <w:r>
        <w:t xml:space="preserve">.</w:t>
      </w:r>
    </w:p>
    <w:p>
      <w:pPr>
        <w:pStyle w:val="BodyText"/>
        <w:spacing w:line="360" w:lineRule="auto" w:after="120"/>
        <w:ind w:firstLine="420"/>
      </w:pPr>
      <w:r>
        <w:t xml:space="preserve">After training Find, we ran inference with deposited receptors on 1,650 training and 200 validation PDB entries. The resulting candidate blobs and their auxiliary features formed the training and validation sets for Match.</w:t>
      </w:r>
    </w:p>
    <w:p>
      <w:pPr>
        <w:pStyle w:val="BodyText"/>
        <w:spacing w:line="360" w:lineRule="auto" w:after="120"/>
        <w:ind w:firstLine="420"/>
      </w:pPr>
      <w:r>
        <w:t xml:space="preserve">Find also processed the 179 test PDB entries separately with deposited and CryoAtom2-reconstructed receptors. These conditions yielded 1,238 and 1,160 foreground blobs, respectively, whose corresponding ligands could be successfully parsed. They also yielded 413 and 489 false-positive blobs, respectively. The Match test sets included all these blobs, including false positives, under the same two receptor conditions. We applied no additional filtering or processing to the blobs, so this evaluation reflected the operation of the actual inference pipeline.</w:t>
      </w:r>
    </w:p>
    <w:p>
      <w:pPr>
        <w:pStyle w:val="BodyText"/>
        <w:spacing w:line="360" w:lineRule="auto" w:after="120"/>
        <w:ind w:firstLine="420"/>
      </w:pPr>
      <w:r>
        <w:t xml:space="preserve">We refer to the main model, which uses the</w:t>
      </w:r>
      <w:r>
        <w:t xml:space="preserve"> </w:t>
      </w:r>
      <w:r>
        <w:rPr>
          <w:b/>
          <w:bCs/>
        </w:rPr>
        <w:t xml:space="preserve">full voxel feature set</w:t>
      </w:r>
      <w:r>
        <w:t xml:space="preserve">, pocket context and auxiliary information AUX, as strongest. We also trained three ablation models on the same samples using the same training protocol. The voxel-only model used the full voxel feature set, density-only used only experimental density, and pocket-only used only pocket information.</w:t>
      </w:r>
    </w:p>
    <w:bookmarkEnd w:id="52"/>
    <w:bookmarkStart w:id="78" w:name="stage-2-results"/>
    <w:p>
      <w:pPr>
        <w:pStyle w:val="3"/>
        <w:keepNext/>
        <w:ind w:firstLine="0"/>
      </w:pPr>
      <w:r>
        <w:t xml:space="preserve">Stage 2: Results</w:t>
      </w:r>
    </w:p>
    <w:p>
      <w:pPr>
        <w:pStyle w:val="CaptionedFigure"/>
        <w:keepNext/>
        <w:ind w:firstLine="0"/>
        <w:jc w:val="center"/>
      </w:pPr>
      <w:r>
        <w:drawing>
          <wp:inline>
            <wp:extent cx="5731510" cy="5750253"/>
            <wp:effectExtent b="0" l="0" r="0" t="0"/>
            <wp:docPr descr="Fig. 5 | Foreground classification and ligand identity matching by LigandSeek-Match. a, Results with deposited receptor structures. b, Corresponding results with CryoAtom2-reconstructed receptor structures. The six axes show overall SMILES matching accuracy, small-molecule accuracy, sugar accuracy, foreground F1, metal-ion accuracy and peptide accuracy, clockwise from the top. Radial coordinates span 20–100%. With deposited receptors, 1,653 candidates undergo classification and matching, including 1,238 foreground candidates for identity matching. These comprise 389 small molecules, 284 sugars, 564 metal ions and one peptide. With CryoAtom2-reconstructed receptors, 1,651 candidates undergo classification and matching, including 1,160 foreground candidates for identity matching. These comprise 348 small molecules, 277 sugars, 534 metal ions and one peptide. Diamonds indicate EMERALD-ID matching accuracy on a separate small-molecule test set, averaged only over sites that returned valid predictions. Valid predictions were returned for 282 sites with deposited receptors and 313 sites with CryoAtom2-reconstructed receptors." title="MDPPTFIG_eJydUsuO0zAU_ZUoa2actgqjRkMl1AE2A6qQ2Fmq7jhOYjWxLdttMwLWiAUr0GxArFnxAYwEX8N0PoPrOH2MmAUiUuRzfY7PfdivYw2uirMo3ny6_v35J7EOSj7cXH-8-frlWGvXxg-i2HCr6hXPvW6aUfrKcmMpHaTjwZjSM24XTmlKb7__uLl6d_vh_ebbL0qDIaX3OkpouHcL5JGBHMyRBmE82YBZLLWn05PRIB0kbXqSJsN09OZUC5bhH7VNLW0Gj2hcOaczQiyreAP2WGkukSyUacBhaEqSG1gLWTY1GSbJQ9KAkDTuHdDrfzzwmFsavrMx_2SiikIwfqbYsuHSBSfDa3BCSVsJbWk86TqUq5lgMxMC9mI1M1HOLfNZphnppk-64ZN-9uRw9MTxRmObcolHhHbzQpRYrJ2PKi60GI1J2Jgn_kuPtSyxEZGje5oi8neDeLbtcXJKdnXsSwoFgp_guWILG0k1rUCW_LExal1xyC2aDLzflrCaMxc20XN_9CBBcCV_DeGiFvqpqGuf0ePufACQWWe4Y5WHBWpeYpaOvxPsROSun4-sxglfrJ-r3DcOS6d8hZC1hWn8ihcXtcgk2M1lWDtP3Pc0b13EPN8_V1Sxyy7sXm0vRlW3bk21se4ZV03kAaoNVhrSwurcBu0ebdWelyqUTvYQslpGa3QZp8M0uNyr8vfyRObd7g5D5kDU2-1DXMt-Xn5CPcR_Er_9Awzzf-w" id="54" name="Picture"/>
            <a:graphic>
              <a:graphicData uri="http://schemas.openxmlformats.org/drawingml/2006/picture">
                <pic:pic>
                  <pic:nvPicPr>
                    <pic:cNvPr descr="C:/Users/15919/Desktop/论文草稿/temp/manuscript_figures_3heipi39/figure_000005.png" id="55" name="Picture"/>
                    <pic:cNvPicPr>
                      <a:picLocks noChangeArrowheads="1" noChangeAspect="1"/>
                    </pic:cNvPicPr>
                  </pic:nvPicPr>
                  <pic:blipFill>
                    <a:blip r:embed="rId53"/>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Foreground classification and ligand identity matching by LigandSeek-Match.</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Results with deposited receptor structures.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Corresponding results with CryoAtom2-reconstructed receptor structures.</w:t>
      </w:r>
      <w:r>
        <w:rPr>
          <w:rFonts w:ascii="华文仿宋" w:hAnsi="华文仿宋" w:eastAsia="华文仿宋"/>
          <w:sz w:val="18"/>
        </w:rPr>
        <w:t xml:space="preserve"> </w:t>
      </w:r>
      <w:r>
        <w:rPr>
          <w:rFonts w:ascii="华文仿宋" w:hAnsi="华文仿宋" w:eastAsia="华文仿宋"/>
          <w:sz w:val="18"/>
        </w:rPr>
        <w:t xml:space="preserve">The six axes show overall SMILES matching accuracy, small-molecule accuracy, sugar accuracy, foreground F1, metal-ion accuracy and peptide accuracy, clockwise from the top. Radial coordinates span 20–100%.</w:t>
      </w:r>
      <w:r>
        <w:rPr>
          <w:rFonts w:ascii="华文仿宋" w:hAnsi="华文仿宋" w:eastAsia="华文仿宋"/>
          <w:sz w:val="18"/>
        </w:rPr>
        <w:t xml:space="preserve"> </w:t>
      </w:r>
      <w:r>
        <w:rPr>
          <w:rFonts w:ascii="华文仿宋" w:hAnsi="华文仿宋" w:eastAsia="华文仿宋"/>
          <w:sz w:val="18"/>
        </w:rPr>
        <w:t xml:space="preserve">With deposited receptors, 1,653 candidates undergo classification and matching, including 1,238 foreground candidates for identity matching. These comprise 389 small molecules, 284 sugars, 564 metal ions and one peptide.</w:t>
      </w:r>
      <w:r>
        <w:rPr>
          <w:rFonts w:ascii="华文仿宋" w:hAnsi="华文仿宋" w:eastAsia="华文仿宋"/>
          <w:sz w:val="18"/>
        </w:rPr>
        <w:t xml:space="preserve"> </w:t>
      </w:r>
      <w:r>
        <w:rPr>
          <w:rFonts w:ascii="华文仿宋" w:hAnsi="华文仿宋" w:eastAsia="华文仿宋"/>
          <w:sz w:val="18"/>
        </w:rPr>
        <w:t xml:space="preserve">With CryoAtom2-reconstructed receptors, 1,651 candidates undergo classification and matching, including 1,160 foreground candidates for identity matching. These comprise 348 small molecules, 277 sugars, 534 metal ions and one peptide.</w:t>
      </w:r>
      <w:r>
        <w:rPr>
          <w:rFonts w:ascii="华文仿宋" w:hAnsi="华文仿宋" w:eastAsia="华文仿宋"/>
          <w:sz w:val="18"/>
        </w:rPr>
        <w:t xml:space="preserve"> </w:t>
      </w:r>
      <w:r>
        <w:rPr>
          <w:rFonts w:ascii="华文仿宋" w:hAnsi="华文仿宋" w:eastAsia="华文仿宋"/>
          <w:sz w:val="18"/>
        </w:rPr>
        <w:t xml:space="preserve">Diamonds indicate EMERALD-ID matching accuracy on a separate small-molecule test set, averaged only over sites that returned valid predictions. Valid predictions were returned for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5a</w:t>
      </w:r>
      <w:r>
        <w:t xml:space="preserve"> </w:t>
      </w:r>
      <w:r>
        <w:t xml:space="preserve">shows false-positive detection and ligand identity matching for the four model variants with deposited receptors.</w:t>
      </w:r>
      <w:r>
        <w:t xml:space="preserve"> </w:t>
      </w:r>
      <w:r>
        <w:rPr>
          <w:rStyle w:val="MDFIGREF_eJyrrk7LTC9KTbMqLklMTzXSLUpMSSzSLUjMLKpJqq0FALbBC9I"/>
        </w:rPr>
        <w:t xml:space="preserve">Fig. 5b</w:t>
      </w:r>
      <w:r>
        <w:t xml:space="preserve"> </w:t>
      </w:r>
      <w:r>
        <w:t xml:space="preserve">shows the corresponding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Peptides accounted for only 0.08% of all ligands in the full dataset. We retained the original test distribution without increasing the representation of this rare category, leaving only one peptide test case.</w:t>
      </w:r>
    </w:p>
    <w:p>
      <w:pPr>
        <w:pStyle w:val="BodyText"/>
        <w:spacing w:line="360" w:lineRule="auto" w:after="120"/>
        <w:ind w:firstLine="420"/>
      </w:pPr>
      <w:r>
        <w:t xml:space="preserve">The voxel-only model achieved a foreground F1 of 84.1% and an overall matching accuracy of 83.7%. Its matching accuracy was slightly below strongest’s 87.8%, but substantially above density-only’s 78.6% and pocket-only’s 79.4%. These comparisons showed that the</w:t>
      </w:r>
      <w:r>
        <w:t xml:space="preserve"> </w:t>
      </w:r>
      <w:r>
        <w:rPr>
          <w:b/>
          <w:bCs/>
        </w:rPr>
        <w:t xml:space="preserve">full voxel feature set</w:t>
      </w:r>
      <w:r>
        <w:t xml:space="preserve"> </w:t>
      </w:r>
      <w:r>
        <w:t xml:space="preserve">provided important discriminative information.</w:t>
      </w:r>
    </w:p>
    <w:p>
      <w:pPr>
        <w:pStyle w:val="BodyText"/>
        <w:spacing w:line="360" w:lineRule="auto" w:after="120"/>
        <w:ind w:firstLine="420"/>
      </w:pPr>
      <w:r>
        <w:t xml:space="preserve">Overall matching accuracy showed no marked decline for any of the four models when deposited receptors were replaced with CryoAtom2-reconstructed receptors. By contrast, Find showed some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ind w:firstLine="0"/>
        <w:jc w:val="center"/>
      </w:pPr>
      <w:r>
        <w:drawing>
          <wp:inline>
            <wp:extent cx="5731510" cy="5606201"/>
            <wp:effectExtent b="0" l="0" r="0" t="0"/>
            <wp:docPr descr="Fig. 6 | LigandSeek-Match identity matching accuracy by number of competing ligand identities. a, Results for the strongest model with deposited receptor structures. b, Corresponding results for the strongest model with CryoAtom2-reconstructed receptor structures. With deposited receptors, groups with 1, 2, 3, 4 and ≥5 competing identities contain 419, 459, 113, 85 and 162 sites, respectively. With CryoAtom2-reconstructed receptors, the corresponding groups contain 413, 443, 91, 63 and 150 sites, respectively. One competing identity means that the candidate region belongs to a PDB entry containing only one ligand identity, giving 100% matching accuracy by definition." title="MDPPTFIG_eJydUsuO0zAU_ZUoa6ZOWqXQaKiEOsBmQBUSO0uVx3ESq_FDttsGAWvEghUjNiDWrPgARoKvYTqfwXWcPkbMAhEp8vG955778utYE1fHeRRvL69-f_6JrCMVG26vPl5__TLQ2rXxvSg2zKpmzQrPm-UYv7TMWIzTbJJOMD5jdumUxvjm-4_rT-9uPrzffvuFcRDE-E5FSQTzasF5Yp1RsmLWnWjCjScIYpYr7SnZ_VGapUmbjZPxMEnfnGpOc_ijVjTS5uQhjmvndI6QpTUTxA6UZhKcpTKCOLiaChWGbLisRIOGSTJGgnCJ414BtP5HA8LcyrC9jPknEVWWnLIzRVeCSReUDGuI40rammuL42nXoVzPOZ2bcKHP13MTFcxSn2WWo24DqFsA6uePjsePHBMa2pQrCOHaLUpeQbF2MaoZ13w0QcGwSPw3HmhZQSO8APXsASC_H8DzXY_TU7Sv41BSKJD4CZ4rurSRVLOawCIfGaM2NSOFBZHU6-0cVjPqghE0D6FHCYIq-msIFw3XT3jT-Iwed_EBkBxeEHO09rAEzgvI0vlvXfYkdFvP36yGCV9snqnCN05WTvkKSd6WRvgTFhe14Emgm1fh7DTB7t2sdRH1_v65Aot6Wv9qezKwunMnqo11T5kSkQfANlBpSEvW5zZwD2jH9n6pQunoAEneyGgDKpNsmAWVO1l-L49l0Vn3mOSO8GZnPsaN7OflJ9RD-Kfx2z_PB4HB" id="57" name="Picture"/>
            <a:graphic>
              <a:graphicData uri="http://schemas.openxmlformats.org/drawingml/2006/picture">
                <pic:pic>
                  <pic:nvPicPr>
                    <pic:cNvPr descr="C:/Users/15919/Desktop/论文草稿/temp/manuscript_figures_3heipi39/figure_000006.png" id="58" name="Picture"/>
                    <pic:cNvPicPr>
                      <a:picLocks noChangeArrowheads="1" noChangeAspect="1"/>
                    </pic:cNvPicPr>
                  </pic:nvPicPr>
                  <pic:blipFill>
                    <a:blip r:embed="rId56"/>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LigandSeek-Match identity matching accuracy by number of competing ligand identities.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Results for the strongest model with deposited receptor structures.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Corresponding results for the strongest model with CryoAtom2-reconstructed receptor structures.</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identities contain 419, 459, 113, 85 and 162 sites, respectively. With CryoAtom2-reconstructed receptors, the corresponding groups contain 413, 443, 91, 63 and 150 sites, respectively.</w:t>
      </w:r>
      <w:r>
        <w:rPr>
          <w:rFonts w:ascii="华文仿宋" w:hAnsi="华文仿宋" w:eastAsia="华文仿宋"/>
          <w:sz w:val="18"/>
        </w:rPr>
        <w:t xml:space="preserve"> </w:t>
      </w:r>
      <w:r>
        <w:rPr>
          <w:rFonts w:ascii="华文仿宋" w:hAnsi="华文仿宋" w:eastAsia="华文仿宋"/>
          <w:sz w:val="18"/>
        </w:rPr>
        <w:t xml:space="preserve">One competing identity means that the candidate region belongs to a PDB entry containing only one ligand identity, giving 100% matching accuracy by definition.</w:t>
      </w:r>
    </w:p>
    <w:p>
      <w:pPr>
        <w:pStyle w:val="BodyText"/>
        <w:spacing w:line="360" w:lineRule="auto" w:after="120"/>
        <w:ind w:firstLine="420"/>
      </w:pPr>
      <w:r>
        <w:rPr>
          <w:rStyle w:val="MDFIGREF_eJyrrk7LTC9KTbMqLklMTzXSLS4pys9LTy0u0S1IzCyqSdRJqq0FAAjSDj4"/>
        </w:rPr>
        <w:t xml:space="preserve">Fig. 6a, b</w:t>
      </w:r>
      <w:r>
        <w:t xml:space="preserve"> </w:t>
      </w:r>
      <w:r>
        <w:t xml:space="preserve">stratifies strongest’s results by the number of SMILES representations in each PDB entry. This number corresponds to the ligand identities competing for assignment to each candidate region in that entry. Identity discrimination became more difficult as the number of competing identities increased. For example, with deposited receptors, small-molecule matching accuracy fell from 94.8% in entries with two identities to 65.9% in entries with four. Nevertheless, when fewer than 4 identities competed, matching accuracy generally exceeded 80% across ligand categories. These cases accounted for approximately 80% of tasks, making Match’s accuracy acceptable for practical use.</w:t>
      </w:r>
    </w:p>
    <w:p>
      <w:pPr>
        <w:pStyle w:val="BodyText"/>
        <w:spacing w:line="360" w:lineRule="auto" w:after="120"/>
        <w:ind w:firstLine="420"/>
      </w:pPr>
      <w:r>
        <w:t xml:space="preserve">Metal ions retained high matching accuracy across all groups and were easier to distinguish from other ligand identities. This reflected their greater chemical separability from the other ligands. During identity matching, we provided no prior information about the ligand category within each candidate blob. Thus, the high accuracy did not arise from the limited number of metal-ion types.</w:t>
      </w:r>
    </w:p>
    <w:p>
      <w:pPr>
        <w:pStyle w:val="BodyText"/>
        <w:spacing w:line="360" w:lineRule="auto" w:after="120"/>
        <w:ind w:firstLine="420"/>
      </w:pPr>
      <w:r>
        <w:t xml:space="preserve">We also evaluated EMERALD-ID, which supports only small molecules. EMERALD-ID docks candidate small-molecule SMILES representations individually at each site,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Here,</w:t>
      </w:r>
      <w:r>
        <w:t xml:space="preserve"> </w:t>
      </w:r>
      <m:oMath>
        <m:sSub>
          <m:e>
            <m:r>
              <m:t>N</m:t>
            </m:r>
          </m:e>
          <m:sub>
            <m:r>
              <m:t>g</m:t>
            </m:r>
          </m:sub>
        </m:sSub>
      </m:oMath>
      <w:r>
        <w:t xml:space="preserve"> </w:t>
      </w:r>
      <w:r>
        <w:t xml:space="preserve">is the number of small-molecule ligand instances, and</w:t>
      </w:r>
      <w:r>
        <w:t xml:space="preserve"> </w:t>
      </w:r>
      <m:oMath>
        <m:r>
          <m:t>K</m:t>
        </m:r>
      </m:oMath>
      <w:r>
        <w:t xml:space="preserve"> </w:t>
      </w:r>
      <w:r>
        <w:t xml:space="preserve">is the number of small-molecule identities. In contrast, our model supports GPU acceleration through vectorised computation and required a mean of only 0.09 s to match each candidate blob. This mean runtime was measured on an NVIDIA H100 GPU.</w:t>
      </w:r>
    </w:p>
    <w:p>
      <w:pPr>
        <w:pStyle w:val="BodyText"/>
        <w:spacing w:line="360" w:lineRule="auto" w:after="120"/>
        <w:ind w:firstLine="420"/>
      </w:pPr>
      <w:r>
        <w:t xml:space="preserve">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5a</w:t>
      </w:r>
      <w:r>
        <w:t xml:space="preserve"> </w:t>
      </w:r>
      <w:r>
        <w:t xml:space="preserve">and</w:t>
      </w:r>
      <w:r>
        <w:t xml:space="preserve"> </w:t>
      </w:r>
      <w:r>
        <w:rPr>
          <w:rStyle w:val="MDFIGREF_eJyrrk7LTC9KTbMqLklMTzXSLUpMSSzSLUjMLKpJqq0FALbBC9I"/>
        </w:rPr>
        <w:t xml:space="preserve">Fig. 5b</w:t>
      </w:r>
      <w:r>
        <w:t xml:space="preserve"> </w:t>
      </w:r>
      <w:r>
        <w:t xml:space="preserve">show its performance with deposited and CryoAtom2-reconstructed receptors, respectively.</w:t>
      </w:r>
    </w:p>
    <w:p>
      <w:pPr>
        <w:pStyle w:val="CaptionedFigure"/>
        <w:keepNext/>
        <w:ind w:firstLine="0"/>
        <w:jc w:val="center"/>
      </w:pPr>
      <w:r>
        <w:drawing>
          <wp:inline>
            <wp:extent cx="5731510" cy="2914514"/>
            <wp:effectExtent b="0" l="0" r="0" t="0"/>
            <wp:docPr descr="Fig. 7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O0zAQxl8lypnWTbvZVaOlEuoWLguqkLhZqryOk1h1bMt22yDgjDhwAnEBcebEA7ASPA3bfQzGcfpntRwQkSJ_9nz-eWbsV7EmroqzKN5-vP79-SeaDWfb6w83X7_0tXZN_CCKDbNKrFnuTdMM4xeWGYtxko6TMcYXzC6d0hjffv9x8-nt7ft322-_MA40jO_jJKmZR7Eh6xEhegWXea8mjlY-WhOzXGkfT89GSZoMmuE4OUmTk9fnmtMM_qiphbQZeYjjyjmdIWRpxWpi-0ozCcFCGcDB1JQoN2TDZVkLNBwMTlFNuMRxRwDW_zBgm1sZtseYf4KoouCUXSi6qpl0gWSYII4raSuuLY4nbYVyPed0bsKEPlvPTZQzS_0p0wy1vUdt61HXeXTceORYraFMuYItXLtFwUtI1i5GFeOaj8YoLCwG_jvra1lCITwH-mkCyl8O6Pmuxsk52udxSCkkSHwHLxVd2kiqaUVkyR4ZozYVI7kFSMvbBaxm1IVFYB62Hh0QqOheE64E14-5EP5Er9v9QZDMOsPg6XhZgOc5nNLG70z2JnSX52dWQ4evNk9V7gsnK6d8hiRrClP7ES4uaiAygGpehrFlwroPs8ZF1Me75wou6m3dq-3M4GrHHVQb654wVUdegNtApuFYsr60wXtQO7ePSxVSRwdJMiGjDVDG6TANlL-6_L3MZN6u7jXJHOFit3yshez65TvUSfgn8Zs_pHh86Q" id="60" name="Picture"/>
            <a:graphic>
              <a:graphicData uri="http://schemas.openxmlformats.org/drawingml/2006/picture">
                <pic:pic>
                  <pic:nvPicPr>
                    <pic:cNvPr descr="C:/Users/15919/Desktop/论文草稿/temp/manuscript_figures_3heipi39/figure_000007.png" id="61" name="Picture"/>
                    <pic:cNvPicPr>
                      <a:picLocks noChangeArrowheads="1" noChangeAspect="1"/>
                    </pic:cNvPicPr>
                  </pic:nvPicPr>
                  <pic:blipFill>
                    <a:blip r:embed="rId59"/>
                    <a:stretch>
                      <a:fillRect/>
                    </a:stretch>
                  </pic:blipFill>
                  <pic:spPr bwMode="auto">
                    <a:xfrm>
                      <a:off x="0" y="0"/>
                      <a:ext cx="5731510" cy="291451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179 test PDB entries with successful predictions within an attempt budget of</w:t>
      </w:r>
      <w:r>
        <w:rPr>
          <w:rFonts w:ascii="华文仿宋" w:hAnsi="华文仿宋" w:eastAsia="华文仿宋"/>
          <w:sz w:val="18"/>
        </w:rPr>
        <w:t xml:space="preserve"> </w:t>
      </w:r>
      <m:oMath>
        <m:r>
          <m:t>K</m:t>
        </m:r>
      </m:oMath>
      <w:r>
        <w:rPr>
          <w:rFonts w:ascii="华文仿宋" w:hAnsi="华文仿宋" w:eastAsia="华文仿宋"/>
          <w:sz w:val="18"/>
        </w:rPr>
        <w:t xml:space="preserve">, for</w:t>
      </w:r>
      <w:r>
        <w:rPr>
          <w:rFonts w:ascii="华文仿宋" w:hAnsi="华文仿宋" w:eastAsia="华文仿宋"/>
          <w:sz w:val="18"/>
        </w:rPr>
        <w:t xml:space="preserve"> </w:t>
      </w:r>
      <m:oMath>
        <m:r>
          <m:t>K</m:t>
        </m:r>
        <m:r>
          <m:rPr>
            <m:sty m:val="p"/>
          </m:rPr>
          <m:t>=</m:t>
        </m:r>
        <m:r>
          <m:t>1</m:t>
        </m:r>
      </m:oMath>
      <w:r>
        <w:rPr>
          <w:rFonts w:ascii="华文仿宋" w:hAnsi="华文仿宋" w:eastAsia="华文仿宋"/>
          <w:sz w:val="18"/>
        </w:rPr>
        <w:t xml:space="preserve">–</w:t>
      </w:r>
      <m:oMath>
        <m:r>
          <m:t>10</m:t>
        </m:r>
      </m:oMath>
      <w:r>
        <w:rPr>
          <w:rFonts w:ascii="华文仿宋" w:hAnsi="华文仿宋" w:eastAsia="华文仿宋"/>
          <w:sz w:val="18"/>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ind w:firstLine="0"/>
        <w:jc w:val="center"/>
      </w:pPr>
      <w:r>
        <w:drawing>
          <wp:inline>
            <wp:extent cx="5731510" cy="5021752"/>
            <wp:effectExtent b="0" l="0" r="0" t="0"/>
            <wp:docPr descr="Fig. 8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k2P0zAQ_StRzmydpGSXRksltFu4LKhC4map8jpOY9WxLdttg4Az4sAJxAXEmRM_gJXg17Ddn8E4Tj9WywERKfLzzPObmWe_ijVxdVxE8ebj1e_PP9Ekm2yuPlx__TLQ2rXxvSg2zCqxYqUnnRUYv7DMWIzTfJSOMD5nduGUxvjm-4_rT29v3r_bfPuFcVDD-K6cJA3zUixjR7YhQhxprpngkvlsQ8xiqX0-PxmmeZq0eZKlJ3n2-lRzWsAftY2QtiAPcVw7pwuELK1ZQ-xAaSYhWSnTEAdbM0elIWsu541AWZIco4ZwieNeAbT-RwOOuaVhOxnzTyKqqjhl54ouGyZdUDJMEMeVtDXXFsfjbkK5mnI6NWFDn62mJiqZpb7KWYE671FnPeqdR4fGI8caDWPKJRzh2s0qPodm7WxYM675cIRCYJb478FAyzkMwktQP74PyF8O4Ol2xvEp2vWxbyk0SLyDF4oubCTVWU3knD0yRq1rRkoLIqnX2yasZtSFIGjujx4UCKrojgmXguvHXAhf0ePufACksM4wR2sPK-A8hypd_tZmR0K39fzOanD4cv1UlX5wsnTKd0iKtjKNX-HiohYyCUzzMqydJsR9mrUuoj7fP1dgUU_rX21PBla3bkW1se4JU03kAbANdBrKktWFDdw92rJ9XqrQOtpDUggZrUFllGd5UPkry9_LRJZddIdJ4QgX2_AhFrL3yzvUQ_jH8Zs_6059QA" id="63" name="Picture"/>
            <a:graphic>
              <a:graphicData uri="http://schemas.openxmlformats.org/drawingml/2006/picture">
                <pic:pic>
                  <pic:nvPicPr>
                    <pic:cNvPr descr="C:/Users/15919/Desktop/论文草稿/temp/manuscript_figures_3heipi39/figure_000008.png" id="64" name="Picture"/>
                    <pic:cNvPicPr>
                      <a:picLocks noChangeArrowheads="1" noChangeAspect="1"/>
                    </pic:cNvPicPr>
                  </pic:nvPicPr>
                  <pic:blipFill>
                    <a:blip r:embed="rId62"/>
                    <a:stretch>
                      <a:fillRect/>
                    </a:stretch>
                  </pic:blipFill>
                  <pic:spPr bwMode="auto">
                    <a:xfrm>
                      <a:off x="0" y="0"/>
                      <a:ext cx="5731510" cy="502175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The evaluation includes 77 PDB entries containing these small molecules. Find and Match denote LigandSeek-Find and LigandSeek-Match, respectively, within the LigandSeek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curves require correct region detection, whereas Find+Match curves require both correct region detection and correct ligand identity matching.</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the vertical axis shows the percentage of PDB entries with successful predictions within that budget. GT and CA2 denote deposited and CryoAtom2-reconstructed receptor structures, respectively.</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65">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66">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67">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68">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69">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70">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71">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72">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73">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74">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75">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76">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77">
        <w:r>
          <w:rPr>
            <w:rStyle w:val="a4"/>
          </w:rPr>
          <w:t xml:space="preserve">10.1021/acs.jmedchem.3c01134</w:t>
        </w:r>
      </w:hyperlink>
      <w:r>
        <w:t xml:space="preserve">.</w:t>
      </w:r>
    </w:p>
    <w:bookmarkEnd w:id="78"/>
    <w:bookmarkEnd w:id="79"/>
    <w:bookmarkEnd w:id="80"/>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74" Type="http://schemas.openxmlformats.org/officeDocument/2006/relationships/hyperlink" Target="https://doi.org/10.1016/j.cell.2026.01.003" TargetMode="External"/><Relationship Id="rId76" Type="http://schemas.openxmlformats.org/officeDocument/2006/relationships/hyperlink" Target="https://doi.org/10.1016/j.str.2020.04.018" TargetMode="External"/><Relationship Id="rId72" Type="http://schemas.openxmlformats.org/officeDocument/2006/relationships/hyperlink" Target="https://doi.org/10.1016/j.str.2025.07.002" TargetMode="External"/><Relationship Id="rId66" Type="http://schemas.openxmlformats.org/officeDocument/2006/relationships/hyperlink" Target="https://doi.org/10.1016/j.tibs.2014.10.005" TargetMode="External"/><Relationship Id="rId77" Type="http://schemas.openxmlformats.org/officeDocument/2006/relationships/hyperlink" Target="https://doi.org/10.1021/acs.jmedchem.3c01134" TargetMode="External"/><Relationship Id="rId65" Type="http://schemas.openxmlformats.org/officeDocument/2006/relationships/hyperlink" Target="https://doi.org/10.1038/d41586-020-00341-9" TargetMode="External"/><Relationship Id="rId75" Type="http://schemas.openxmlformats.org/officeDocument/2006/relationships/hyperlink" Target="https://doi.org/10.1038/s41467-023-36732-5" TargetMode="External"/><Relationship Id="rId67" Type="http://schemas.openxmlformats.org/officeDocument/2006/relationships/hyperlink" Target="https://doi.org/10.1038/s41586-024-07215-4" TargetMode="External"/><Relationship Id="rId69" Type="http://schemas.openxmlformats.org/officeDocument/2006/relationships/hyperlink" Target="https://doi.org/10.1038/s41594-025-01723-1" TargetMode="External"/><Relationship Id="rId70" Type="http://schemas.openxmlformats.org/officeDocument/2006/relationships/hyperlink" Target="https://doi.org/10.1126/science.aat4346" TargetMode="External"/><Relationship Id="rId71" Type="http://schemas.openxmlformats.org/officeDocument/2006/relationships/hyperlink" Target="https://doi.org/10.64898/2026.06.01.729423" TargetMode="External"/><Relationship Id="rId68" Type="http://schemas.openxmlformats.org/officeDocument/2006/relationships/hyperlink" Target="https://doi.org/10.65215/LTSpreprints.2026.04.14.000185" TargetMode="External"/><Relationship Id="rId73"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doi.org/10.1016/j.cell.2026.01.003" TargetMode="External"/><Relationship Id="rId76" Type="http://schemas.openxmlformats.org/officeDocument/2006/relationships/hyperlink" Target="https://doi.org/10.1016/j.str.2020.04.018" TargetMode="External"/><Relationship Id="rId72" Type="http://schemas.openxmlformats.org/officeDocument/2006/relationships/hyperlink" Target="https://doi.org/10.1016/j.str.2025.07.002" TargetMode="External"/><Relationship Id="rId66" Type="http://schemas.openxmlformats.org/officeDocument/2006/relationships/hyperlink" Target="https://doi.org/10.1016/j.tibs.2014.10.005" TargetMode="External"/><Relationship Id="rId77" Type="http://schemas.openxmlformats.org/officeDocument/2006/relationships/hyperlink" Target="https://doi.org/10.1021/acs.jmedchem.3c01134" TargetMode="External"/><Relationship Id="rId65" Type="http://schemas.openxmlformats.org/officeDocument/2006/relationships/hyperlink" Target="https://doi.org/10.1038/d41586-020-00341-9" TargetMode="External"/><Relationship Id="rId75" Type="http://schemas.openxmlformats.org/officeDocument/2006/relationships/hyperlink" Target="https://doi.org/10.1038/s41467-023-36732-5" TargetMode="External"/><Relationship Id="rId67" Type="http://schemas.openxmlformats.org/officeDocument/2006/relationships/hyperlink" Target="https://doi.org/10.1038/s41586-024-07215-4" TargetMode="External"/><Relationship Id="rId69" Type="http://schemas.openxmlformats.org/officeDocument/2006/relationships/hyperlink" Target="https://doi.org/10.1038/s41594-025-01723-1" TargetMode="External"/><Relationship Id="rId70" Type="http://schemas.openxmlformats.org/officeDocument/2006/relationships/hyperlink" Target="https://doi.org/10.1126/science.aat4346" TargetMode="External"/><Relationship Id="rId71" Type="http://schemas.openxmlformats.org/officeDocument/2006/relationships/hyperlink" Target="https://doi.org/10.64898/2026.06.01.729423" TargetMode="External"/><Relationship Id="rId68" Type="http://schemas.openxmlformats.org/officeDocument/2006/relationships/hyperlink" Target="https://doi.org/10.65215/LTSpreprints.2026.04.14.000185" TargetMode="External"/><Relationship Id="rId73"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2026-10-06T13:21:11Z</dcterms:created>
  <dcterms:modified xsi:type="dcterms:W3CDTF">2026-10-06T13:21:11Z</dcterms:modified>
</cp:coreProperties>
</file>

<file path=docProps/custom.xml><?xml version="1.0" encoding="utf-8"?>
<Properties xmlns="http://schemas.openxmlformats.org/officeDocument/2006/custom-properties" xmlns:vt="http://schemas.openxmlformats.org/officeDocument/2006/docPropsVTypes"/>
</file>