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43923" w14:textId="77777777" w:rsidR="000A04D4" w:rsidRDefault="00000000">
      <w:pPr>
        <w:pStyle w:val="1"/>
      </w:pPr>
      <w:bookmarkStart w:id="0" w:name="supplementary-information"/>
      <w:r>
        <w:t>Supplementary Information</w:t>
      </w:r>
    </w:p>
    <w:p w14:paraId="5FC0C190" w14:textId="77777777" w:rsidR="000A04D4" w:rsidRDefault="00000000">
      <w:pPr>
        <w:pStyle w:val="2"/>
      </w:pPr>
      <w:bookmarkStart w:id="1" w:name="X5afd4217e687964ac9a9d604ef8882ccb8f91d9"/>
      <w:r>
        <w:t>Ligand-region detection at a stricter coverage threshold</w:t>
      </w:r>
    </w:p>
    <w:p w14:paraId="00CEA6F4" w14:textId="77777777" w:rsidR="000A04D4" w:rsidRDefault="00000000">
      <w:pPr>
        <w:pStyle w:val="FirstParagraph"/>
      </w:pPr>
      <w:r>
        <w:t>We evaluated instance-level PRAUC at a stricter bidirectional coverage threshold of 0.5 using the same all-ligand and small-molecule cohorts. These comprised 179 PDB entries with 2,502 instances and 94 PDB entries with 821 small-molecule instances, respectively. For all ligands, PDB-equal means were 0.558 with GT receptors and 0.447 with CA2 receptors, compared with 0.152 for Emap2lig-Find (</w:t>
      </w:r>
      <w:r>
        <w:rPr>
          <w:rStyle w:val="MDFIGREFeJyrrk7LTC9KTbMqLklMTzXULS4pykwu0S3JKEotzsjPSalJrK0FAAjQDoA"/>
        </w:rPr>
        <w:t>Fig. 1a</w:t>
      </w:r>
      <w:r>
        <w:t>). The corresponding small-molecule scores were 0.605, 0.499 and 0.337, preserving the same advantage (</w:t>
      </w:r>
      <w:r>
        <w:rPr>
          <w:rStyle w:val="MDFIGREFeJyrrk7LTC9KTbMqLklMTzXULS4pykwu0S3JKEotzsjPSalJqq0FAAjTDoE"/>
        </w:rPr>
        <w:t>Fig. 1b</w:t>
      </w:r>
      <w:r>
        <w:t>).</w:t>
      </w:r>
    </w:p>
    <w:p w14:paraId="12E798DD" w14:textId="77777777" w:rsidR="000A04D4" w:rsidRDefault="00000000">
      <w:pPr>
        <w:keepNext/>
        <w:spacing w:after="0" w:line="240" w:lineRule="auto"/>
        <w:ind w:firstLine="0"/>
        <w:jc w:val="center"/>
      </w:pPr>
      <w:r>
        <w:rPr>
          <w:noProof/>
        </w:rPr>
        <w:drawing>
          <wp:inline distT="0" distB="0" distL="0" distR="0" wp14:anchorId="57C6D0EE" wp14:editId="014A2E9B">
            <wp:extent cx="5731510" cy="2176922"/>
            <wp:effectExtent l="0" t="0" r="0" b="0"/>
            <wp:docPr id="34" name="Picture" descr="Fig. 1 | Ligand-region detection at a stricter coverage threshold. LigandSeek-Find uses deposited receptors (GT) or CryoAtom2-reconstructed receptors (CA2) and is compared with the density-only method Emap2lig-Find. All ligands comprise 179 PDB entries and 2,502 instances; small molecules comprise 94 PDB entries and 821 instances. a, b, Instance-level PRAUC for all ligands and small molecules, respectively, at a bidirectional coverage threshold of 0.5. Bars and horizontal marks show PDB-equal means; faint points show individual PDB entries. Error bars show 95% intervals from 10,000 PDB bootstrap resamples." title="MDPPTFIG_eJztV81uGzcQfhVigQINIGl_YtnRNjWgyHYQQCkEpzl1C4PapbSEuSRLUn9uei6KIr206KVFzz3lAWqgeZk6zmN0ZrmSFduHoD20LmpA3iH5zTdDzuxw9stAU1cGKQkufzi_-On30Do6ZfHl-fdvfvm5o7VbBi0SGGaVmLMCcYM0y55bZmyWxd1e3MuyA2ZPndJZ9vbVb29-_Prty28uf32dZZ4wy25llLRiyOYX29YZnru2K8FSqUSBkJxqx5U8qag5nWkAfxY8XKSaLCshbbr4OAtK53QahjYvWUVtR2kmYXGiTEUdDM00XChTaKNyZi2X00qESRTthhXlMgv2kW1k6scztxKMLNI5FcD7pAKnBt484sI1ArGnjOkhl8zW81ujRWo1zcEM8AiYAqJkJ8qCZng8EzhFZ041nA0cNbksADbhxrqhV40aEKx4B7yn_l8jHynpLOhRm3MOOhcvv4Pz_-P89cWrb2u7jFrXt5zetlb2pb2pVNvyxGhiXI_HtTjwO66f4PzZ5rjiB-sNnXl1757DSNWbxP1oiCwzcwbQIz7tkJi8IEM-pbJoGzaFgyYFcyzHIyfUEUp8SjBDcjVnBgJCNtnRQSvO2_oHDuVvbJ3cWc99rJ4xdto-wmydWWYhZFpZ7lhBDMuZdspY8uHjT-8RZcjArFTfqSqB-OZKQjhn-TXkoJ_cI8BKuIUoV5oaWF9wV0KoGZDDjtyqraRYkYq5UhXksKI6EXxa-9AhfSGIqB3zBIZbRuK9HhkdPCJMQgaBk2ggaXWjhHDwgkooBh8RW1HQrZRgObyXW9q9nRvKD5L4SvX_3Ps3lRJ6Z6PRurOe_xfzaHxno9EiT5rS1BZszgQZHfefDwg0QYRuVUesY9dqXgtKsdV45YLaquVv3TEvuPHXMBW3XL1ETUjU6XbII2o8a6kMP4ONABw7NUsAt8Aa2mZfzHCSUQkFdwI9lyNacTzLGgIVnM95gZititshh8aA82Pkr3G97geAhU4ADsiSiVEViaNWFEW12lgpB3cL1bgbWmlxvURj77QffA4N5aaRDLp79-NuHC2TeG-3lyQvHmqep_Brekv6Xr1lYejiRlPZMADXX-EANTczbENj3otETSY8Zwcqn1VwiJ7JMEExiLbk2mJG4Q7lfMRzzCcc5J_MRwYuWZujlUEa1k19WPf0YdPSh9sdfehYpWGbcgYqXLuTCZ-Cs_akXLnZDt-loZ84ifAv7mg5hY3wAtjvd0HClh_k0XqPEJqNH1cueQcpnuBQ5ZBOUg1KKqesD2mxKBktLL4lyLdeqJPYTwLnleqWAc8a3jiEseD6iAuBFlGu9b1AU0gr5vISxQlgjsFKvf7OYAMK3-XDkYWmnYwXT1Wx3fnTdDkxFT4hcGTpe32y2vT89Twus6UjOa436QqoHGFN1jZgQNXPNamGb4jHDF4SFACNb7M3S-dD67FX0hqN61J518MrkaZCEvzU6nWTrme5FYVxOay_VLZkmjrKxXp6WxayOS-rN3GB337w1Z9_bHMQ"/>
            <wp:cNvGraphicFramePr/>
            <a:graphic xmlns:a="http://schemas.openxmlformats.org/drawingml/2006/main">
              <a:graphicData uri="http://schemas.openxmlformats.org/drawingml/2006/picture">
                <pic:pic xmlns:pic="http://schemas.openxmlformats.org/drawingml/2006/picture">
                  <pic:nvPicPr>
                    <pic:cNvPr id="35" name="Picture" descr="C:/Users/15919/Desktop/论文草稿/temp/manuscript_figures_hytu4i6a/figure_000001.png"/>
                    <pic:cNvPicPr>
                      <a:picLocks noChangeAspect="1" noChangeArrowheads="1"/>
                    </pic:cNvPicPr>
                  </pic:nvPicPr>
                  <pic:blipFill>
                    <a:blip r:embed="rId7"/>
                    <a:stretch>
                      <a:fillRect/>
                    </a:stretch>
                  </pic:blipFill>
                  <pic:spPr bwMode="auto">
                    <a:xfrm>
                      <a:off x="0" y="0"/>
                      <a:ext cx="5731510" cy="2176922"/>
                    </a:xfrm>
                    <a:prstGeom prst="rect">
                      <a:avLst/>
                    </a:prstGeom>
                    <a:noFill/>
                    <a:ln w="9525">
                      <a:noFill/>
                      <a:headEnd/>
                      <a:tailEnd/>
                    </a:ln>
                  </pic:spPr>
                </pic:pic>
              </a:graphicData>
            </a:graphic>
          </wp:inline>
        </w:drawing>
      </w:r>
    </w:p>
    <w:p w14:paraId="59E00EEE" w14:textId="77777777" w:rsidR="000A04D4" w:rsidRDefault="00000000">
      <w:pPr>
        <w:pStyle w:val="ImageCaption"/>
        <w:keepLines/>
        <w:spacing w:line="240" w:lineRule="auto"/>
        <w:ind w:firstLine="0"/>
      </w:pPr>
      <w:r>
        <w:rPr>
          <w:rFonts w:ascii="华文仿宋" w:eastAsia="华文仿宋" w:hAnsi="华文仿宋"/>
          <w:b/>
          <w:bCs/>
          <w:sz w:val="18"/>
        </w:rPr>
        <w:t>Fig. 1 | Ligand-region detection at a stricter coverage threshold.</w:t>
      </w:r>
      <w:r>
        <w:rPr>
          <w:rFonts w:ascii="华文仿宋" w:eastAsia="华文仿宋" w:hAnsi="华文仿宋"/>
          <w:sz w:val="18"/>
        </w:rPr>
        <w:t xml:space="preserve"> LigandSeek-Find uses deposited receptors (GT) or CryoAtom2-reconstructed receptors (CA2) and is compared with the density-only method Emap2lig-Find. All ligands comprise 179 PDB entries and 2,502 instances; small molecules comprise 94 PDB entries and 821 instances. </w:t>
      </w:r>
      <w:r>
        <w:rPr>
          <w:rFonts w:ascii="华文仿宋" w:eastAsia="华文仿宋" w:hAnsi="华文仿宋"/>
          <w:b/>
          <w:bCs/>
          <w:sz w:val="18"/>
        </w:rPr>
        <w:t>a</w:t>
      </w:r>
      <w:r>
        <w:rPr>
          <w:rFonts w:ascii="华文仿宋" w:eastAsia="华文仿宋" w:hAnsi="华文仿宋"/>
          <w:sz w:val="18"/>
        </w:rPr>
        <w:t xml:space="preserve">, </w:t>
      </w:r>
      <w:r>
        <w:rPr>
          <w:rFonts w:ascii="华文仿宋" w:eastAsia="华文仿宋" w:hAnsi="华文仿宋"/>
          <w:b/>
          <w:bCs/>
          <w:sz w:val="18"/>
        </w:rPr>
        <w:t>b</w:t>
      </w:r>
      <w:r>
        <w:rPr>
          <w:rFonts w:ascii="华文仿宋" w:eastAsia="华文仿宋" w:hAnsi="华文仿宋"/>
          <w:sz w:val="18"/>
        </w:rPr>
        <w:t>, Instance-level PRAUC for all ligands and small molecules, respectively, at a bidirectional coverage threshold of 0.5. Bars and horizontal marks show PDB-equal means; faint points show individual PDB entries. Error bars show 95% intervals from 10,000 PDB bootstrap resamples.</w:t>
      </w:r>
    </w:p>
    <w:p w14:paraId="03A9B218" w14:textId="77777777" w:rsidR="000A04D4" w:rsidRDefault="00000000">
      <w:pPr>
        <w:pStyle w:val="2"/>
      </w:pPr>
      <w:bookmarkStart w:id="2" w:name="Xdb45709594eb832e271f9393d5a792b61123874"/>
      <w:bookmarkEnd w:id="1"/>
      <w:r>
        <w:t>Complete detection curves across ranked candidates</w:t>
      </w:r>
    </w:p>
    <w:p w14:paraId="2021F4A0" w14:textId="77777777" w:rsidR="000A04D4" w:rsidRDefault="00000000">
      <w:pPr>
        <w:pStyle w:val="FirstParagraph"/>
      </w:pPr>
      <w:r>
        <w:t>We compared detection completion across the full candidate-count range and retained the distribution of results across individual PDB entries (</w:t>
      </w:r>
      <w:r>
        <w:rPr>
          <w:rStyle w:val="MDFIGREFeJyrrk7LTC9KTbMqLklMTzXUTc7PLchJLcnMz9NNLi0qSy2urQUA-gsODw"/>
        </w:rPr>
        <w:t>Fig. 2</w:t>
      </w:r>
      <w:r>
        <w:t>). All-ligand evaluation included 179 PDB entries and 2,502 instances; small-molecule evaluation included 94 PDB entries and 821 instances. Both evaluated Find alone, without requiring identity matching or pose reconstruction. Candidate–instance pairs required bidirectional coverage of at least 0.3, and each instance contributed only its first detection. Relative candidate counts of 100% and 300% allowed examining up to one and three times the ground-truth instance count, respectively.</w:t>
      </w:r>
    </w:p>
    <w:p w14:paraId="51B2508D" w14:textId="77777777" w:rsidR="000A04D4" w:rsidRDefault="00000000">
      <w:pPr>
        <w:pStyle w:val="11"/>
      </w:pPr>
      <w:r>
        <w:lastRenderedPageBreak/>
        <w:t>From 100% to 300%, mean completion across all ligands increased from 66.4% to 71.7% with GT receptors and from 55.6% to 63.3% with CA2 receptors. Emap2lig-Find increased from 28.5% to 31.4% over the same candidate-count range. Corresponding small-molecule changes were 70.5% to 73.3% for GT, 59.8% to 68.5% for CA2 and 46.6% to 54.9% for Emap2lig-Find. LigandSeek-Find therefore recovered more true instances under the same candidate-count limits. Means weight PDB entries equally, while background candidates and repeated hits retain their candidate positions. The small-molecule evaluation omits only candidates assigned to non-small-molecule instances.</w:t>
      </w:r>
    </w:p>
    <w:p w14:paraId="40C9146E" w14:textId="77777777" w:rsidR="000A04D4" w:rsidRDefault="00000000">
      <w:pPr>
        <w:keepNext/>
        <w:spacing w:after="0" w:line="240" w:lineRule="auto"/>
        <w:ind w:firstLine="0"/>
        <w:jc w:val="center"/>
      </w:pPr>
      <w:r>
        <w:rPr>
          <w:noProof/>
        </w:rPr>
        <w:drawing>
          <wp:inline distT="0" distB="0" distL="0" distR="0" wp14:anchorId="15EA9241" wp14:editId="62F985F4">
            <wp:extent cx="5731510" cy="4275861"/>
            <wp:effectExtent l="0" t="0" r="0" b="0"/>
            <wp:docPr id="38" name="Picture" descr="Fig. 2 | Complete ligand-detection curves across ranked candidates. LigandSeek-Find uses deposited receptors (GT) or CryoAtom2-reconstructed receptors (CA2) and is compared with the density-only method Emap2lig-Find. All ligands comprise 179 PDB entries and 2,502 instances; small molecules comprise 94 PDB entries and 821 instances. a–c,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 title="MDPPTFIG_eJztV0uLG0cQ_iuFwBCDpJG0K9s7dgwb2bsYNmGxnVMmLK2elqZRT3enu0cPxwHfQgjOxSEQEnLOyT8ghvi_mPjxM1I1PXps1geTHBJDFrSq6a766l1T-rJlWShaKbRef__s5U-_Jz6wqei_fvbk1S8_d60Ny1YbWk54o-YiJ75RmmWfeuF8lvWHB_2DLLsl_CwYm2Vvnv726oev3zz-5vWvz7MsAmbZWxE1KwWhxcsON6VVIkijO7xyc-GJhzNLJ2clc7PKIvdnrRuL1MKyVNqniw-zVhGCTZPE80KUzHeNFRovJ8aVLOCjmyYL43LrDBfeSz0tVTLo9a4kJZM6a90ktFNXf90LKyVgkc6ZQtw7JVo1iuqJL1lzEO9MCHsitfD1-c7TIvWWcVSDOAqPEGiw38tazePdStERq4JpMBt2kpQ6R7aJdD6cRNFew4Q30YBoafzX0EdGB49yzHMpUebl4-8wAX88e_7y6be1XsF8OPSSve2uONT-olCtKwKTinH9PK7JUfS4_kbjH2zC1b-2duhBFI_mBcpU7ST5Y7GIBKYWWY_ktAsDeAijmHYBSk6Zzjs50pyCDrEKgHFnvAfH9EzkwJFH5iwI3yU1ISr7F6LyD3yH99bykzpH94SYdY6oXCuPCcqFNV4GTI4TXNhgnIcPju9fBuNg5FbmMJhy0ME7o31wFf8L5-hwcBkQFaQHmgHM4f1ChgJCIRAcPQqrjtFqBaUIhcnhdsnsAMultqELh0o1xRMBnPQC-lcP4PTWRyB0cJKqCBUM2sPeACRawTROg-vgS4aypVGCY2PuSB_sXxC-NuhvRf-vvf_SLGEvHj3h721G2rsF3IUcnZm04d750uzinFRVqT34wizg-H4bsG_qwlx3QxubyluanXOhViiwmZSALQUM335Tja01xj5iS4n4MBUGW8pJ3ikFw4Fr5sLhWw9YafANZhm-isCzIP1kRa-0scyli8MZhTfcZgIsgKIYQq-714XbjBebXkE-6qJxRYbUXSwxF_VbDjazvgv3sdeXHbQreui3gx4BKkqfE4qRbxAMCNKAHfri0Y8epg4Z8g6OlnBOLUpdr2fIaheXDqxwHHu7MT6XPkjNw7a9G8NEHu2qx0RnnQsQmOeK1a8oU5IzfCfS6yijkQZVOeAKz_AGA4AuBNw6kGZ8Fq0-J6tpLlrBaEAWCNyFYycE5kU6rhoG2iKaIkD_O-KLClNB2cNxNlYVDkxJ2csvcJcCb3TEXIE1kmJKPHNplNRbzDoedcLQQ0-p3UT-Qk4wesPepTb0e_Qf96pLNeQeEudHJC0vN1uf40a32eRaw6t7_WG_t9wfXB1eu9J_eMNKnuKnWe7YOy13uWOLC1tdg4BYfwcDxULlxAbGvROImUwkF7cMr0osrYgUA4dRLKT1NBXIQz0_lZxmAj3wT-anDsvNc9IySpN6rU7qrTpplupkd6dOgigtuqkrFJE2nE3kFI31Z8UqVPvyCkviwVmP_gZdq6foiMwRfe8AKVq6kT5d-4ip2dixNSkayCiCJ4bPPGgzKpieikPnzKIQLPc06QhvfVGPnniImFvRHQURNbkQhLGS9kgqRRqJruUjwVKsRRF4QeQEee6ilvr-3MOGKTmPR08et2YYLz42-e7qzdLlxJX0jYmDZVy2YbVZuutzuhbLAJzum3JFLk5sTdU2zMhVf69BLY63Y5yuQARy09iMatn8xEfeLbXmpnttounJlmSp0kC_dQ6Gg2FEeSsX5eV2_VNhh2Ypzhy1Pt6llW7i5e0mL_i52frqT340NC8"/>
            <wp:cNvGraphicFramePr/>
            <a:graphic xmlns:a="http://schemas.openxmlformats.org/drawingml/2006/main">
              <a:graphicData uri="http://schemas.openxmlformats.org/drawingml/2006/picture">
                <pic:pic xmlns:pic="http://schemas.openxmlformats.org/drawingml/2006/picture">
                  <pic:nvPicPr>
                    <pic:cNvPr id="39" name="Picture" descr="C:/Users/15919/Desktop/论文草稿/temp/manuscript_figures_hytu4i6a/figure_000002.png"/>
                    <pic:cNvPicPr>
                      <a:picLocks noChangeAspect="1" noChangeArrowheads="1"/>
                    </pic:cNvPicPr>
                  </pic:nvPicPr>
                  <pic:blipFill>
                    <a:blip r:embed="rId8"/>
                    <a:stretch>
                      <a:fillRect/>
                    </a:stretch>
                  </pic:blipFill>
                  <pic:spPr bwMode="auto">
                    <a:xfrm>
                      <a:off x="0" y="0"/>
                      <a:ext cx="5731510" cy="4275861"/>
                    </a:xfrm>
                    <a:prstGeom prst="rect">
                      <a:avLst/>
                    </a:prstGeom>
                    <a:noFill/>
                    <a:ln w="9525">
                      <a:noFill/>
                      <a:headEnd/>
                      <a:tailEnd/>
                    </a:ln>
                  </pic:spPr>
                </pic:pic>
              </a:graphicData>
            </a:graphic>
          </wp:inline>
        </w:drawing>
      </w:r>
    </w:p>
    <w:p w14:paraId="7D218651" w14:textId="77777777" w:rsidR="000A04D4" w:rsidRDefault="00000000">
      <w:pPr>
        <w:pStyle w:val="ImageCaption"/>
        <w:keepLines/>
        <w:spacing w:line="240" w:lineRule="auto"/>
        <w:ind w:firstLine="0"/>
      </w:pPr>
      <w:r>
        <w:rPr>
          <w:rFonts w:ascii="华文仿宋" w:eastAsia="华文仿宋" w:hAnsi="华文仿宋"/>
          <w:b/>
          <w:bCs/>
          <w:sz w:val="18"/>
        </w:rPr>
        <w:t>Fig. 2 | Complete ligand-detection curves across ranked candidates.</w:t>
      </w:r>
      <w:r>
        <w:rPr>
          <w:rFonts w:ascii="华文仿宋" w:eastAsia="华文仿宋" w:hAnsi="华文仿宋"/>
          <w:sz w:val="18"/>
        </w:rPr>
        <w:t xml:space="preserve"> LigandSeek-Find uses deposited receptors (GT) or CryoAtom2-reconstructed receptors (CA2) and is compared with the density-only method Emap2lig-Find. All ligands comprise 179 PDB entries and 2,502 instances; small molecules comprise 94 PDB entries and 821 instances. </w:t>
      </w:r>
      <w:r>
        <w:rPr>
          <w:rFonts w:ascii="华文仿宋" w:eastAsia="华文仿宋" w:hAnsi="华文仿宋"/>
          <w:b/>
          <w:bCs/>
          <w:sz w:val="18"/>
        </w:rPr>
        <w:t>a–c</w:t>
      </w:r>
      <w:r>
        <w:rPr>
          <w:rFonts w:ascii="华文仿宋" w:eastAsia="华文仿宋" w:hAnsi="华文仿宋"/>
          <w:sz w:val="18"/>
        </w:rPr>
        <w:t>, All ligands. d–f, Small molecules. Columns show GT, CA2 and Emap2lig, respectively. Candidates are assigned by maximal geometric-mean coverage among pairs satisfying bidirectional coverage of at least 0.3. Each instance contributes only its first detection. The x-axis shows candidate counts relative to each PDB’s ground-truth instance count; the y-axis shows the percentage of distinct instances detected. The small-molecule evaluation omits candidates assigned to other classes but retains background candidates and repeated hits. Green circles and lines show PDB-equal means; blue diamonds and lines show medians. Grey points and violins show PDB distributions at relative candidate counts of 50%, 100%, 200% and 300%.</w:t>
      </w:r>
    </w:p>
    <w:p w14:paraId="0A2AC0C6" w14:textId="77777777" w:rsidR="000A04D4" w:rsidRDefault="00000000">
      <w:pPr>
        <w:pStyle w:val="2"/>
      </w:pPr>
      <w:bookmarkStart w:id="3" w:name="stage-1-ablation-of-ligandseek-find"/>
      <w:bookmarkEnd w:id="2"/>
      <w:r>
        <w:lastRenderedPageBreak/>
        <w:t>Stage 1: Ablation of LigandSeek-Find</w:t>
      </w:r>
    </w:p>
    <w:p w14:paraId="25321C69" w14:textId="77777777" w:rsidR="000A04D4" w:rsidRDefault="00000000">
      <w:pPr>
        <w:pStyle w:val="FirstParagraph"/>
      </w:pPr>
      <w:r>
        <w:t>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LigandSeek-Find model. The final model used receptor-atom binding probabilities predicted by the point-cloud branch for Gaussian candidate scoring, while other models used conventional inference without Gaussian candidate scoring.</w:t>
      </w:r>
    </w:p>
    <w:p w14:paraId="0E78AFA1" w14:textId="77777777" w:rsidR="000A04D4" w:rsidRDefault="00000000">
      <w:pPr>
        <w:pStyle w:val="11"/>
      </w:pPr>
      <w:r>
        <w:t>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14:paraId="46F671E7" w14:textId="77777777" w:rsidR="000A04D4" w:rsidRDefault="00000000">
      <w:pPr>
        <w:pStyle w:val="11"/>
      </w:pPr>
      <w:r>
        <w:t>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LigandSeek-Find, which has the best overall performance.</w:t>
      </w:r>
    </w:p>
    <w:p w14:paraId="777C9085" w14:textId="77777777" w:rsidR="000A04D4" w:rsidRDefault="00000000">
      <w:pPr>
        <w:keepNext/>
        <w:keepLines/>
        <w:spacing w:line="240" w:lineRule="auto"/>
        <w:ind w:firstLine="0"/>
      </w:pPr>
      <w:r>
        <w:rPr>
          <w:rFonts w:ascii="华文仿宋" w:eastAsia="华文仿宋" w:hAnsi="华文仿宋"/>
          <w:sz w:val="18"/>
        </w:rPr>
        <w:t>Table 4 | Internal ablation of LigandSeek-Find on the full test set.</w:t>
      </w:r>
    </w:p>
    <w:tbl>
      <w:tblPr>
        <w:tblW w:w="5000" w:type="pct"/>
        <w:tblBorders>
          <w:top w:val="single" w:sz="6" w:space="0" w:color="000000"/>
          <w:left w:val="nil"/>
          <w:bottom w:val="single" w:sz="6" w:space="0" w:color="000000"/>
          <w:right w:val="nil"/>
          <w:insideH w:val="nil"/>
          <w:insideV w:val="nil"/>
        </w:tblBorders>
        <w:tblLayout w:type="fixed"/>
        <w:tblLook w:val="04A0" w:firstRow="1" w:lastRow="0" w:firstColumn="1" w:lastColumn="0" w:noHBand="0" w:noVBand="1"/>
        <w:tblCaption w:val="Table 4 | Internal ablation of LigandSeek-Find on the full test set."/>
        <w:tblDescription w:val="MDBOOKTABS_{&quot;headers&quot;:2,&quot;groups&quot;:[],&quot;widths&quot;:[0.28,0.12,0.12,0.12,0.12,0.12,0.12],&quot;pagination&quot;:&quot;rows&quot;}"/>
      </w:tblPr>
      <w:tblGrid>
        <w:gridCol w:w="2528"/>
        <w:gridCol w:w="1083"/>
        <w:gridCol w:w="1083"/>
        <w:gridCol w:w="1083"/>
        <w:gridCol w:w="1083"/>
        <w:gridCol w:w="1083"/>
        <w:gridCol w:w="1083"/>
      </w:tblGrid>
      <w:tr w:rsidR="000A04D4" w14:paraId="6E914967" w14:textId="77777777">
        <w:trPr>
          <w:cantSplit/>
          <w:tblHeader/>
        </w:trPr>
        <w:tc>
          <w:tcPr>
            <w:tcW w:w="2527" w:type="dxa"/>
            <w:vMerge w:val="restart"/>
            <w:noWrap/>
            <w:tcMar>
              <w:top w:w="30" w:type="dxa"/>
              <w:left w:w="45" w:type="dxa"/>
              <w:bottom w:w="30" w:type="dxa"/>
              <w:right w:w="45" w:type="dxa"/>
            </w:tcMar>
            <w:vAlign w:val="center"/>
          </w:tcPr>
          <w:p w14:paraId="00C123D9" w14:textId="77777777" w:rsidR="000A04D4" w:rsidRDefault="00000000">
            <w:pPr>
              <w:spacing w:after="0" w:line="240" w:lineRule="auto"/>
              <w:ind w:firstLine="0"/>
              <w:jc w:val="left"/>
            </w:pPr>
            <w:r>
              <w:rPr>
                <w:rFonts w:ascii="Times New Roman" w:hAnsi="Times New Roman"/>
                <w:sz w:val="20"/>
              </w:rPr>
              <w:t>Model</w:t>
            </w:r>
          </w:p>
        </w:tc>
        <w:tc>
          <w:tcPr>
            <w:tcW w:w="3249" w:type="dxa"/>
            <w:gridSpan w:val="3"/>
            <w:noWrap/>
            <w:tcMar>
              <w:top w:w="30" w:type="dxa"/>
              <w:left w:w="45" w:type="dxa"/>
              <w:bottom w:w="30" w:type="dxa"/>
              <w:right w:w="45" w:type="dxa"/>
            </w:tcMar>
            <w:vAlign w:val="center"/>
          </w:tcPr>
          <w:p w14:paraId="0C88F41B" w14:textId="77777777" w:rsidR="000A04D4" w:rsidRDefault="00000000">
            <w:pPr>
              <w:spacing w:after="0" w:line="240" w:lineRule="auto"/>
              <w:ind w:firstLine="0"/>
              <w:jc w:val="center"/>
            </w:pPr>
            <w:r>
              <w:rPr>
                <w:rFonts w:ascii="Times New Roman" w:hAnsi="Times New Roman"/>
                <w:sz w:val="20"/>
              </w:rPr>
              <w:t>CA2 receptors</w:t>
            </w:r>
          </w:p>
        </w:tc>
        <w:tc>
          <w:tcPr>
            <w:tcW w:w="3249" w:type="dxa"/>
            <w:gridSpan w:val="3"/>
            <w:noWrap/>
            <w:tcMar>
              <w:top w:w="30" w:type="dxa"/>
              <w:left w:w="45" w:type="dxa"/>
              <w:bottom w:w="30" w:type="dxa"/>
              <w:right w:w="45" w:type="dxa"/>
            </w:tcMar>
            <w:vAlign w:val="center"/>
          </w:tcPr>
          <w:p w14:paraId="7D097318" w14:textId="77777777" w:rsidR="000A04D4" w:rsidRDefault="00000000">
            <w:pPr>
              <w:spacing w:after="0" w:line="240" w:lineRule="auto"/>
              <w:ind w:firstLine="0"/>
              <w:jc w:val="center"/>
            </w:pPr>
            <w:r>
              <w:rPr>
                <w:rFonts w:ascii="Times New Roman" w:hAnsi="Times New Roman"/>
                <w:sz w:val="20"/>
              </w:rPr>
              <w:t>Deposited receptors</w:t>
            </w:r>
          </w:p>
        </w:tc>
      </w:tr>
      <w:tr w:rsidR="000A04D4" w14:paraId="2013BD24" w14:textId="77777777">
        <w:trPr>
          <w:cantSplit/>
          <w:tblHeader/>
        </w:trPr>
        <w:tc>
          <w:tcPr>
            <w:tcW w:w="2527" w:type="dxa"/>
            <w:vMerge/>
            <w:tcBorders>
              <w:bottom w:val="single" w:sz="4" w:space="0" w:color="000000"/>
            </w:tcBorders>
            <w:noWrap/>
            <w:tcMar>
              <w:top w:w="30" w:type="dxa"/>
              <w:left w:w="45" w:type="dxa"/>
              <w:bottom w:w="30" w:type="dxa"/>
              <w:right w:w="45" w:type="dxa"/>
            </w:tcMar>
            <w:vAlign w:val="center"/>
          </w:tcPr>
          <w:p w14:paraId="56B9E961" w14:textId="77777777" w:rsidR="000A04D4" w:rsidRDefault="000A04D4">
            <w:pPr>
              <w:spacing w:after="0" w:line="240" w:lineRule="auto"/>
              <w:ind w:firstLine="0"/>
              <w:jc w:val="left"/>
            </w:pPr>
          </w:p>
        </w:tc>
        <w:tc>
          <w:tcPr>
            <w:tcW w:w="1083" w:type="dxa"/>
            <w:tcBorders>
              <w:bottom w:val="single" w:sz="4" w:space="0" w:color="000000"/>
            </w:tcBorders>
            <w:noWrap/>
            <w:tcMar>
              <w:top w:w="30" w:type="dxa"/>
              <w:left w:w="45" w:type="dxa"/>
              <w:bottom w:w="30" w:type="dxa"/>
              <w:right w:w="45" w:type="dxa"/>
            </w:tcMar>
            <w:vAlign w:val="center"/>
          </w:tcPr>
          <w:p w14:paraId="353B1CE9" w14:textId="77777777" w:rsidR="000A04D4" w:rsidRDefault="00000000">
            <w:pPr>
              <w:spacing w:after="0" w:line="240" w:lineRule="auto"/>
              <w:ind w:firstLine="0"/>
              <w:jc w:val="center"/>
            </w:pPr>
            <w:r>
              <w:rPr>
                <w:rFonts w:ascii="Times New Roman" w:hAnsi="Times New Roman"/>
                <w:sz w:val="20"/>
              </w:rPr>
              <w:t>Dice</w:t>
            </w:r>
          </w:p>
        </w:tc>
        <w:tc>
          <w:tcPr>
            <w:tcW w:w="1083" w:type="dxa"/>
            <w:tcBorders>
              <w:bottom w:val="single" w:sz="4" w:space="0" w:color="000000"/>
            </w:tcBorders>
            <w:noWrap/>
            <w:tcMar>
              <w:top w:w="30" w:type="dxa"/>
              <w:left w:w="45" w:type="dxa"/>
              <w:bottom w:w="30" w:type="dxa"/>
              <w:right w:w="45" w:type="dxa"/>
            </w:tcMar>
            <w:vAlign w:val="center"/>
          </w:tcPr>
          <w:p w14:paraId="37D0D4FC" w14:textId="77777777" w:rsidR="000A04D4" w:rsidRDefault="00000000">
            <w:pPr>
              <w:spacing w:after="0" w:line="240" w:lineRule="auto"/>
              <w:ind w:firstLine="0"/>
              <w:jc w:val="center"/>
            </w:pPr>
            <m:oMathPara>
              <m:oMath>
                <m:sSub>
                  <m:sSubPr>
                    <m:ctrlPr>
                      <w:rPr>
                        <w:rFonts w:ascii="Cambria Math" w:hAnsi="Cambria Math"/>
                      </w:rPr>
                    </m:ctrlPr>
                  </m:sSubPr>
                  <m:e>
                    <m:r>
                      <m:rPr>
                        <m:sty m:val="p"/>
                      </m:rPr>
                      <w:rPr>
                        <w:rFonts w:ascii="Cambria Math" w:hAnsi="Cambria Math"/>
                        <w:sz w:val="20"/>
                        <w:szCs w:val="20"/>
                      </w:rPr>
                      <m:t>PRAUC</m:t>
                    </m:r>
                  </m:e>
                  <m:sub>
                    <m:r>
                      <w:rPr>
                        <w:rFonts w:ascii="Cambria Math" w:hAnsi="Cambria Math"/>
                        <w:sz w:val="20"/>
                        <w:szCs w:val="20"/>
                      </w:rPr>
                      <m:t>0.3</m:t>
                    </m:r>
                  </m:sub>
                </m:sSub>
              </m:oMath>
            </m:oMathPara>
          </w:p>
        </w:tc>
        <w:tc>
          <w:tcPr>
            <w:tcW w:w="1083" w:type="dxa"/>
            <w:tcBorders>
              <w:bottom w:val="single" w:sz="4" w:space="0" w:color="000000"/>
            </w:tcBorders>
            <w:noWrap/>
            <w:tcMar>
              <w:top w:w="30" w:type="dxa"/>
              <w:left w:w="45" w:type="dxa"/>
              <w:bottom w:w="30" w:type="dxa"/>
              <w:right w:w="45" w:type="dxa"/>
            </w:tcMar>
            <w:vAlign w:val="center"/>
          </w:tcPr>
          <w:p w14:paraId="6187A62E" w14:textId="77777777" w:rsidR="000A04D4" w:rsidRDefault="00000000">
            <w:pPr>
              <w:spacing w:after="0" w:line="240" w:lineRule="auto"/>
              <w:ind w:firstLine="0"/>
              <w:jc w:val="center"/>
            </w:pPr>
            <m:oMathPara>
              <m:oMath>
                <m:sSub>
                  <m:sSubPr>
                    <m:ctrlPr>
                      <w:rPr>
                        <w:rFonts w:ascii="Cambria Math" w:hAnsi="Cambria Math"/>
                      </w:rPr>
                    </m:ctrlPr>
                  </m:sSubPr>
                  <m:e>
                    <m:r>
                      <m:rPr>
                        <m:sty m:val="p"/>
                      </m:rPr>
                      <w:rPr>
                        <w:rFonts w:ascii="Cambria Math" w:hAnsi="Cambria Math"/>
                        <w:sz w:val="20"/>
                        <w:szCs w:val="20"/>
                      </w:rPr>
                      <m:t>PRAUC</m:t>
                    </m:r>
                  </m:e>
                  <m:sub>
                    <m:r>
                      <w:rPr>
                        <w:rFonts w:ascii="Cambria Math" w:hAnsi="Cambria Math"/>
                        <w:sz w:val="20"/>
                        <w:szCs w:val="20"/>
                      </w:rPr>
                      <m:t>0.5</m:t>
                    </m:r>
                  </m:sub>
                </m:sSub>
              </m:oMath>
            </m:oMathPara>
          </w:p>
        </w:tc>
        <w:tc>
          <w:tcPr>
            <w:tcW w:w="1083" w:type="dxa"/>
            <w:tcBorders>
              <w:bottom w:val="single" w:sz="4" w:space="0" w:color="000000"/>
            </w:tcBorders>
            <w:noWrap/>
            <w:tcMar>
              <w:top w:w="30" w:type="dxa"/>
              <w:left w:w="45" w:type="dxa"/>
              <w:bottom w:w="30" w:type="dxa"/>
              <w:right w:w="45" w:type="dxa"/>
            </w:tcMar>
            <w:vAlign w:val="center"/>
          </w:tcPr>
          <w:p w14:paraId="2BFF1C5D" w14:textId="77777777" w:rsidR="000A04D4" w:rsidRDefault="00000000">
            <w:pPr>
              <w:spacing w:after="0" w:line="240" w:lineRule="auto"/>
              <w:ind w:firstLine="0"/>
              <w:jc w:val="center"/>
            </w:pPr>
            <w:r>
              <w:rPr>
                <w:rFonts w:ascii="Times New Roman" w:hAnsi="Times New Roman"/>
                <w:sz w:val="20"/>
              </w:rPr>
              <w:t>Dice</w:t>
            </w:r>
          </w:p>
        </w:tc>
        <w:tc>
          <w:tcPr>
            <w:tcW w:w="1083" w:type="dxa"/>
            <w:tcBorders>
              <w:bottom w:val="single" w:sz="4" w:space="0" w:color="000000"/>
            </w:tcBorders>
            <w:noWrap/>
            <w:tcMar>
              <w:top w:w="30" w:type="dxa"/>
              <w:left w:w="45" w:type="dxa"/>
              <w:bottom w:w="30" w:type="dxa"/>
              <w:right w:w="45" w:type="dxa"/>
            </w:tcMar>
            <w:vAlign w:val="center"/>
          </w:tcPr>
          <w:p w14:paraId="74EFD39B" w14:textId="77777777" w:rsidR="000A04D4" w:rsidRDefault="00000000">
            <w:pPr>
              <w:spacing w:after="0" w:line="240" w:lineRule="auto"/>
              <w:ind w:firstLine="0"/>
              <w:jc w:val="center"/>
            </w:pPr>
            <m:oMathPara>
              <m:oMath>
                <m:sSub>
                  <m:sSubPr>
                    <m:ctrlPr>
                      <w:rPr>
                        <w:rFonts w:ascii="Cambria Math" w:hAnsi="Cambria Math"/>
                      </w:rPr>
                    </m:ctrlPr>
                  </m:sSubPr>
                  <m:e>
                    <m:r>
                      <m:rPr>
                        <m:sty m:val="p"/>
                      </m:rPr>
                      <w:rPr>
                        <w:rFonts w:ascii="Cambria Math" w:hAnsi="Cambria Math"/>
                        <w:sz w:val="20"/>
                        <w:szCs w:val="20"/>
                      </w:rPr>
                      <m:t>PRAUC</m:t>
                    </m:r>
                  </m:e>
                  <m:sub>
                    <m:r>
                      <w:rPr>
                        <w:rFonts w:ascii="Cambria Math" w:hAnsi="Cambria Math"/>
                        <w:sz w:val="20"/>
                        <w:szCs w:val="20"/>
                      </w:rPr>
                      <m:t>0.3</m:t>
                    </m:r>
                  </m:sub>
                </m:sSub>
              </m:oMath>
            </m:oMathPara>
          </w:p>
        </w:tc>
        <w:tc>
          <w:tcPr>
            <w:tcW w:w="1083" w:type="dxa"/>
            <w:tcBorders>
              <w:bottom w:val="single" w:sz="4" w:space="0" w:color="000000"/>
            </w:tcBorders>
            <w:noWrap/>
            <w:tcMar>
              <w:top w:w="30" w:type="dxa"/>
              <w:left w:w="45" w:type="dxa"/>
              <w:bottom w:w="30" w:type="dxa"/>
              <w:right w:w="45" w:type="dxa"/>
            </w:tcMar>
            <w:vAlign w:val="center"/>
          </w:tcPr>
          <w:p w14:paraId="2F95C783" w14:textId="77777777" w:rsidR="000A04D4" w:rsidRDefault="00000000">
            <w:pPr>
              <w:spacing w:after="0" w:line="240" w:lineRule="auto"/>
              <w:ind w:firstLine="0"/>
              <w:jc w:val="center"/>
            </w:pPr>
            <m:oMathPara>
              <m:oMath>
                <m:sSub>
                  <m:sSubPr>
                    <m:ctrlPr>
                      <w:rPr>
                        <w:rFonts w:ascii="Cambria Math" w:hAnsi="Cambria Math"/>
                      </w:rPr>
                    </m:ctrlPr>
                  </m:sSubPr>
                  <m:e>
                    <m:r>
                      <m:rPr>
                        <m:sty m:val="p"/>
                      </m:rPr>
                      <w:rPr>
                        <w:rFonts w:ascii="Cambria Math" w:hAnsi="Cambria Math"/>
                        <w:sz w:val="20"/>
                        <w:szCs w:val="20"/>
                      </w:rPr>
                      <m:t>PRAUC</m:t>
                    </m:r>
                  </m:e>
                  <m:sub>
                    <m:r>
                      <w:rPr>
                        <w:rFonts w:ascii="Cambria Math" w:hAnsi="Cambria Math"/>
                        <w:sz w:val="20"/>
                        <w:szCs w:val="20"/>
                      </w:rPr>
                      <m:t>0.5</m:t>
                    </m:r>
                  </m:sub>
                </m:sSub>
              </m:oMath>
            </m:oMathPara>
          </w:p>
        </w:tc>
      </w:tr>
      <w:tr w:rsidR="000A04D4" w14:paraId="4B2610AD" w14:textId="77777777">
        <w:trPr>
          <w:cantSplit/>
        </w:trPr>
        <w:tc>
          <w:tcPr>
            <w:tcW w:w="2527" w:type="dxa"/>
            <w:noWrap/>
            <w:tcMar>
              <w:top w:w="30" w:type="dxa"/>
              <w:left w:w="45" w:type="dxa"/>
              <w:bottom w:w="30" w:type="dxa"/>
              <w:right w:w="45" w:type="dxa"/>
            </w:tcMar>
            <w:vAlign w:val="center"/>
          </w:tcPr>
          <w:p w14:paraId="304BCBAC" w14:textId="77777777" w:rsidR="000A04D4" w:rsidRDefault="00000000">
            <w:pPr>
              <w:spacing w:after="0" w:line="240" w:lineRule="auto"/>
              <w:ind w:firstLine="0"/>
              <w:jc w:val="left"/>
            </w:pPr>
            <w:r>
              <w:rPr>
                <w:rFonts w:ascii="Times New Roman" w:hAnsi="Times New Roman"/>
                <w:sz w:val="20"/>
              </w:rPr>
              <w:t>Density only</w:t>
            </w:r>
          </w:p>
        </w:tc>
        <w:tc>
          <w:tcPr>
            <w:tcW w:w="1083" w:type="dxa"/>
            <w:noWrap/>
            <w:tcMar>
              <w:top w:w="30" w:type="dxa"/>
              <w:left w:w="45" w:type="dxa"/>
              <w:bottom w:w="30" w:type="dxa"/>
              <w:right w:w="45" w:type="dxa"/>
            </w:tcMar>
            <w:vAlign w:val="center"/>
          </w:tcPr>
          <w:p w14:paraId="66D144CC" w14:textId="77777777" w:rsidR="000A04D4" w:rsidRDefault="00000000">
            <w:pPr>
              <w:spacing w:after="0" w:line="240" w:lineRule="auto"/>
              <w:ind w:firstLine="0"/>
              <w:jc w:val="center"/>
            </w:pPr>
            <w:r>
              <w:rPr>
                <w:rFonts w:ascii="Times New Roman" w:hAnsi="Times New Roman"/>
                <w:sz w:val="20"/>
              </w:rPr>
              <w:t>0.394</w:t>
            </w:r>
          </w:p>
        </w:tc>
        <w:tc>
          <w:tcPr>
            <w:tcW w:w="1083" w:type="dxa"/>
            <w:noWrap/>
            <w:tcMar>
              <w:top w:w="30" w:type="dxa"/>
              <w:left w:w="45" w:type="dxa"/>
              <w:bottom w:w="30" w:type="dxa"/>
              <w:right w:w="45" w:type="dxa"/>
            </w:tcMar>
            <w:vAlign w:val="center"/>
          </w:tcPr>
          <w:p w14:paraId="0549329C" w14:textId="77777777" w:rsidR="000A04D4" w:rsidRDefault="00000000">
            <w:pPr>
              <w:spacing w:after="0" w:line="240" w:lineRule="auto"/>
              <w:ind w:firstLine="0"/>
              <w:jc w:val="center"/>
            </w:pPr>
            <w:r>
              <w:rPr>
                <w:rFonts w:ascii="Times New Roman" w:hAnsi="Times New Roman"/>
                <w:sz w:val="20"/>
              </w:rPr>
              <w:t>0.446</w:t>
            </w:r>
          </w:p>
        </w:tc>
        <w:tc>
          <w:tcPr>
            <w:tcW w:w="1083" w:type="dxa"/>
            <w:noWrap/>
            <w:tcMar>
              <w:top w:w="30" w:type="dxa"/>
              <w:left w:w="45" w:type="dxa"/>
              <w:bottom w:w="30" w:type="dxa"/>
              <w:right w:w="45" w:type="dxa"/>
            </w:tcMar>
            <w:vAlign w:val="center"/>
          </w:tcPr>
          <w:p w14:paraId="64273EBF" w14:textId="77777777" w:rsidR="000A04D4" w:rsidRDefault="00000000">
            <w:pPr>
              <w:spacing w:after="0" w:line="240" w:lineRule="auto"/>
              <w:ind w:firstLine="0"/>
              <w:jc w:val="center"/>
            </w:pPr>
            <w:r>
              <w:rPr>
                <w:rFonts w:ascii="Times New Roman" w:hAnsi="Times New Roman"/>
                <w:sz w:val="20"/>
              </w:rPr>
              <w:t>0.342</w:t>
            </w:r>
          </w:p>
        </w:tc>
        <w:tc>
          <w:tcPr>
            <w:tcW w:w="1083" w:type="dxa"/>
            <w:noWrap/>
            <w:tcMar>
              <w:top w:w="30" w:type="dxa"/>
              <w:left w:w="45" w:type="dxa"/>
              <w:bottom w:w="30" w:type="dxa"/>
              <w:right w:w="45" w:type="dxa"/>
            </w:tcMar>
            <w:vAlign w:val="center"/>
          </w:tcPr>
          <w:p w14:paraId="509F0871" w14:textId="77777777" w:rsidR="000A04D4" w:rsidRDefault="00000000">
            <w:pPr>
              <w:spacing w:after="0" w:line="240" w:lineRule="auto"/>
              <w:ind w:firstLine="0"/>
              <w:jc w:val="center"/>
            </w:pPr>
            <w:r>
              <w:rPr>
                <w:rFonts w:ascii="Times New Roman" w:hAnsi="Times New Roman"/>
                <w:sz w:val="20"/>
              </w:rPr>
              <w:t>0.394</w:t>
            </w:r>
          </w:p>
        </w:tc>
        <w:tc>
          <w:tcPr>
            <w:tcW w:w="1083" w:type="dxa"/>
            <w:noWrap/>
            <w:tcMar>
              <w:top w:w="30" w:type="dxa"/>
              <w:left w:w="45" w:type="dxa"/>
              <w:bottom w:w="30" w:type="dxa"/>
              <w:right w:w="45" w:type="dxa"/>
            </w:tcMar>
            <w:vAlign w:val="center"/>
          </w:tcPr>
          <w:p w14:paraId="0013B5D7" w14:textId="77777777" w:rsidR="000A04D4" w:rsidRDefault="00000000">
            <w:pPr>
              <w:spacing w:after="0" w:line="240" w:lineRule="auto"/>
              <w:ind w:firstLine="0"/>
              <w:jc w:val="center"/>
            </w:pPr>
            <w:r>
              <w:rPr>
                <w:rFonts w:ascii="Times New Roman" w:hAnsi="Times New Roman"/>
                <w:sz w:val="20"/>
              </w:rPr>
              <w:t>0.446</w:t>
            </w:r>
          </w:p>
        </w:tc>
        <w:tc>
          <w:tcPr>
            <w:tcW w:w="1083" w:type="dxa"/>
            <w:noWrap/>
            <w:tcMar>
              <w:top w:w="30" w:type="dxa"/>
              <w:left w:w="45" w:type="dxa"/>
              <w:bottom w:w="30" w:type="dxa"/>
              <w:right w:w="45" w:type="dxa"/>
            </w:tcMar>
            <w:vAlign w:val="center"/>
          </w:tcPr>
          <w:p w14:paraId="0F33A3F8" w14:textId="77777777" w:rsidR="000A04D4" w:rsidRDefault="00000000">
            <w:pPr>
              <w:spacing w:after="0" w:line="240" w:lineRule="auto"/>
              <w:ind w:firstLine="0"/>
              <w:jc w:val="center"/>
            </w:pPr>
            <w:r>
              <w:rPr>
                <w:rFonts w:ascii="Times New Roman" w:hAnsi="Times New Roman"/>
                <w:sz w:val="20"/>
              </w:rPr>
              <w:t>0.342</w:t>
            </w:r>
          </w:p>
        </w:tc>
      </w:tr>
      <w:tr w:rsidR="000A04D4" w14:paraId="655FE1F4" w14:textId="77777777">
        <w:trPr>
          <w:cantSplit/>
        </w:trPr>
        <w:tc>
          <w:tcPr>
            <w:tcW w:w="2527" w:type="dxa"/>
            <w:noWrap/>
            <w:tcMar>
              <w:top w:w="30" w:type="dxa"/>
              <w:left w:w="45" w:type="dxa"/>
              <w:bottom w:w="30" w:type="dxa"/>
              <w:right w:w="45" w:type="dxa"/>
            </w:tcMar>
            <w:vAlign w:val="center"/>
          </w:tcPr>
          <w:p w14:paraId="0E5A8B18" w14:textId="77777777" w:rsidR="000A04D4" w:rsidRDefault="00000000">
            <w:pPr>
              <w:spacing w:after="0" w:line="240" w:lineRule="auto"/>
              <w:ind w:firstLine="0"/>
              <w:jc w:val="left"/>
            </w:pPr>
            <w:r>
              <w:rPr>
                <w:rFonts w:ascii="Times New Roman" w:hAnsi="Times New Roman"/>
                <w:sz w:val="20"/>
              </w:rPr>
              <w:t>+ Difference density</w:t>
            </w:r>
          </w:p>
        </w:tc>
        <w:tc>
          <w:tcPr>
            <w:tcW w:w="1083" w:type="dxa"/>
            <w:noWrap/>
            <w:tcMar>
              <w:top w:w="30" w:type="dxa"/>
              <w:left w:w="45" w:type="dxa"/>
              <w:bottom w:w="30" w:type="dxa"/>
              <w:right w:w="45" w:type="dxa"/>
            </w:tcMar>
            <w:vAlign w:val="center"/>
          </w:tcPr>
          <w:p w14:paraId="4296DB9B" w14:textId="77777777" w:rsidR="000A04D4" w:rsidRDefault="00000000">
            <w:pPr>
              <w:spacing w:after="0" w:line="240" w:lineRule="auto"/>
              <w:ind w:firstLine="0"/>
              <w:jc w:val="center"/>
            </w:pPr>
            <w:r>
              <w:rPr>
                <w:rFonts w:ascii="Times New Roman" w:hAnsi="Times New Roman"/>
                <w:sz w:val="20"/>
              </w:rPr>
              <w:t>0.434</w:t>
            </w:r>
          </w:p>
        </w:tc>
        <w:tc>
          <w:tcPr>
            <w:tcW w:w="1083" w:type="dxa"/>
            <w:noWrap/>
            <w:tcMar>
              <w:top w:w="30" w:type="dxa"/>
              <w:left w:w="45" w:type="dxa"/>
              <w:bottom w:w="30" w:type="dxa"/>
              <w:right w:w="45" w:type="dxa"/>
            </w:tcMar>
            <w:vAlign w:val="center"/>
          </w:tcPr>
          <w:p w14:paraId="30739284" w14:textId="77777777" w:rsidR="000A04D4" w:rsidRDefault="00000000">
            <w:pPr>
              <w:spacing w:after="0" w:line="240" w:lineRule="auto"/>
              <w:ind w:firstLine="0"/>
              <w:jc w:val="center"/>
            </w:pPr>
            <w:r>
              <w:rPr>
                <w:rFonts w:ascii="Times New Roman" w:hAnsi="Times New Roman"/>
                <w:sz w:val="20"/>
              </w:rPr>
              <w:t>0.501</w:t>
            </w:r>
          </w:p>
        </w:tc>
        <w:tc>
          <w:tcPr>
            <w:tcW w:w="1083" w:type="dxa"/>
            <w:noWrap/>
            <w:tcMar>
              <w:top w:w="30" w:type="dxa"/>
              <w:left w:w="45" w:type="dxa"/>
              <w:bottom w:w="30" w:type="dxa"/>
              <w:right w:w="45" w:type="dxa"/>
            </w:tcMar>
            <w:vAlign w:val="center"/>
          </w:tcPr>
          <w:p w14:paraId="5CC8972F" w14:textId="77777777" w:rsidR="000A04D4" w:rsidRDefault="00000000">
            <w:pPr>
              <w:spacing w:after="0" w:line="240" w:lineRule="auto"/>
              <w:ind w:firstLine="0"/>
              <w:jc w:val="center"/>
            </w:pPr>
            <w:r>
              <w:rPr>
                <w:rFonts w:ascii="Times New Roman" w:hAnsi="Times New Roman"/>
                <w:sz w:val="20"/>
              </w:rPr>
              <w:t>0.403</w:t>
            </w:r>
          </w:p>
        </w:tc>
        <w:tc>
          <w:tcPr>
            <w:tcW w:w="1083" w:type="dxa"/>
            <w:noWrap/>
            <w:tcMar>
              <w:top w:w="30" w:type="dxa"/>
              <w:left w:w="45" w:type="dxa"/>
              <w:bottom w:w="30" w:type="dxa"/>
              <w:right w:w="45" w:type="dxa"/>
            </w:tcMar>
            <w:vAlign w:val="center"/>
          </w:tcPr>
          <w:p w14:paraId="165CDFFC" w14:textId="77777777" w:rsidR="000A04D4" w:rsidRDefault="00000000">
            <w:pPr>
              <w:spacing w:after="0" w:line="240" w:lineRule="auto"/>
              <w:ind w:firstLine="0"/>
              <w:jc w:val="center"/>
            </w:pPr>
            <w:r>
              <w:rPr>
                <w:rFonts w:ascii="Times New Roman" w:hAnsi="Times New Roman"/>
                <w:sz w:val="20"/>
              </w:rPr>
              <w:t>0.483</w:t>
            </w:r>
          </w:p>
        </w:tc>
        <w:tc>
          <w:tcPr>
            <w:tcW w:w="1083" w:type="dxa"/>
            <w:noWrap/>
            <w:tcMar>
              <w:top w:w="30" w:type="dxa"/>
              <w:left w:w="45" w:type="dxa"/>
              <w:bottom w:w="30" w:type="dxa"/>
              <w:right w:w="45" w:type="dxa"/>
            </w:tcMar>
            <w:vAlign w:val="center"/>
          </w:tcPr>
          <w:p w14:paraId="04098E55" w14:textId="77777777" w:rsidR="000A04D4" w:rsidRDefault="00000000">
            <w:pPr>
              <w:spacing w:after="0" w:line="240" w:lineRule="auto"/>
              <w:ind w:firstLine="0"/>
              <w:jc w:val="center"/>
            </w:pPr>
            <w:r>
              <w:rPr>
                <w:rFonts w:ascii="Times New Roman" w:hAnsi="Times New Roman"/>
                <w:sz w:val="20"/>
              </w:rPr>
              <w:t>0.569</w:t>
            </w:r>
          </w:p>
        </w:tc>
        <w:tc>
          <w:tcPr>
            <w:tcW w:w="1083" w:type="dxa"/>
            <w:noWrap/>
            <w:tcMar>
              <w:top w:w="30" w:type="dxa"/>
              <w:left w:w="45" w:type="dxa"/>
              <w:bottom w:w="30" w:type="dxa"/>
              <w:right w:w="45" w:type="dxa"/>
            </w:tcMar>
            <w:vAlign w:val="center"/>
          </w:tcPr>
          <w:p w14:paraId="7DA606CD" w14:textId="77777777" w:rsidR="000A04D4" w:rsidRDefault="00000000">
            <w:pPr>
              <w:spacing w:after="0" w:line="240" w:lineRule="auto"/>
              <w:ind w:firstLine="0"/>
              <w:jc w:val="center"/>
            </w:pPr>
            <w:r>
              <w:rPr>
                <w:rFonts w:ascii="Times New Roman" w:hAnsi="Times New Roman"/>
                <w:sz w:val="20"/>
              </w:rPr>
              <w:t>0.452</w:t>
            </w:r>
          </w:p>
        </w:tc>
      </w:tr>
      <w:tr w:rsidR="000A04D4" w14:paraId="404541F6" w14:textId="77777777">
        <w:trPr>
          <w:cantSplit/>
        </w:trPr>
        <w:tc>
          <w:tcPr>
            <w:tcW w:w="2527" w:type="dxa"/>
            <w:noWrap/>
            <w:tcMar>
              <w:top w:w="30" w:type="dxa"/>
              <w:left w:w="45" w:type="dxa"/>
              <w:bottom w:w="30" w:type="dxa"/>
              <w:right w:w="45" w:type="dxa"/>
            </w:tcMar>
            <w:vAlign w:val="center"/>
          </w:tcPr>
          <w:p w14:paraId="2A6C34AB" w14:textId="77777777" w:rsidR="000A04D4" w:rsidRDefault="00000000">
            <w:pPr>
              <w:spacing w:after="0" w:line="240" w:lineRule="auto"/>
              <w:ind w:firstLine="0"/>
              <w:jc w:val="left"/>
            </w:pPr>
            <w:r>
              <w:rPr>
                <w:rFonts w:ascii="Times New Roman" w:hAnsi="Times New Roman"/>
                <w:sz w:val="20"/>
              </w:rPr>
              <w:t>+ Density bank</w:t>
            </w:r>
          </w:p>
        </w:tc>
        <w:tc>
          <w:tcPr>
            <w:tcW w:w="1083" w:type="dxa"/>
            <w:noWrap/>
            <w:tcMar>
              <w:top w:w="30" w:type="dxa"/>
              <w:left w:w="45" w:type="dxa"/>
              <w:bottom w:w="30" w:type="dxa"/>
              <w:right w:w="45" w:type="dxa"/>
            </w:tcMar>
            <w:vAlign w:val="center"/>
          </w:tcPr>
          <w:p w14:paraId="142D5499" w14:textId="77777777" w:rsidR="000A04D4" w:rsidRDefault="00000000">
            <w:pPr>
              <w:spacing w:after="0" w:line="240" w:lineRule="auto"/>
              <w:ind w:firstLine="0"/>
              <w:jc w:val="center"/>
            </w:pPr>
            <w:r>
              <w:rPr>
                <w:rFonts w:ascii="Times New Roman" w:hAnsi="Times New Roman"/>
                <w:sz w:val="20"/>
              </w:rPr>
              <w:t>0.453</w:t>
            </w:r>
          </w:p>
        </w:tc>
        <w:tc>
          <w:tcPr>
            <w:tcW w:w="1083" w:type="dxa"/>
            <w:noWrap/>
            <w:tcMar>
              <w:top w:w="30" w:type="dxa"/>
              <w:left w:w="45" w:type="dxa"/>
              <w:bottom w:w="30" w:type="dxa"/>
              <w:right w:w="45" w:type="dxa"/>
            </w:tcMar>
            <w:vAlign w:val="center"/>
          </w:tcPr>
          <w:p w14:paraId="2A132835" w14:textId="77777777" w:rsidR="000A04D4" w:rsidRDefault="00000000">
            <w:pPr>
              <w:spacing w:after="0" w:line="240" w:lineRule="auto"/>
              <w:ind w:firstLine="0"/>
              <w:jc w:val="center"/>
            </w:pPr>
            <w:r>
              <w:rPr>
                <w:rFonts w:ascii="Times New Roman" w:hAnsi="Times New Roman"/>
                <w:sz w:val="20"/>
              </w:rPr>
              <w:t>0.508</w:t>
            </w:r>
          </w:p>
        </w:tc>
        <w:tc>
          <w:tcPr>
            <w:tcW w:w="1083" w:type="dxa"/>
            <w:noWrap/>
            <w:tcMar>
              <w:top w:w="30" w:type="dxa"/>
              <w:left w:w="45" w:type="dxa"/>
              <w:bottom w:w="30" w:type="dxa"/>
              <w:right w:w="45" w:type="dxa"/>
            </w:tcMar>
            <w:vAlign w:val="center"/>
          </w:tcPr>
          <w:p w14:paraId="3BFA3CB1" w14:textId="77777777" w:rsidR="000A04D4" w:rsidRDefault="00000000">
            <w:pPr>
              <w:spacing w:after="0" w:line="240" w:lineRule="auto"/>
              <w:ind w:firstLine="0"/>
              <w:jc w:val="center"/>
            </w:pPr>
            <w:r>
              <w:rPr>
                <w:rFonts w:ascii="Times New Roman" w:hAnsi="Times New Roman"/>
                <w:sz w:val="20"/>
              </w:rPr>
              <w:t>0.427</w:t>
            </w:r>
          </w:p>
        </w:tc>
        <w:tc>
          <w:tcPr>
            <w:tcW w:w="1083" w:type="dxa"/>
            <w:noWrap/>
            <w:tcMar>
              <w:top w:w="30" w:type="dxa"/>
              <w:left w:w="45" w:type="dxa"/>
              <w:bottom w:w="30" w:type="dxa"/>
              <w:right w:w="45" w:type="dxa"/>
            </w:tcMar>
            <w:vAlign w:val="center"/>
          </w:tcPr>
          <w:p w14:paraId="09F71810" w14:textId="77777777" w:rsidR="000A04D4" w:rsidRDefault="00000000">
            <w:pPr>
              <w:spacing w:after="0" w:line="240" w:lineRule="auto"/>
              <w:ind w:firstLine="0"/>
              <w:jc w:val="center"/>
            </w:pPr>
            <w:r>
              <w:rPr>
                <w:rFonts w:ascii="Times New Roman" w:hAnsi="Times New Roman"/>
                <w:b/>
                <w:bCs/>
                <w:sz w:val="20"/>
              </w:rPr>
              <w:t>0.585</w:t>
            </w:r>
          </w:p>
        </w:tc>
        <w:tc>
          <w:tcPr>
            <w:tcW w:w="1083" w:type="dxa"/>
            <w:noWrap/>
            <w:tcMar>
              <w:top w:w="30" w:type="dxa"/>
              <w:left w:w="45" w:type="dxa"/>
              <w:bottom w:w="30" w:type="dxa"/>
              <w:right w:w="45" w:type="dxa"/>
            </w:tcMar>
            <w:vAlign w:val="center"/>
          </w:tcPr>
          <w:p w14:paraId="6762D568" w14:textId="77777777" w:rsidR="000A04D4" w:rsidRDefault="00000000">
            <w:pPr>
              <w:spacing w:after="0" w:line="240" w:lineRule="auto"/>
              <w:ind w:firstLine="0"/>
              <w:jc w:val="center"/>
            </w:pPr>
            <w:r>
              <w:rPr>
                <w:rFonts w:ascii="Times New Roman" w:hAnsi="Times New Roman"/>
                <w:sz w:val="20"/>
                <w:u w:val="single"/>
              </w:rPr>
              <w:t>0.643</w:t>
            </w:r>
          </w:p>
        </w:tc>
        <w:tc>
          <w:tcPr>
            <w:tcW w:w="1083" w:type="dxa"/>
            <w:noWrap/>
            <w:tcMar>
              <w:top w:w="30" w:type="dxa"/>
              <w:left w:w="45" w:type="dxa"/>
              <w:bottom w:w="30" w:type="dxa"/>
              <w:right w:w="45" w:type="dxa"/>
            </w:tcMar>
            <w:vAlign w:val="center"/>
          </w:tcPr>
          <w:p w14:paraId="55A1EE71" w14:textId="77777777" w:rsidR="000A04D4" w:rsidRDefault="00000000">
            <w:pPr>
              <w:spacing w:after="0" w:line="240" w:lineRule="auto"/>
              <w:ind w:firstLine="0"/>
              <w:jc w:val="center"/>
            </w:pPr>
            <w:r>
              <w:rPr>
                <w:rFonts w:ascii="Times New Roman" w:hAnsi="Times New Roman"/>
                <w:b/>
                <w:bCs/>
                <w:sz w:val="20"/>
              </w:rPr>
              <w:t>0.561</w:t>
            </w:r>
          </w:p>
        </w:tc>
      </w:tr>
      <w:tr w:rsidR="000A04D4" w14:paraId="2D7036C4" w14:textId="77777777">
        <w:trPr>
          <w:cantSplit/>
        </w:trPr>
        <w:tc>
          <w:tcPr>
            <w:tcW w:w="2527" w:type="dxa"/>
            <w:noWrap/>
            <w:tcMar>
              <w:top w:w="30" w:type="dxa"/>
              <w:left w:w="45" w:type="dxa"/>
              <w:bottom w:w="30" w:type="dxa"/>
              <w:right w:w="45" w:type="dxa"/>
            </w:tcMar>
            <w:vAlign w:val="center"/>
          </w:tcPr>
          <w:p w14:paraId="3C005D33" w14:textId="77777777" w:rsidR="000A04D4" w:rsidRDefault="00000000">
            <w:pPr>
              <w:spacing w:after="0" w:line="240" w:lineRule="auto"/>
              <w:ind w:firstLine="0"/>
              <w:jc w:val="left"/>
            </w:pPr>
            <w:r>
              <w:rPr>
                <w:rFonts w:ascii="Times New Roman" w:hAnsi="Times New Roman"/>
                <w:sz w:val="20"/>
              </w:rPr>
              <w:t>+ Receptor features</w:t>
            </w:r>
          </w:p>
        </w:tc>
        <w:tc>
          <w:tcPr>
            <w:tcW w:w="1083" w:type="dxa"/>
            <w:noWrap/>
            <w:tcMar>
              <w:top w:w="30" w:type="dxa"/>
              <w:left w:w="45" w:type="dxa"/>
              <w:bottom w:w="30" w:type="dxa"/>
              <w:right w:w="45" w:type="dxa"/>
            </w:tcMar>
            <w:vAlign w:val="center"/>
          </w:tcPr>
          <w:p w14:paraId="75043767" w14:textId="77777777" w:rsidR="000A04D4" w:rsidRDefault="00000000">
            <w:pPr>
              <w:spacing w:after="0" w:line="240" w:lineRule="auto"/>
              <w:ind w:firstLine="0"/>
              <w:jc w:val="center"/>
            </w:pPr>
            <w:r>
              <w:rPr>
                <w:rFonts w:ascii="Times New Roman" w:hAnsi="Times New Roman"/>
                <w:sz w:val="20"/>
              </w:rPr>
              <w:t>0.463</w:t>
            </w:r>
          </w:p>
        </w:tc>
        <w:tc>
          <w:tcPr>
            <w:tcW w:w="1083" w:type="dxa"/>
            <w:noWrap/>
            <w:tcMar>
              <w:top w:w="30" w:type="dxa"/>
              <w:left w:w="45" w:type="dxa"/>
              <w:bottom w:w="30" w:type="dxa"/>
              <w:right w:w="45" w:type="dxa"/>
            </w:tcMar>
            <w:vAlign w:val="center"/>
          </w:tcPr>
          <w:p w14:paraId="3DCE6E5E" w14:textId="77777777" w:rsidR="000A04D4" w:rsidRDefault="00000000">
            <w:pPr>
              <w:spacing w:after="0" w:line="240" w:lineRule="auto"/>
              <w:ind w:firstLine="0"/>
              <w:jc w:val="center"/>
            </w:pPr>
            <w:r>
              <w:rPr>
                <w:rFonts w:ascii="Times New Roman" w:hAnsi="Times New Roman"/>
                <w:sz w:val="20"/>
              </w:rPr>
              <w:t>0.520</w:t>
            </w:r>
          </w:p>
        </w:tc>
        <w:tc>
          <w:tcPr>
            <w:tcW w:w="1083" w:type="dxa"/>
            <w:noWrap/>
            <w:tcMar>
              <w:top w:w="30" w:type="dxa"/>
              <w:left w:w="45" w:type="dxa"/>
              <w:bottom w:w="30" w:type="dxa"/>
              <w:right w:w="45" w:type="dxa"/>
            </w:tcMar>
            <w:vAlign w:val="center"/>
          </w:tcPr>
          <w:p w14:paraId="336CE10B" w14:textId="77777777" w:rsidR="000A04D4" w:rsidRDefault="00000000">
            <w:pPr>
              <w:spacing w:after="0" w:line="240" w:lineRule="auto"/>
              <w:ind w:firstLine="0"/>
              <w:jc w:val="center"/>
            </w:pPr>
            <w:r>
              <w:rPr>
                <w:rFonts w:ascii="Times New Roman" w:hAnsi="Times New Roman"/>
                <w:sz w:val="20"/>
              </w:rPr>
              <w:t>0.437</w:t>
            </w:r>
          </w:p>
        </w:tc>
        <w:tc>
          <w:tcPr>
            <w:tcW w:w="1083" w:type="dxa"/>
            <w:noWrap/>
            <w:tcMar>
              <w:top w:w="30" w:type="dxa"/>
              <w:left w:w="45" w:type="dxa"/>
              <w:bottom w:w="30" w:type="dxa"/>
              <w:right w:w="45" w:type="dxa"/>
            </w:tcMar>
            <w:vAlign w:val="center"/>
          </w:tcPr>
          <w:p w14:paraId="7302351D" w14:textId="77777777" w:rsidR="000A04D4" w:rsidRDefault="00000000">
            <w:pPr>
              <w:spacing w:after="0" w:line="240" w:lineRule="auto"/>
              <w:ind w:firstLine="0"/>
              <w:jc w:val="center"/>
            </w:pPr>
            <w:r>
              <w:rPr>
                <w:rFonts w:ascii="Times New Roman" w:hAnsi="Times New Roman"/>
                <w:sz w:val="20"/>
              </w:rPr>
              <w:t>0.570</w:t>
            </w:r>
          </w:p>
        </w:tc>
        <w:tc>
          <w:tcPr>
            <w:tcW w:w="1083" w:type="dxa"/>
            <w:noWrap/>
            <w:tcMar>
              <w:top w:w="30" w:type="dxa"/>
              <w:left w:w="45" w:type="dxa"/>
              <w:bottom w:w="30" w:type="dxa"/>
              <w:right w:w="45" w:type="dxa"/>
            </w:tcMar>
            <w:vAlign w:val="center"/>
          </w:tcPr>
          <w:p w14:paraId="36BC9CBC" w14:textId="77777777" w:rsidR="000A04D4" w:rsidRDefault="00000000">
            <w:pPr>
              <w:spacing w:after="0" w:line="240" w:lineRule="auto"/>
              <w:ind w:firstLine="0"/>
              <w:jc w:val="center"/>
            </w:pPr>
            <w:r>
              <w:rPr>
                <w:rFonts w:ascii="Times New Roman" w:hAnsi="Times New Roman"/>
                <w:sz w:val="20"/>
              </w:rPr>
              <w:t>0.631</w:t>
            </w:r>
          </w:p>
        </w:tc>
        <w:tc>
          <w:tcPr>
            <w:tcW w:w="1083" w:type="dxa"/>
            <w:noWrap/>
            <w:tcMar>
              <w:top w:w="30" w:type="dxa"/>
              <w:left w:w="45" w:type="dxa"/>
              <w:bottom w:w="30" w:type="dxa"/>
              <w:right w:w="45" w:type="dxa"/>
            </w:tcMar>
            <w:vAlign w:val="center"/>
          </w:tcPr>
          <w:p w14:paraId="7CD5B43B" w14:textId="77777777" w:rsidR="000A04D4" w:rsidRDefault="00000000">
            <w:pPr>
              <w:spacing w:after="0" w:line="240" w:lineRule="auto"/>
              <w:ind w:firstLine="0"/>
              <w:jc w:val="center"/>
            </w:pPr>
            <w:r>
              <w:rPr>
                <w:rFonts w:ascii="Times New Roman" w:hAnsi="Times New Roman"/>
                <w:sz w:val="20"/>
              </w:rPr>
              <w:t>0.554</w:t>
            </w:r>
          </w:p>
        </w:tc>
      </w:tr>
      <w:tr w:rsidR="000A04D4" w14:paraId="132B8EBE" w14:textId="77777777">
        <w:trPr>
          <w:cantSplit/>
        </w:trPr>
        <w:tc>
          <w:tcPr>
            <w:tcW w:w="2527" w:type="dxa"/>
            <w:noWrap/>
            <w:tcMar>
              <w:top w:w="30" w:type="dxa"/>
              <w:left w:w="45" w:type="dxa"/>
              <w:bottom w:w="30" w:type="dxa"/>
              <w:right w:w="45" w:type="dxa"/>
            </w:tcMar>
            <w:vAlign w:val="center"/>
          </w:tcPr>
          <w:p w14:paraId="44F1D671" w14:textId="77777777" w:rsidR="000A04D4" w:rsidRDefault="00000000">
            <w:pPr>
              <w:spacing w:after="0" w:line="240" w:lineRule="auto"/>
              <w:ind w:firstLine="0"/>
              <w:jc w:val="left"/>
            </w:pPr>
            <w:r>
              <w:rPr>
                <w:rFonts w:ascii="Times New Roman" w:hAnsi="Times New Roman"/>
                <w:sz w:val="20"/>
              </w:rPr>
              <w:t>+ Centroid encoding</w:t>
            </w:r>
          </w:p>
        </w:tc>
        <w:tc>
          <w:tcPr>
            <w:tcW w:w="1083" w:type="dxa"/>
            <w:noWrap/>
            <w:tcMar>
              <w:top w:w="30" w:type="dxa"/>
              <w:left w:w="45" w:type="dxa"/>
              <w:bottom w:w="30" w:type="dxa"/>
              <w:right w:w="45" w:type="dxa"/>
            </w:tcMar>
            <w:vAlign w:val="center"/>
          </w:tcPr>
          <w:p w14:paraId="0CBC93B5" w14:textId="77777777" w:rsidR="000A04D4" w:rsidRDefault="00000000">
            <w:pPr>
              <w:spacing w:after="0" w:line="240" w:lineRule="auto"/>
              <w:ind w:firstLine="0"/>
              <w:jc w:val="center"/>
            </w:pPr>
            <w:r>
              <w:rPr>
                <w:rFonts w:ascii="Times New Roman" w:hAnsi="Times New Roman"/>
                <w:b/>
                <w:bCs/>
                <w:sz w:val="20"/>
              </w:rPr>
              <w:t>0.483</w:t>
            </w:r>
          </w:p>
        </w:tc>
        <w:tc>
          <w:tcPr>
            <w:tcW w:w="1083" w:type="dxa"/>
            <w:noWrap/>
            <w:tcMar>
              <w:top w:w="30" w:type="dxa"/>
              <w:left w:w="45" w:type="dxa"/>
              <w:bottom w:w="30" w:type="dxa"/>
              <w:right w:w="45" w:type="dxa"/>
            </w:tcMar>
            <w:vAlign w:val="center"/>
          </w:tcPr>
          <w:p w14:paraId="397B3463" w14:textId="77777777" w:rsidR="000A04D4" w:rsidRDefault="00000000">
            <w:pPr>
              <w:spacing w:after="0" w:line="240" w:lineRule="auto"/>
              <w:ind w:firstLine="0"/>
              <w:jc w:val="center"/>
            </w:pPr>
            <w:r>
              <w:rPr>
                <w:rFonts w:ascii="Times New Roman" w:hAnsi="Times New Roman"/>
                <w:sz w:val="20"/>
                <w:u w:val="single"/>
              </w:rPr>
              <w:t>0.536</w:t>
            </w:r>
          </w:p>
        </w:tc>
        <w:tc>
          <w:tcPr>
            <w:tcW w:w="1083" w:type="dxa"/>
            <w:noWrap/>
            <w:tcMar>
              <w:top w:w="30" w:type="dxa"/>
              <w:left w:w="45" w:type="dxa"/>
              <w:bottom w:w="30" w:type="dxa"/>
              <w:right w:w="45" w:type="dxa"/>
            </w:tcMar>
            <w:vAlign w:val="center"/>
          </w:tcPr>
          <w:p w14:paraId="46958531" w14:textId="77777777" w:rsidR="000A04D4" w:rsidRDefault="00000000">
            <w:pPr>
              <w:spacing w:after="0" w:line="240" w:lineRule="auto"/>
              <w:ind w:firstLine="0"/>
              <w:jc w:val="center"/>
            </w:pPr>
            <w:r>
              <w:rPr>
                <w:rFonts w:ascii="Times New Roman" w:hAnsi="Times New Roman"/>
                <w:sz w:val="20"/>
                <w:u w:val="single"/>
              </w:rPr>
              <w:t>0.444</w:t>
            </w:r>
          </w:p>
        </w:tc>
        <w:tc>
          <w:tcPr>
            <w:tcW w:w="1083" w:type="dxa"/>
            <w:noWrap/>
            <w:tcMar>
              <w:top w:w="30" w:type="dxa"/>
              <w:left w:w="45" w:type="dxa"/>
              <w:bottom w:w="30" w:type="dxa"/>
              <w:right w:w="45" w:type="dxa"/>
            </w:tcMar>
            <w:vAlign w:val="center"/>
          </w:tcPr>
          <w:p w14:paraId="712390B9" w14:textId="77777777" w:rsidR="000A04D4" w:rsidRDefault="00000000">
            <w:pPr>
              <w:spacing w:after="0" w:line="240" w:lineRule="auto"/>
              <w:ind w:firstLine="0"/>
              <w:jc w:val="center"/>
            </w:pPr>
            <w:r>
              <w:rPr>
                <w:rFonts w:ascii="Times New Roman" w:hAnsi="Times New Roman"/>
                <w:sz w:val="20"/>
              </w:rPr>
              <w:t>0.583</w:t>
            </w:r>
          </w:p>
        </w:tc>
        <w:tc>
          <w:tcPr>
            <w:tcW w:w="1083" w:type="dxa"/>
            <w:noWrap/>
            <w:tcMar>
              <w:top w:w="30" w:type="dxa"/>
              <w:left w:w="45" w:type="dxa"/>
              <w:bottom w:w="30" w:type="dxa"/>
              <w:right w:w="45" w:type="dxa"/>
            </w:tcMar>
            <w:vAlign w:val="center"/>
          </w:tcPr>
          <w:p w14:paraId="7C7406EF" w14:textId="77777777" w:rsidR="000A04D4" w:rsidRDefault="00000000">
            <w:pPr>
              <w:spacing w:after="0" w:line="240" w:lineRule="auto"/>
              <w:ind w:firstLine="0"/>
              <w:jc w:val="center"/>
            </w:pPr>
            <w:r>
              <w:rPr>
                <w:rFonts w:ascii="Times New Roman" w:hAnsi="Times New Roman"/>
                <w:sz w:val="20"/>
              </w:rPr>
              <w:t>0.633</w:t>
            </w:r>
          </w:p>
        </w:tc>
        <w:tc>
          <w:tcPr>
            <w:tcW w:w="1083" w:type="dxa"/>
            <w:noWrap/>
            <w:tcMar>
              <w:top w:w="30" w:type="dxa"/>
              <w:left w:w="45" w:type="dxa"/>
              <w:bottom w:w="30" w:type="dxa"/>
              <w:right w:w="45" w:type="dxa"/>
            </w:tcMar>
            <w:vAlign w:val="center"/>
          </w:tcPr>
          <w:p w14:paraId="0A3AF73D" w14:textId="77777777" w:rsidR="000A04D4" w:rsidRDefault="00000000">
            <w:pPr>
              <w:spacing w:after="0" w:line="240" w:lineRule="auto"/>
              <w:ind w:firstLine="0"/>
              <w:jc w:val="center"/>
            </w:pPr>
            <w:r>
              <w:rPr>
                <w:rFonts w:ascii="Times New Roman" w:hAnsi="Times New Roman"/>
                <w:sz w:val="20"/>
              </w:rPr>
              <w:t>0.539</w:t>
            </w:r>
          </w:p>
        </w:tc>
      </w:tr>
      <w:tr w:rsidR="000A04D4" w14:paraId="04FAB753" w14:textId="77777777">
        <w:trPr>
          <w:cantSplit/>
        </w:trPr>
        <w:tc>
          <w:tcPr>
            <w:tcW w:w="2527" w:type="dxa"/>
            <w:noWrap/>
            <w:tcMar>
              <w:top w:w="30" w:type="dxa"/>
              <w:left w:w="45" w:type="dxa"/>
              <w:bottom w:w="30" w:type="dxa"/>
              <w:right w:w="45" w:type="dxa"/>
            </w:tcMar>
            <w:vAlign w:val="center"/>
          </w:tcPr>
          <w:p w14:paraId="090FCF9E" w14:textId="77777777" w:rsidR="000A04D4" w:rsidRDefault="00000000">
            <w:pPr>
              <w:spacing w:after="0" w:line="240" w:lineRule="auto"/>
              <w:ind w:firstLine="0"/>
              <w:jc w:val="left"/>
            </w:pPr>
            <w:r>
              <w:rPr>
                <w:rFonts w:ascii="Times New Roman" w:hAnsi="Times New Roman"/>
                <w:sz w:val="20"/>
              </w:rPr>
              <w:t>LigandSeek-Find</w:t>
            </w:r>
          </w:p>
        </w:tc>
        <w:tc>
          <w:tcPr>
            <w:tcW w:w="1083" w:type="dxa"/>
            <w:noWrap/>
            <w:tcMar>
              <w:top w:w="30" w:type="dxa"/>
              <w:left w:w="45" w:type="dxa"/>
              <w:bottom w:w="30" w:type="dxa"/>
              <w:right w:w="45" w:type="dxa"/>
            </w:tcMar>
            <w:vAlign w:val="center"/>
          </w:tcPr>
          <w:p w14:paraId="3E9C838A" w14:textId="77777777" w:rsidR="000A04D4" w:rsidRDefault="00000000">
            <w:pPr>
              <w:spacing w:after="0" w:line="240" w:lineRule="auto"/>
              <w:ind w:firstLine="0"/>
              <w:jc w:val="center"/>
            </w:pPr>
            <w:r>
              <w:rPr>
                <w:rFonts w:ascii="Times New Roman" w:hAnsi="Times New Roman"/>
                <w:sz w:val="20"/>
                <w:u w:val="single"/>
              </w:rPr>
              <w:t>0.477</w:t>
            </w:r>
          </w:p>
        </w:tc>
        <w:tc>
          <w:tcPr>
            <w:tcW w:w="1083" w:type="dxa"/>
            <w:noWrap/>
            <w:tcMar>
              <w:top w:w="30" w:type="dxa"/>
              <w:left w:w="45" w:type="dxa"/>
              <w:bottom w:w="30" w:type="dxa"/>
              <w:right w:w="45" w:type="dxa"/>
            </w:tcMar>
            <w:vAlign w:val="center"/>
          </w:tcPr>
          <w:p w14:paraId="156F263E" w14:textId="77777777" w:rsidR="000A04D4" w:rsidRDefault="00000000">
            <w:pPr>
              <w:spacing w:after="0" w:line="240" w:lineRule="auto"/>
              <w:ind w:firstLine="0"/>
              <w:jc w:val="center"/>
            </w:pPr>
            <w:r>
              <w:rPr>
                <w:rFonts w:ascii="Times New Roman" w:hAnsi="Times New Roman"/>
                <w:b/>
                <w:bCs/>
                <w:sz w:val="20"/>
              </w:rPr>
              <w:t>0.541</w:t>
            </w:r>
          </w:p>
        </w:tc>
        <w:tc>
          <w:tcPr>
            <w:tcW w:w="1083" w:type="dxa"/>
            <w:noWrap/>
            <w:tcMar>
              <w:top w:w="30" w:type="dxa"/>
              <w:left w:w="45" w:type="dxa"/>
              <w:bottom w:w="30" w:type="dxa"/>
              <w:right w:w="45" w:type="dxa"/>
            </w:tcMar>
            <w:vAlign w:val="center"/>
          </w:tcPr>
          <w:p w14:paraId="641ADB95" w14:textId="77777777" w:rsidR="000A04D4" w:rsidRDefault="00000000">
            <w:pPr>
              <w:spacing w:after="0" w:line="240" w:lineRule="auto"/>
              <w:ind w:firstLine="0"/>
              <w:jc w:val="center"/>
            </w:pPr>
            <w:r>
              <w:rPr>
                <w:rFonts w:ascii="Times New Roman" w:hAnsi="Times New Roman"/>
                <w:b/>
                <w:bCs/>
                <w:sz w:val="20"/>
              </w:rPr>
              <w:t>0.447</w:t>
            </w:r>
          </w:p>
        </w:tc>
        <w:tc>
          <w:tcPr>
            <w:tcW w:w="1083" w:type="dxa"/>
            <w:noWrap/>
            <w:tcMar>
              <w:top w:w="30" w:type="dxa"/>
              <w:left w:w="45" w:type="dxa"/>
              <w:bottom w:w="30" w:type="dxa"/>
              <w:right w:w="45" w:type="dxa"/>
            </w:tcMar>
            <w:vAlign w:val="center"/>
          </w:tcPr>
          <w:p w14:paraId="7566D2C5" w14:textId="77777777" w:rsidR="000A04D4" w:rsidRDefault="00000000">
            <w:pPr>
              <w:spacing w:after="0" w:line="240" w:lineRule="auto"/>
              <w:ind w:firstLine="0"/>
              <w:jc w:val="center"/>
            </w:pPr>
            <w:r>
              <w:rPr>
                <w:rFonts w:ascii="Times New Roman" w:hAnsi="Times New Roman"/>
                <w:sz w:val="20"/>
                <w:u w:val="single"/>
              </w:rPr>
              <w:t>0.584</w:t>
            </w:r>
          </w:p>
        </w:tc>
        <w:tc>
          <w:tcPr>
            <w:tcW w:w="1083" w:type="dxa"/>
            <w:noWrap/>
            <w:tcMar>
              <w:top w:w="30" w:type="dxa"/>
              <w:left w:w="45" w:type="dxa"/>
              <w:bottom w:w="30" w:type="dxa"/>
              <w:right w:w="45" w:type="dxa"/>
            </w:tcMar>
            <w:vAlign w:val="center"/>
          </w:tcPr>
          <w:p w14:paraId="04B0C223" w14:textId="77777777" w:rsidR="000A04D4" w:rsidRDefault="00000000">
            <w:pPr>
              <w:spacing w:after="0" w:line="240" w:lineRule="auto"/>
              <w:ind w:firstLine="0"/>
              <w:jc w:val="center"/>
            </w:pPr>
            <w:r>
              <w:rPr>
                <w:rFonts w:ascii="Times New Roman" w:hAnsi="Times New Roman"/>
                <w:b/>
                <w:bCs/>
                <w:sz w:val="20"/>
              </w:rPr>
              <w:t>0.663</w:t>
            </w:r>
          </w:p>
        </w:tc>
        <w:tc>
          <w:tcPr>
            <w:tcW w:w="1083" w:type="dxa"/>
            <w:noWrap/>
            <w:tcMar>
              <w:top w:w="30" w:type="dxa"/>
              <w:left w:w="45" w:type="dxa"/>
              <w:bottom w:w="30" w:type="dxa"/>
              <w:right w:w="45" w:type="dxa"/>
            </w:tcMar>
            <w:vAlign w:val="center"/>
          </w:tcPr>
          <w:p w14:paraId="0C1461DB" w14:textId="77777777" w:rsidR="000A04D4" w:rsidRDefault="00000000">
            <w:pPr>
              <w:spacing w:after="0" w:line="240" w:lineRule="auto"/>
              <w:ind w:firstLine="0"/>
              <w:jc w:val="center"/>
            </w:pPr>
            <w:r>
              <w:rPr>
                <w:rFonts w:ascii="Times New Roman" w:hAnsi="Times New Roman"/>
                <w:sz w:val="20"/>
                <w:u w:val="single"/>
              </w:rPr>
              <w:t>0.558</w:t>
            </w:r>
          </w:p>
        </w:tc>
      </w:tr>
    </w:tbl>
    <w:p w14:paraId="21579770" w14:textId="77777777" w:rsidR="000A04D4" w:rsidRDefault="00000000">
      <w:pPr>
        <w:pStyle w:val="MDTableNote"/>
        <w:keepLines/>
        <w:spacing w:before="80" w:line="240" w:lineRule="auto"/>
        <w:ind w:firstLine="0"/>
      </w:pPr>
      <w:r>
        <w:rPr>
          <w:rFonts w:ascii="Times New Roman" w:hAnsi="Times New Roman"/>
          <w:sz w:val="18"/>
        </w:rPr>
        <w:lastRenderedPageBreak/>
        <w:t>Dice denotes semantic Dice; PRAUC denotes instance-level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p w14:paraId="38596494" w14:textId="77777777" w:rsidR="000A04D4" w:rsidRDefault="00000000">
      <w:pPr>
        <w:pStyle w:val="2"/>
      </w:pPr>
      <w:bookmarkStart w:id="4" w:name="stage-3-end-to-end-top-k-success"/>
      <w:bookmarkEnd w:id="3"/>
      <w:r>
        <w:t>Stage 3: End-to-end top-k success</w:t>
      </w:r>
    </w:p>
    <w:p w14:paraId="587440C7" w14:textId="77777777" w:rsidR="000A04D4" w:rsidRDefault="00000000">
      <w:pPr>
        <w:pStyle w:val="3"/>
      </w:pPr>
      <w:bookmarkStart w:id="5" w:name="evaluation-protocol-top-k-success"/>
      <w:r>
        <w:t>Evaluation protocol (top-k success)</w:t>
      </w:r>
    </w:p>
    <w:p w14:paraId="7EE60947" w14:textId="77777777" w:rsidR="000A04D4" w:rsidRDefault="00000000">
      <w:pPr>
        <w:pStyle w:val="FirstParagraph"/>
      </w:pPr>
      <w:r>
        <w:t>Top-k success measures whether an end-to-end pipeline successfully processes at least one ligand instance in a complex within a specified attempt budget.</w:t>
      </w:r>
    </w:p>
    <w:p w14:paraId="59FED3B7" w14:textId="77777777" w:rsidR="000A04D4" w:rsidRDefault="00000000">
      <w:pPr>
        <w:pStyle w:val="11"/>
      </w:pPr>
      <w:r>
        <w:t xml:space="preserve">Find ranks candidate ligand regions by descending mean probability, yielding Rank 1, Rank 2 and subsequent candidates. For each PDB entry, the pipeline examines these candidates in order for up to </w:t>
      </w:r>
      <m:oMath>
        <m:r>
          <w:rPr>
            <w:rFonts w:ascii="Cambria Math" w:hAnsi="Cambria Math"/>
          </w:rPr>
          <m:t>K</m:t>
        </m:r>
      </m:oMath>
      <w:r>
        <w:t xml:space="preserve"> attempts. A PDB entry is classified as successful if any attempt within this budget succeeds.</w:t>
      </w:r>
    </w:p>
    <w:p w14:paraId="200CF51D" w14:textId="77777777" w:rsidR="000A04D4" w:rsidRDefault="00000000">
      <w:pPr>
        <w:pStyle w:val="11"/>
      </w:pPr>
      <w:r>
        <w:t>Top-k success evaluates two basic end-to-end capabilities of our pipeline. These comprise detection and identity matching across all ligand categories, and detection, identity matching and modelling of eligible small molecules. These are single-residue organic small molecules with no atoms missing relative to their templates. Attempt-accounting rules are the same as those in the main text. The all-ligand test set contains 179 PDBs and 2,502 ligand instances; the small-molecule subset contains 77 PDBs and 446 instances. Each task was also evaluated with deposited receptors (GT) and CryoAtom2-reconstructed receptors (CA2).</w:t>
      </w:r>
    </w:p>
    <w:p w14:paraId="2C242703" w14:textId="77777777" w:rsidR="000A04D4" w:rsidRDefault="00000000">
      <w:pPr>
        <w:pStyle w:val="3"/>
      </w:pPr>
      <w:bookmarkStart w:id="6" w:name="X5f64bd45b404ca02f1e597fd6c2fd1f17bc94df"/>
      <w:bookmarkEnd w:id="5"/>
      <w:r>
        <w:lastRenderedPageBreak/>
        <w:t>End-to-end region detection and identity matching across ligand categories</w:t>
      </w:r>
    </w:p>
    <w:p w14:paraId="01F970E4" w14:textId="77777777" w:rsidR="000A04D4" w:rsidRDefault="00000000">
      <w:pPr>
        <w:keepNext/>
        <w:spacing w:after="0" w:line="240" w:lineRule="auto"/>
        <w:ind w:firstLine="0"/>
        <w:jc w:val="center"/>
      </w:pPr>
      <w:r>
        <w:rPr>
          <w:noProof/>
        </w:rPr>
        <w:drawing>
          <wp:inline distT="0" distB="0" distL="0" distR="0" wp14:anchorId="1994CBC7" wp14:editId="7C5A6343">
            <wp:extent cx="5731510" cy="2953750"/>
            <wp:effectExtent l="0" t="0" r="0" b="0"/>
            <wp:docPr id="44" name="Picture" descr="Fig. 3 | End-to-end ligand-region detection and identity matching. The curves show the percentage of the 179 test PDB entries with successful predictions within an attempt budget of K=1–10.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 title="MDPPTFIG_eJzVVs1uGzcQfhVir7W0kmzF1cIx4Mp2UNQuhCQ9dQuD5o60hHeXLMnVT5oCuQVFkV5S9NKi557yADXQvEtRx3mMzpArWa4dIEgOhQ3YOxx-880PyfF8F2nu8ihh0eXP5xe__hUf9A4uz1---f23ttZuHm2wyIBVxRQyAg2TNP3KgrFp2u0PuoM03Qd75pRO07ev_nzzy_O3L364_ON1mga2NL1JV_ESiAp60OJF0RrLKmuV3ImcdgXXTqrqpOTmrNaI-zramSWazcuissnsfhrlzukkjq3IoeS2rTRUuDlWBjlwaSbxTJlMGyXAWllNyiLudTr34pLLKo12iW1k_OeRWxTAZsmUF8j7ecknMAzuCRcvEYQ9A9BHsgLr9WurWWI1F-gGeQpUIVFvq5NGzfJhXZCK1041nA2cLDFxhI2lse4omHYaEO6EAEKk4U8jH6rKWbTjVkiJNhcvfsK6_3P--uLVj94vcOv2rOS37eV7lb1p5H0FYnJx6tenXhyGjP0Xg3-yKlf302VCT4J5CM_RSfkkKR-NdwfMFBB6KCdttsmesgM8bqdagMkXcsJxZWCCNWcZOBBUfYZKJjOonHQL5q8GVqxNXlzw9T8U5SNSZ3c28sc5MFGjbJnN1Yw5XGswAo8GHwtTY6_pbg-YA-vYaP8zhltGIn4mXc5sLegVjuuCIWsm_fGGPUnHzLhzUGrHTutsAg4J72yprh9ymahj7KtN2yrfq22p8VgK2FeiLrGIy6blcoqjDKRu94uduPRuGk34M_IfS6-lCV_76L0ugEcNwf3bCNxu92N5_3728h3MnWv6uCnN3TrdNjvEnvzJMfWi5Ysw8G0tDeCNXzU0oYzBHsZu7Wih291sbBtsloPB7LwPDz0oue4hvuU1__GnqmLxTk_tK5IQLHpTDtiRd_4I4Ky1AqzpPHYD2awmnikUizZ78LixtvjVykoHGUIEaKcMs87UwtVosuHZhnu9FXxoFmrPqbKHvV3gi_fQ242vt3X6n7cbfYODwGoAiPrbm91-tzPvDfqb2_3O0x0tRYK_zePi7_W4MsNnN4aBhgG5PoQDzSiDFY354FduoOC-M-ZSW7qYlGE1HUlB15IW4svpyGB5rSAvwyT2Q1jsZ7C4GcHi9Qkspr6KaVY1mkjtTsZyQuU-yReu3pL3eBwUJx362WzraoKJyAzZt_oo0ZSG8miZIx7NKo6rkEKAnCp4pMSZZZUa5ryawJ4xCm81zyw9NuJbbvgLFpTIeWW65iCwxjeKcFpIfSiLgjyS7O2DwLEhGcA7TOIYMQ_Ri9-_tliB4ut8tLI4bLHT2bHK1ic2nszHpqQvHhybhxmNLVazmtfTNswdE7TfXFdECYI1t7YBI8p_l6QaZ78HoEpGAqLpTQe3fHpkA_ZKWqJpv1Ih9PhK5ElRMRqRB_1eP7DciqJzOfAT5prME8dlsVSvy0XV1Mvq1bng7270_b96hnz_"/>
            <wp:cNvGraphicFramePr/>
            <a:graphic xmlns:a="http://schemas.openxmlformats.org/drawingml/2006/main">
              <a:graphicData uri="http://schemas.openxmlformats.org/drawingml/2006/picture">
                <pic:pic xmlns:pic="http://schemas.openxmlformats.org/drawingml/2006/picture">
                  <pic:nvPicPr>
                    <pic:cNvPr id="45" name="Picture" descr="C:/Users/15919/Desktop/论文草稿/temp/manuscript_figures_hytu4i6a/figure_000003.png"/>
                    <pic:cNvPicPr>
                      <a:picLocks noChangeAspect="1" noChangeArrowheads="1"/>
                    </pic:cNvPicPr>
                  </pic:nvPicPr>
                  <pic:blipFill>
                    <a:blip r:embed="rId9"/>
                    <a:stretch>
                      <a:fillRect/>
                    </a:stretch>
                  </pic:blipFill>
                  <pic:spPr bwMode="auto">
                    <a:xfrm>
                      <a:off x="0" y="0"/>
                      <a:ext cx="5731510" cy="2953750"/>
                    </a:xfrm>
                    <a:prstGeom prst="rect">
                      <a:avLst/>
                    </a:prstGeom>
                    <a:noFill/>
                    <a:ln w="9525">
                      <a:noFill/>
                      <a:headEnd/>
                      <a:tailEnd/>
                    </a:ln>
                  </pic:spPr>
                </pic:pic>
              </a:graphicData>
            </a:graphic>
          </wp:inline>
        </w:drawing>
      </w:r>
    </w:p>
    <w:p w14:paraId="596C834A" w14:textId="77777777" w:rsidR="000A04D4" w:rsidRDefault="00000000">
      <w:pPr>
        <w:pStyle w:val="ImageCaption"/>
        <w:keepLines/>
        <w:spacing w:line="240" w:lineRule="auto"/>
        <w:ind w:firstLine="0"/>
      </w:pPr>
      <w:r>
        <w:rPr>
          <w:rFonts w:ascii="华文仿宋" w:eastAsia="华文仿宋" w:hAnsi="华文仿宋"/>
          <w:b/>
          <w:bCs/>
          <w:sz w:val="18"/>
        </w:rPr>
        <w:t>Fig. 3 | End-to-end ligand-region detection and identity matching.</w:t>
      </w:r>
      <w:r>
        <w:rPr>
          <w:rFonts w:ascii="华文仿宋" w:eastAsia="华文仿宋" w:hAnsi="华文仿宋"/>
          <w:sz w:val="18"/>
        </w:rPr>
        <w:t xml:space="preserve"> The curves show the percentage of the 179 test PDB entries with successful predictions within an attempt budget of </w:t>
      </w:r>
      <m:oMath>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w:r>
        <w:rPr>
          <w:rFonts w:ascii="华文仿宋" w:eastAsia="华文仿宋" w:hAnsi="华文仿宋"/>
          <w:sz w:val="18"/>
        </w:rPr>
        <w:t>. Find+Match curves require end-to-end correct region detection and ligand identity matching, whereas Find and Emap2lig-Find curves require only correct region detection. Find and Match denote LigandSeek-Find and LigandSeek-Match, respectively. GT denotes deposited receptor structures, and CA2 denotes CryoAtom2-reconstructed receptor structures.</w:t>
      </w:r>
    </w:p>
    <w:p w14:paraId="32F58B06" w14:textId="77777777" w:rsidR="000A04D4" w:rsidRDefault="00000000">
      <w:pPr>
        <w:pStyle w:val="11"/>
      </w:pPr>
      <w:r>
        <w:t>We first evaluated end-to-end ligand-region detection and identity matching in 179 independent test PDB entries (</w:t>
      </w:r>
      <w:r>
        <w:rPr>
          <w:rStyle w:val="MDFIGREFeJyrrk7LTC9KTbNKNUrVTczJ0U3LzEvRzU0sSc6orQUApM0LCA"/>
        </w:rPr>
        <w:t>Fig. 3</w:t>
      </w:r>
      <w:r>
        <w:t>). These entries contained coexisting ligand categories, including small molecules, ions and sugars. Under the strictest single-attempt condition (</w:t>
      </w:r>
      <m:oMath>
        <m:r>
          <w:rPr>
            <w:rFonts w:ascii="Cambria Math" w:hAnsi="Cambria Math"/>
          </w:rPr>
          <m:t>K</m:t>
        </m:r>
        <m:r>
          <m:rPr>
            <m:sty m:val="p"/>
          </m:rPr>
          <w:rPr>
            <w:rFonts w:ascii="Cambria Math" w:hAnsi="Cambria Math"/>
          </w:rPr>
          <m:t>=</m:t>
        </m:r>
        <m:r>
          <w:rPr>
            <w:rFonts w:ascii="Cambria Math" w:hAnsi="Cambria Math"/>
          </w:rPr>
          <m:t>1</m:t>
        </m:r>
      </m:oMath>
      <w:r>
        <w:t xml:space="preserve">), end-to-end region detection and identity matching succeeded in 120 entries (67.0%) with CryoAtom2-reconstructed receptors (CA2), while region detection alone succeeded in 134 entries (74.9%). With deposited receptors (GT), the corresponding counts were 142 (79.3%) for joint success and 148 (82.7%) for region detection alone. As the attempt budget increased to 10, end-to-end success rates rapidly plateaued at 87.7% with CA2 receptors and 92.2% with GT receptors. By comparison, Emap2lig-Find detected ligand regions but could not identify their chemical identities. It detected regions in only 76 entries (42.5%) at </w:t>
      </w:r>
      <m:oMath>
        <m:r>
          <w:rPr>
            <w:rFonts w:ascii="Cambria Math" w:hAnsi="Cambria Math"/>
          </w:rPr>
          <m:t>K</m:t>
        </m:r>
        <m:r>
          <m:rPr>
            <m:sty m:val="p"/>
          </m:rPr>
          <w:rPr>
            <w:rFonts w:ascii="Cambria Math" w:hAnsi="Cambria Math"/>
          </w:rPr>
          <m:t>=</m:t>
        </m:r>
        <m:r>
          <w:rPr>
            <w:rFonts w:ascii="Cambria Math" w:hAnsi="Cambria Math"/>
          </w:rPr>
          <m:t>1</m:t>
        </m:r>
      </m:oMath>
      <w:r>
        <w:t xml:space="preserve"> and 104 entries (58.1%) within </w:t>
      </w:r>
      <m:oMath>
        <m:r>
          <w:rPr>
            <w:rFonts w:ascii="Cambria Math" w:hAnsi="Cambria Math"/>
          </w:rPr>
          <m:t>K</m:t>
        </m:r>
        <m:r>
          <m:rPr>
            <m:sty m:val="p"/>
          </m:rPr>
          <w:rPr>
            <w:rFonts w:ascii="Cambria Math" w:hAnsi="Cambria Math"/>
          </w:rPr>
          <m:t>≤</m:t>
        </m:r>
        <m:r>
          <w:rPr>
            <w:rFonts w:ascii="Cambria Math" w:hAnsi="Cambria Math"/>
          </w:rPr>
          <m:t>10</m:t>
        </m:r>
      </m:oMath>
      <w:r>
        <w:t>.</w:t>
      </w:r>
    </w:p>
    <w:p w14:paraId="10E32732" w14:textId="77777777" w:rsidR="000A04D4" w:rsidRDefault="00000000">
      <w:pPr>
        <w:pStyle w:val="3"/>
      </w:pPr>
      <w:bookmarkStart w:id="7" w:name="X6e1b63a4e35e6bf9431f623eff6c1e348a6971c"/>
      <w:bookmarkEnd w:id="6"/>
      <w:r>
        <w:lastRenderedPageBreak/>
        <w:t>End-to-end reconstruction of all-atom small-molecule poses</w:t>
      </w:r>
    </w:p>
    <w:p w14:paraId="75635D9C" w14:textId="77777777" w:rsidR="000A04D4" w:rsidRDefault="00000000">
      <w:pPr>
        <w:keepNext/>
        <w:spacing w:after="0" w:line="240" w:lineRule="auto"/>
        <w:ind w:firstLine="0"/>
        <w:jc w:val="center"/>
      </w:pPr>
      <w:r>
        <w:rPr>
          <w:noProof/>
        </w:rPr>
        <w:drawing>
          <wp:inline distT="0" distB="0" distL="0" distR="0" wp14:anchorId="329EF69B" wp14:editId="17675621">
            <wp:extent cx="5731510" cy="5017040"/>
            <wp:effectExtent l="0" t="0" r="0" b="0"/>
            <wp:docPr id="48" name="Picture" descr="Fig. 4 | End-to-end modelling of small molecules. Eligible small molecules are single-residue organic small molecules with no atoms missing relative to their templates. Curves show the percentage of the 77 test PDB entries with successful predictions within an attempt budget of K = 1–10. Find and Match denote LigandSeek-Find and LigandSeek-Match, respectively. GT and CA2 denote deposited and CryoAtom2-reconstructed receptor structures, respectively. a, Find+Match curves require end-to-end correct region detection and ligand identity matching, whereas Find and Emap2lig-Find curves require only correct region detection. b, c, Success rates for end-to-end pose reconstruction with DG-PocketXmol using deposited (GT, b) and CryoAtom2-reconstructed (CA2, c) receptor structures across charged attempts K. Success requires RMSD below 2 Å or 3 Å. Solid lines denote top-1 poses selected by model score; dashed lines denote best-of-50 poses." title="MDPPTFIG_eJztWN2PGzUQ_1dGeWpFkk3SS48L7UlH7kMVVxT1ioTEopPjdbLW7a6N7U0upUi8IIRQeSniBcQzT_0DqEQf-E8Q_fgzmLE3H_dRVLUPJRVVc2vPjH8z9szYY39Z08yltR7Unv_4-OnPf0R7nb3njx8--_WXptbutFaHmhFWZRORkFC_F8efWGFsHLe7W-2tON4V9sQpHccvHv3-7KdvXzz47vlvT-I4oMXxRbiC5YKgREc0bM6yrKGlFpksBHE5006q4jhn5qTUKPdZ7ca0p-E0zwrbm96Ma6lzuhdFlqciZ7aptCiQOVImZw67ZhxNlUm0UVxYK4txnkWdVut6lDNZxLVtQhsY_zlys0zAtDdhGeLeytlY9IN6kovmEiR7IoQ-RBOtp6_0pj2rGUc1iENzQKDORiuuVd07ZUYkVjpVYVbiNFIWCYqNpLHuMAxtVULICQYES8Ofqr2vCmdxHLNcShzz9MEPuO5_P37y9NH3Xq9g1u1YyS7jpTuFvTjI6wrApGLo-0Pf7IcZ-y8af2-xXO335xO6F4YH8xx5yk-S5qMxdoSZCBTdl-MmbMB92CuShlMNgZPPVSKyjBZPjcDHApIywXHRbJNAXYB-C2vwBjOFtbV8L5NjOcScOOcLYAZp6KdMNFBaJqUATDRWSH5BdCpdCoUC5lRuIZc-B8GIjDk5EeAUuFRIA07kGmnoaOiXqN6CTdWUmKCF4aJwmI4UF0TZ3ER562Cw-yEgx8i5IltySvNRmQHOI5GcsjfwZAEM_ztS5GBYJmPhEG9tnXM2rPKeuo0bd7Uv5q-0L6rRSHKxq3iZ4yLOd0WXkh15AHXbH92Icq-mooQ_A_-xbgZ5Zb721ntaEB5UADcvA3Db7TfF_evrhy9Bbp2hR9XSrJd3m7BPxwHDHxrPU0hEoZyAQ4lplhwJcdJYCKzQvGwd08tqwSnBslkTDu56sf5OZ46SCK2sdCKM75uZ2sH07GAyc0wXZ0pOPOwJ7ZSBQCkR9Rz0O5I878aJytbWG3Uf7O-FQOdh9zfii1LiMSOW5QFXBkPSIWuMuzoGsRN-f_dBnPkkAIkR7iTtHwSGR00dpqkwOLtlQu3lTHdQPmTQOX2qyGYv1fR_wP-XAn64tt6or63l72Ic8bX1Rh2OQsELhkpnwOpudcPEQ17AyplOe5kvk3cPGgPFT4T7FAt1KH1JvqwJrhzcrcPw6r_WBlewmqgDv3pZkQCMG4U28ZSZMdUYoea2a7vMb6XUXte6dRGR4UC1cOf20S4MRYa3uQ78-Q3eFOEaflFSZZIO7gKFqsLUKd1o-7jF-5_AOyTF2nAWXgbA4rksPoCE2VScGzjE62BDjRrdVhh99qSmp5Pt2ud1qC3ekWrdzWvtbrt12m21N1sbrfs3tOQ9_FV-Za_k18Sw6YU3pQoBsV4HA4dRFi1gzGsHWLhkY9KmUltyI82wmAwkJydSh388GRhcQstJS78X-be8yD_lRdVLXrT6kBdRJuM0ixKHSO2OR3JMKX-czly5Ia-zKBCOW_Rvo6mLMU5EJoi-sYUteuzD9mA-R3TNwo6lScFARit4iNuUhUL1U1aMxY4xCss5llgKTcKbM_ylJBARczl0RUFAjS4swjCTel9mGWmkth8fGgyvnUZgIUnNEcrcQS2ef6azEIrO4lHPalzh4fQ2BvDKwx_rnY5MTl90HJyGpz6YLZ78PJ3Y4tQBJ34VrijFSayK2koYpfx3DqqNdQdC5UANlKZiNqhlk0MbZJetuTTxCxVMj5ZN1svw2ECUrW6nG1AulSK_7PmHypU26zkmszl5tZ0V1XpZvfAL_rZrX_0DaX6AIg"/>
            <wp:cNvGraphicFramePr/>
            <a:graphic xmlns:a="http://schemas.openxmlformats.org/drawingml/2006/main">
              <a:graphicData uri="http://schemas.openxmlformats.org/drawingml/2006/picture">
                <pic:pic xmlns:pic="http://schemas.openxmlformats.org/drawingml/2006/picture">
                  <pic:nvPicPr>
                    <pic:cNvPr id="49" name="Picture" descr="C:/Users/15919/Desktop/论文草稿/temp/manuscript_figures_hytu4i6a/figure_000004.png"/>
                    <pic:cNvPicPr>
                      <a:picLocks noChangeAspect="1" noChangeArrowheads="1"/>
                    </pic:cNvPicPr>
                  </pic:nvPicPr>
                  <pic:blipFill>
                    <a:blip r:embed="rId10"/>
                    <a:stretch>
                      <a:fillRect/>
                    </a:stretch>
                  </pic:blipFill>
                  <pic:spPr bwMode="auto">
                    <a:xfrm>
                      <a:off x="0" y="0"/>
                      <a:ext cx="5731510" cy="5017040"/>
                    </a:xfrm>
                    <a:prstGeom prst="rect">
                      <a:avLst/>
                    </a:prstGeom>
                    <a:noFill/>
                    <a:ln w="9525">
                      <a:noFill/>
                      <a:headEnd/>
                      <a:tailEnd/>
                    </a:ln>
                  </pic:spPr>
                </pic:pic>
              </a:graphicData>
            </a:graphic>
          </wp:inline>
        </w:drawing>
      </w:r>
    </w:p>
    <w:p w14:paraId="000B2F93" w14:textId="77777777" w:rsidR="000A04D4" w:rsidRDefault="00000000">
      <w:pPr>
        <w:pStyle w:val="ImageCaption"/>
        <w:keepLines/>
        <w:spacing w:line="240" w:lineRule="auto"/>
        <w:ind w:firstLine="0"/>
      </w:pPr>
      <w:r>
        <w:rPr>
          <w:rFonts w:ascii="华文仿宋" w:eastAsia="华文仿宋" w:hAnsi="华文仿宋"/>
          <w:b/>
          <w:bCs/>
          <w:sz w:val="18"/>
        </w:rPr>
        <w:t>Fig. 4 | End-to-end modelling of small molecules.</w:t>
      </w:r>
      <w:r>
        <w:rPr>
          <w:rFonts w:ascii="华文仿宋" w:eastAsia="华文仿宋" w:hAnsi="华文仿宋"/>
          <w:sz w:val="18"/>
        </w:rPr>
        <w:t xml:space="preserve"> Eligible small molecules are single-residue organic small molecules with no atoms missing relative to their templates. Curves show the percentage of the 77 test PDB entries with successful predictions within an attempt budget of </w:t>
      </w:r>
      <m:oMath>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w:r>
        <w:rPr>
          <w:rFonts w:ascii="华文仿宋" w:eastAsia="华文仿宋" w:hAnsi="华文仿宋"/>
          <w:sz w:val="18"/>
        </w:rPr>
        <w:t xml:space="preserve">. Find and Match denote LigandSeek-Find and LigandSeek-Match, respectively. GT and CA2 denote deposited and CryoAtom2-reconstructed receptor structures, respectively. </w:t>
      </w:r>
      <w:r>
        <w:rPr>
          <w:rFonts w:ascii="华文仿宋" w:eastAsia="华文仿宋" w:hAnsi="华文仿宋"/>
          <w:b/>
          <w:bCs/>
          <w:sz w:val="18"/>
        </w:rPr>
        <w:t>a</w:t>
      </w:r>
      <w:r>
        <w:rPr>
          <w:rFonts w:ascii="华文仿宋" w:eastAsia="华文仿宋" w:hAnsi="华文仿宋"/>
          <w:sz w:val="18"/>
        </w:rPr>
        <w:t xml:space="preserve">, Find+Match curves require end-to-end correct region detection and ligand identity matching, whereas Find and Emap2lig-Find curves require only correct region detection. </w:t>
      </w:r>
      <w:r>
        <w:rPr>
          <w:rFonts w:ascii="华文仿宋" w:eastAsia="华文仿宋" w:hAnsi="华文仿宋"/>
          <w:b/>
          <w:bCs/>
          <w:sz w:val="18"/>
        </w:rPr>
        <w:t>b</w:t>
      </w:r>
      <w:r>
        <w:rPr>
          <w:rFonts w:ascii="华文仿宋" w:eastAsia="华文仿宋" w:hAnsi="华文仿宋"/>
          <w:sz w:val="18"/>
        </w:rPr>
        <w:t xml:space="preserve">, </w:t>
      </w:r>
      <w:r>
        <w:rPr>
          <w:rFonts w:ascii="华文仿宋" w:eastAsia="华文仿宋" w:hAnsi="华文仿宋"/>
          <w:b/>
          <w:bCs/>
          <w:sz w:val="18"/>
        </w:rPr>
        <w:t>c</w:t>
      </w:r>
      <w:r>
        <w:rPr>
          <w:rFonts w:ascii="华文仿宋" w:eastAsia="华文仿宋" w:hAnsi="华文仿宋"/>
          <w:sz w:val="18"/>
        </w:rPr>
        <w:t xml:space="preserve">, Success rates for end-to-end pose reconstruction with DG-PocketXmol using deposited (GT, b) and CryoAtom2-reconstructed (CA2, c) receptor structures across charged attempts </w:t>
      </w:r>
      <m:oMath>
        <m:r>
          <w:rPr>
            <w:rFonts w:ascii="Cambria Math" w:hAnsi="Cambria Math"/>
          </w:rPr>
          <m:t>K</m:t>
        </m:r>
      </m:oMath>
      <w:r>
        <w:rPr>
          <w:rFonts w:ascii="华文仿宋" w:eastAsia="华文仿宋" w:hAnsi="华文仿宋"/>
          <w:sz w:val="18"/>
        </w:rPr>
        <w:t>. Success requires RMSD below 2 Å or 3 Å. Solid lines denote top-1 poses selected by model score; dashed lines denote best-of-50 poses.</w:t>
      </w:r>
    </w:p>
    <w:p w14:paraId="482CBE4B" w14:textId="77777777" w:rsidR="000A04D4" w:rsidRDefault="00000000">
      <w:pPr>
        <w:pStyle w:val="11"/>
      </w:pPr>
      <w:r>
        <w:t>We evaluated the full end-to-end reconstruction pipeline (detection, matching, and pose reconstruction) for eligible small molecules across 77 PDB entries which contain at least one of them (</w:t>
      </w:r>
      <w:r>
        <w:rPr>
          <w:rStyle w:val="MDFIGREFeJyrrk7LTC9KTbNKNUrVLc5NzMnRLcgsSM3JzEutSdJJrq0FANjnDNA"/>
        </w:rPr>
        <w:t>Fig. 4b, c</w:t>
      </w:r>
      <w:r>
        <w:t xml:space="preserve">). In all evaluations, DG-PocketXmol used the centroid of the ligand region predicted by Find to define the binding site and pocket, without relying on ground-truth ligand coordinates. We tested the pipeline </w:t>
      </w:r>
      <w:r>
        <w:lastRenderedPageBreak/>
        <w:t>using both deposited receptors (</w:t>
      </w:r>
      <w:r>
        <w:rPr>
          <w:rStyle w:val="MDFIGREFeJyrrk7LTC9KTbNKNUrVLc5NzMnRLcgsSM3JzEutSaqtBQDAgAxB"/>
        </w:rPr>
        <w:t>Fig. 4b</w:t>
      </w:r>
      <w:r>
        <w:t>) and CryoAtom2-reconstructed receptors (</w:t>
      </w:r>
      <w:r>
        <w:rPr>
          <w:rStyle w:val="MDFIGREFeJyrrk7LTC9KTbNKNUrVLc5NzMnRLcgsSM3JzEutSa6tBQDAgwxC"/>
        </w:rPr>
        <w:t>Fig. 4c</w:t>
      </w:r>
      <w:r>
        <w:t>), where in the latter, no deposited structural information was used at any stage of the pipeline.</w:t>
      </w:r>
    </w:p>
    <w:p w14:paraId="778D1D4F" w14:textId="77777777" w:rsidR="000A04D4" w:rsidRDefault="00000000">
      <w:pPr>
        <w:pStyle w:val="11"/>
      </w:pPr>
      <w:r>
        <w:t>The strictest evaluation allowed one attempt (</w:t>
      </w:r>
      <m:oMath>
        <m:r>
          <w:rPr>
            <w:rFonts w:ascii="Cambria Math" w:hAnsi="Cambria Math"/>
          </w:rPr>
          <m:t>K</m:t>
        </m:r>
        <m:r>
          <m:rPr>
            <m:sty m:val="p"/>
          </m:rPr>
          <w:rPr>
            <w:rFonts w:ascii="Cambria Math" w:hAnsi="Cambria Math"/>
          </w:rPr>
          <m:t>=</m:t>
        </m:r>
        <m:r>
          <w:rPr>
            <w:rFonts w:ascii="Cambria Math" w:hAnsi="Cambria Math"/>
          </w:rPr>
          <m:t>1</m:t>
        </m:r>
      </m:oMath>
      <w:r>
        <w:t>), selected only the top-1 pose and required RMSD &lt; 2 Å. Under this criterion, 34/77 entries (44.2%) succeeded with CryoAtom2-reconstructed receptors, compared with 44/77 (57.1%) with deposited receptors. At RMSD &lt; 3 Å, the corresponding counts were 41/77 (53.2%) and 50/77 (64.9%). Allowing up to 10 charged attempts (</w:t>
      </w:r>
      <m:oMath>
        <m:r>
          <w:rPr>
            <w:rFonts w:ascii="Cambria Math" w:hAnsi="Cambria Math"/>
          </w:rPr>
          <m:t>K</m:t>
        </m:r>
        <m:r>
          <m:rPr>
            <m:sty m:val="p"/>
          </m:rPr>
          <w:rPr>
            <w:rFonts w:ascii="Cambria Math" w:hAnsi="Cambria Math"/>
          </w:rPr>
          <m:t>≤</m:t>
        </m:r>
        <m:r>
          <w:rPr>
            <w:rFonts w:ascii="Cambria Math" w:hAnsi="Cambria Math"/>
          </w:rPr>
          <m:t>10</m:t>
        </m:r>
      </m:oMath>
      <w:r>
        <w:t>) increased top-1 success with CryoAtom2-reconstructed receptors to 46/77 entries (59.7%) at RMSD &lt; 2 Å and 52/77 (67.5%) at RMSD &lt; 3 Å. With deposited receptors, 51/77 entries (66.2%) and 55/77 (71.4%) achieved success at RMSD &lt; 2 Å and &lt; 3 Å, respectively.</w:t>
      </w:r>
    </w:p>
    <w:p w14:paraId="7BAA53E9" w14:textId="77777777" w:rsidR="000A04D4" w:rsidRDefault="00000000">
      <w:pPr>
        <w:pStyle w:val="11"/>
      </w:pPr>
      <w:r>
        <w:t xml:space="preserve">For best-of-50 poses within </w:t>
      </w:r>
      <m:oMath>
        <m:r>
          <w:rPr>
            <w:rFonts w:ascii="Cambria Math" w:hAnsi="Cambria Math"/>
          </w:rPr>
          <m:t>K</m:t>
        </m:r>
        <m:r>
          <m:rPr>
            <m:sty m:val="p"/>
          </m:rPr>
          <w:rPr>
            <w:rFonts w:ascii="Cambria Math" w:hAnsi="Cambria Math"/>
          </w:rPr>
          <m:t>≤</m:t>
        </m:r>
        <m:r>
          <w:rPr>
            <w:rFonts w:ascii="Cambria Math" w:hAnsi="Cambria Math"/>
          </w:rPr>
          <m:t>10</m:t>
        </m:r>
      </m:oMath>
      <w:r>
        <w:t>, success at RMSD &lt; 2 Å reached 67.5% and 75.3% with CryoAtom2-reconstructed and deposited receptors, respectively. At RMSD &lt; 3 Å, the corresponding success rates were 75.3% and 76.6%.</w:t>
      </w:r>
    </w:p>
    <w:p w14:paraId="5062075B" w14:textId="77777777" w:rsidR="000A04D4" w:rsidRDefault="00000000">
      <w:pPr>
        <w:pStyle w:val="11"/>
      </w:pPr>
      <w:r>
        <w:rPr>
          <w:rStyle w:val="MDFIGREFeJyrrk7LTC9KTbNKNUrVLc5NzMnRLcgsSM3JzEutSaytBQDAfQxA"/>
        </w:rPr>
        <w:t>Fig. 4a</w:t>
      </w:r>
      <w:r>
        <w:t xml:space="preserve"> further separates the success rates of individual pipeline stages. Within the first 10 charged attempts (</w:t>
      </w:r>
      <m:oMath>
        <m:r>
          <w:rPr>
            <w:rFonts w:ascii="Cambria Math" w:hAnsi="Cambria Math"/>
          </w:rPr>
          <m:t>K</m:t>
        </m:r>
        <m:r>
          <m:rPr>
            <m:sty m:val="p"/>
          </m:rPr>
          <w:rPr>
            <w:rFonts w:ascii="Cambria Math" w:hAnsi="Cambria Math"/>
          </w:rPr>
          <m:t>≤</m:t>
        </m:r>
        <m:r>
          <w:rPr>
            <w:rFonts w:ascii="Cambria Math" w:hAnsi="Cambria Math"/>
          </w:rPr>
          <m:t>10</m:t>
        </m:r>
      </m:oMath>
      <w:r>
        <w:t>), Find alone succeeded in 88.3% and 89.6% of entries with CryoAtom2-reconstructed and deposited receptors, respectively. Both exceeded Emap2lig-Find’s success rate of 76.6% in this subset. Requiring both Find and Match to succeed yielded rates of 81.8% and 83.1%, respectively.</w:t>
      </w:r>
    </w:p>
    <w:p w14:paraId="5BC115AF" w14:textId="77777777" w:rsidR="000A04D4" w:rsidRDefault="00000000">
      <w:pPr>
        <w:pStyle w:val="2"/>
      </w:pPr>
      <w:bookmarkStart w:id="8" w:name="X9c1e71af165d87e9c7616a17e64efc2f5522419"/>
      <w:bookmarkEnd w:id="4"/>
      <w:bookmarkEnd w:id="7"/>
      <w:r>
        <w:t>Find–Build comparison with correct ligand identities</w:t>
      </w:r>
    </w:p>
    <w:p w14:paraId="1969BC6F" w14:textId="77777777" w:rsidR="000A04D4" w:rsidRDefault="00000000">
      <w:pPr>
        <w:pStyle w:val="FirstParagraph"/>
      </w:pPr>
      <w:r>
        <w:t xml:space="preserve">Full completion curves and per-PDB distributions for the Find–Build comparison with correct ligand identities are shown in </w:t>
      </w:r>
      <w:r>
        <w:rPr>
          <w:rStyle w:val="MDFIGREFeJyrrk7LTC9KTbMqLi0o0E3LzEvRTc4vKkpNLtHNTSxJztBNKs3MSamtBQBErwK"/>
        </w:rPr>
        <w:t>Fig. 5</w:t>
      </w:r>
      <w:r>
        <w:t>.</w:t>
      </w:r>
    </w:p>
    <w:p w14:paraId="086EAA58" w14:textId="77777777" w:rsidR="000A04D4" w:rsidRDefault="00000000">
      <w:pPr>
        <w:keepNext/>
        <w:spacing w:after="0" w:line="240" w:lineRule="auto"/>
        <w:ind w:firstLine="0"/>
        <w:jc w:val="center"/>
      </w:pPr>
      <w:r>
        <w:rPr>
          <w:noProof/>
        </w:rPr>
        <w:lastRenderedPageBreak/>
        <w:drawing>
          <wp:inline distT="0" distB="0" distL="0" distR="0" wp14:anchorId="725FDDD7" wp14:editId="62CE879A">
            <wp:extent cx="5029200" cy="6218691"/>
            <wp:effectExtent l="0" t="0" r="0" b="0"/>
            <wp:docPr id="53" name="Picture" descr="Fig. 5 | Find–Build completion of small molecules, assuming correct ligand identities.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Wt2OUzcQfhUrUnuV5OyGzcIGWAn2B1Va0IoVaqWmWjk-kxxrfWxj-yQbSiV6UVWU0huq3rTqda94gCKViz5A3wGVn8fozPFJNrBboCCVhmalbHzmzzPjz5mJ489rloes1mG1p98_ePzjb8lWa-vpg3tPfv6paW04rNVZzYE3aggpCW10ut1rHpzvdpfba8tr3e4m-INgbLf77P6vT374-tnd209_edjtRmvd7nFzmudApnxhbaMvddoQxjkQoZHzILJGr5AqJcFUeqv4eH8k0-hhu9mWmjiC2yCN3s-5Oygssj6tnRt1LDvMlfad0fluLQvBdpLEiwxy7pvGgkZm3zicAx_dIBkZl1pnBHgv9SBXSWtpaTXJudTd2jpZ23Xl214YK2CjzpArtPtRzgewEacnuWQiQbIHAPYKHIap9FIlMmFMhHakBj_lVE-jjrdcoC-orpCE-q0VtFA9Xi0UkXgRTGW1EidNzCKK9aXzYSeqTqZGTvQyhhP_VeNto4NHPe6FlKjz-O53uIJ_Pnj4-P6dcl7gPlzwkp_Eyy5of1ypnCsapil65XOvHG7EiMt3dP7GNEvLZyYB3Yjq0b1Ay1kGSfFYRCG4IaDothw0WZvdZNsY3KNb9y4SYJgwuVVA68JMn_mcK8Vyo0Bg3nydce-LnJJbgY0pOeCYNZmCDjJI8E2aO0QP3kGq3iIhbG4938JVkD3cXy-sF-MOabhcChooLdMCGG5arqU4JjqSIWPaMB5M7lkuy_3MHCge5BBYMCxkIB0LgADhAReabQ3BjZnlGhTiQQfc9J6kmMfPJnb6NNvdvIg-IDxWVlYZMgPXghQ5wi2ts62c25YiGAISsjrbKcG0B3AQ3dlwY3MB_WmhHwJsMA6VJcqq47IpWONlgHRW9mPkSM2Ai4wNnClsHQOxpUs9E9Ayc2bkmc_MiBiN5cgCHxqm32gvMbQJ_ixT0A8ly8lBFjBYVeQYq4PrhcQUZ8CH4wZljl29vLfJfHBSBDWeW0A9vxXyjrmM1a2qC_lr1QXT70sBm0YUOX4yTKpCyMiPPBotncg7PoxZXvlpSzdLWvleiYT1D1U4S4QQyVMbYb11MvnRrdsnMf7JnL9_9ZyFpErDPK_kPHmO221ufZ-j_XNqsX9etpKTKtdTphebHm-NTqk2YknkWFtOrr1lFcLCGQvipFvau_zRztZec7Z4FVhgJjXaYnvFNi81do04gPAJ2mICVx8rTIoUlKmzUQYO8zGtnVFfYgJ1LNSDQpbekcNNdpGLAyp8VNWQEDsCkXE3ACzAVNFMUdY6LxCEDBEIx8T9gbQW0ia7plMIGAbWWNLsc6lwOK3rGDL1_UgoY8aO0GCriFXRNdm2cYvN_LLNHNavvAe7ZX6rTaAtEWbAbMFR_1o_aoF7RYoicxvhvwTjP75c4Phddk1K4TeauXX_P9c4Pfr2m5MbpBdw_jcf4280453FDnqHnlfdEeOBjjoQVWzj6ExMxn5OF3kP64Pps1T6IDW2dr4QdAjaL9RMEUnlUKZoq7c4CvgfdD9NdskBaEbnzPHcS0gn6HAtHjAhcLCjaMD1guMXBeA6duA9VcCMTip5jt8wZpRyQJourY-ZNZJSQJJDaRQduZWCaLkEo5O9gqCKIote5RWgay-97Yf1B-8BbOsLmLwcJstLC5wscPJqnLQWOJnv1m9x5PxKjJ9aYHy-MR5PsV74mR7_2_XaZ3VWm94FqbWXWmuIgcPV1vKZ1bXlm-esFB18VZjir4Wp1PHRsXshlQW09SY2UC0UDqZm3BuDO57sYaucSespixShHu5KQTmkB3FluOtYCl7QLBudpLy0k5R3dpLqyk4ye2Mnoe-MGKYuUEXasN-XA3TW72fjUKzIVZ5Ewv4S_bWbVg8wEJmi9fYKjuhWD453JzHi0kz9OHIpOsgpgztGHHimzUbG9QAuOGdGGfDUEzLI3oThLYgQiWjzSHVmgmg1OZaEnpJ2WypFM9K41I8DjrvbQRAZDfsocxVnKfnPPUyFkuft0ZO3mOHe6LJJZ-_l8M5h3-X0jgvHDs-XN3HY-PzkRk5JJzbdExLEr-CKUoLEKtRWwuWloeTIqHU-XAKTMxqgNP04E6flwx0fZY9GE2niaxNdT46GvKM0o9tSa-1WO1o5UYrWZau8RzQz5p3ApZqQZ8dKV_nydrou-FqvffEX_YWEkw"/>
            <wp:cNvGraphicFramePr/>
            <a:graphic xmlns:a="http://schemas.openxmlformats.org/drawingml/2006/main">
              <a:graphicData uri="http://schemas.openxmlformats.org/drawingml/2006/picture">
                <pic:pic xmlns:pic="http://schemas.openxmlformats.org/drawingml/2006/picture">
                  <pic:nvPicPr>
                    <pic:cNvPr id="54" name="Picture" descr="C:/Users/15919/Desktop/论文草稿/temp/manuscript_figures_hytu4i6a/figure_000005.png"/>
                    <pic:cNvPicPr>
                      <a:picLocks noChangeAspect="1" noChangeArrowheads="1"/>
                    </pic:cNvPicPr>
                  </pic:nvPicPr>
                  <pic:blipFill>
                    <a:blip r:embed="rId11"/>
                    <a:stretch>
                      <a:fillRect/>
                    </a:stretch>
                  </pic:blipFill>
                  <pic:spPr bwMode="auto">
                    <a:xfrm>
                      <a:off x="0" y="0"/>
                      <a:ext cx="5029200" cy="6218691"/>
                    </a:xfrm>
                    <a:prstGeom prst="rect">
                      <a:avLst/>
                    </a:prstGeom>
                    <a:noFill/>
                    <a:ln w="9525">
                      <a:noFill/>
                      <a:headEnd/>
                      <a:tailEnd/>
                    </a:ln>
                  </pic:spPr>
                </pic:pic>
              </a:graphicData>
            </a:graphic>
          </wp:inline>
        </w:drawing>
      </w:r>
    </w:p>
    <w:p w14:paraId="1889B867" w14:textId="77777777" w:rsidR="000A04D4" w:rsidRDefault="00000000">
      <w:pPr>
        <w:pStyle w:val="ImageCaption"/>
        <w:keepLines/>
        <w:spacing w:line="240" w:lineRule="auto"/>
        <w:ind w:firstLine="0"/>
      </w:pPr>
      <w:r>
        <w:rPr>
          <w:rFonts w:ascii="华文仿宋" w:eastAsia="华文仿宋" w:hAnsi="华文仿宋"/>
          <w:b/>
          <w:bCs/>
          <w:sz w:val="18"/>
        </w:rPr>
        <w:t>Fig. 5 | Find–Build completion of small molecules, assuming correct ligand identities.</w:t>
      </w:r>
      <w:r>
        <w:rPr>
          <w:rFonts w:ascii="华文仿宋" w:eastAsia="华文仿宋" w:hAnsi="华文仿宋"/>
          <w:sz w:val="18"/>
        </w:rPr>
        <w:t xml:space="preserve"> Eligible small molecules are single-residue organic small molecules with no atoms missing relative to their templates. Every panel contains the same 77 PDBs and 446 instances. a–d, Emap2lig. e–h, LigandSeek with CryoAtom2 receptors. i–l, LigandSeek with deposited receptors. Within each group, top and bottom rows show top-1 and best-of-50 poses; left and right columns require heavy-atom RMSD strictly </w:t>
      </w:r>
      <m:oMath>
        <m:r>
          <m:rPr>
            <m:sty m:val="p"/>
          </m:rPr>
          <w:rPr>
            <w:rFonts w:ascii="Cambria Math" w:hAnsi="Cambria Math"/>
          </w:rPr>
          <m:t>&lt;</m:t>
        </m:r>
        <m:r>
          <w:rPr>
            <w:rFonts w:ascii="Cambria Math" w:hAnsi="Cambria Math"/>
          </w:rPr>
          <m:t>2 </m:t>
        </m:r>
        <m:r>
          <m:rPr>
            <m:sty m:val="p"/>
          </m:rPr>
          <w:rPr>
            <w:rFonts w:ascii="Cambria Math" w:hAnsi="Cambria Math"/>
          </w:rPr>
          <m:t>Å</m:t>
        </m:r>
      </m:oMath>
      <w:r>
        <w:rPr>
          <w:rFonts w:ascii="华文仿宋" w:eastAsia="华文仿宋" w:hAnsi="华文仿宋"/>
          <w:sz w:val="18"/>
        </w:rPr>
        <w:t xml:space="preserve"> and </w:t>
      </w:r>
      <m:oMath>
        <m:r>
          <m:rPr>
            <m:sty m:val="p"/>
          </m:rPr>
          <w:rPr>
            <w:rFonts w:ascii="Cambria Math" w:hAnsi="Cambria Math"/>
          </w:rPr>
          <m:t>&lt;</m:t>
        </m:r>
        <m:r>
          <w:rPr>
            <w:rFonts w:ascii="Cambria Math" w:hAnsi="Cambria Math"/>
          </w:rPr>
          <m:t>3 </m:t>
        </m:r>
        <m:r>
          <m:rPr>
            <m:sty m:val="p"/>
          </m:rPr>
          <w:rPr>
            <w:rFonts w:ascii="Cambria Math" w:hAnsi="Cambria Math"/>
          </w:rPr>
          <m:t>Å</m:t>
        </m:r>
      </m:oMath>
      <w:r>
        <w:rPr>
          <w:rFonts w:ascii="华文仿宋" w:eastAsia="华文仿宋" w:hAnsi="华文仿宋"/>
          <w:sz w:val="18"/>
        </w:rPr>
        <w:t xml:space="preserve">. Every blob corresponding to an eligible small molecule receives the correct SMILES. LigandSeek uses single-pass DG-PocketXmol centre docking, whereas Emap2lig uses its native guiding blob. Background blobs are charged, and out-of-scope foreground blobs are skipped. Undetected and failed instances remain in the denominator. For </w:t>
      </w:r>
      <m:oMath>
        <m:r>
          <w:rPr>
            <w:rFonts w:ascii="Cambria Math" w:hAnsi="Cambria Math"/>
          </w:rPr>
          <m:t>N</m:t>
        </m:r>
      </m:oMath>
      <w:r>
        <w:rPr>
          <w:rFonts w:ascii="华文仿宋" w:eastAsia="华文仿宋" w:hAnsi="华文仿宋"/>
          <w:sz w:val="18"/>
        </w:rPr>
        <w:t xml:space="preserve"> target instances per PDB, relative budget </w:t>
      </w:r>
      <m:oMath>
        <m:r>
          <w:rPr>
            <w:rFonts w:ascii="Cambria Math" w:hAnsi="Cambria Math"/>
          </w:rPr>
          <m:t>ρ</m:t>
        </m:r>
      </m:oMath>
      <w:r>
        <w:rPr>
          <w:rFonts w:ascii="华文仿宋" w:eastAsia="华文仿宋" w:hAnsi="华文仿宋"/>
          <w:sz w:val="18"/>
        </w:rPr>
        <w:t xml:space="preserve"> allows </w:t>
      </w:r>
      <m:oMath>
        <m:r>
          <m:rPr>
            <m:sty m:val="p"/>
          </m:rPr>
          <w:rPr>
            <w:rFonts w:ascii="Cambria Math" w:hAnsi="Cambria Math"/>
          </w:rPr>
          <m:t>⌊</m:t>
        </m:r>
        <m:r>
          <w:rPr>
            <w:rFonts w:ascii="Cambria Math" w:hAnsi="Cambria Math"/>
          </w:rPr>
          <m:t>ρN</m:t>
        </m:r>
        <m:r>
          <m:rPr>
            <m:sty m:val="p"/>
          </m:rPr>
          <w:rPr>
            <w:rFonts w:ascii="Cambria Math" w:hAnsi="Cambria Math"/>
          </w:rPr>
          <m:t>⌋</m:t>
        </m:r>
      </m:oMath>
      <w:r>
        <w:rPr>
          <w:rFonts w:ascii="华文仿宋" w:eastAsia="华文仿宋" w:hAnsi="华文仿宋"/>
          <w:sz w:val="18"/>
        </w:rPr>
        <w:t xml:space="preserve"> charged attempts. Completion is the number of distinct successful instances divided by </w:t>
      </w:r>
      <m:oMath>
        <m:r>
          <w:rPr>
            <w:rFonts w:ascii="Cambria Math" w:hAnsi="Cambria Math"/>
          </w:rPr>
          <m:t>N</m:t>
        </m:r>
      </m:oMath>
      <w:r>
        <w:rPr>
          <w:rFonts w:ascii="华文仿宋" w:eastAsia="华文仿宋" w:hAnsi="华文仿宋"/>
          <w:sz w:val="18"/>
        </w:rPr>
        <w:t xml:space="preserve">. Green lines and circles show the PDB-equal mean, and blue lines and diamonds show the median. Grey points and violins show PDB distributions at </w:t>
      </w:r>
      <m:oMath>
        <m:r>
          <w:rPr>
            <w:rFonts w:ascii="Cambria Math" w:hAnsi="Cambria Math"/>
          </w:rPr>
          <m:t>50</m:t>
        </m:r>
        <m:r>
          <m:rPr>
            <m:sty m:val="p"/>
          </m:rPr>
          <w:rPr>
            <w:rFonts w:ascii="Cambria Math" w:hAnsi="Cambria Math"/>
          </w:rPr>
          <m:t>%</m:t>
        </m:r>
      </m:oMath>
      <w:r>
        <w:rPr>
          <w:rFonts w:ascii="华文仿宋" w:eastAsia="华文仿宋" w:hAnsi="华文仿宋"/>
          <w:sz w:val="18"/>
        </w:rPr>
        <w:t xml:space="preserve">, </w:t>
      </w:r>
      <m:oMath>
        <m:r>
          <w:rPr>
            <w:rFonts w:ascii="Cambria Math" w:hAnsi="Cambria Math"/>
          </w:rPr>
          <m:t>100</m:t>
        </m:r>
        <m:r>
          <m:rPr>
            <m:sty m:val="p"/>
          </m:rPr>
          <w:rPr>
            <w:rFonts w:ascii="Cambria Math" w:hAnsi="Cambria Math"/>
          </w:rPr>
          <m:t>%</m:t>
        </m:r>
      </m:oMath>
      <w:r>
        <w:rPr>
          <w:rFonts w:ascii="华文仿宋" w:eastAsia="华文仿宋" w:hAnsi="华文仿宋"/>
          <w:sz w:val="18"/>
        </w:rPr>
        <w:t xml:space="preserve">, </w:t>
      </w:r>
      <m:oMath>
        <m:r>
          <w:rPr>
            <w:rFonts w:ascii="Cambria Math" w:hAnsi="Cambria Math"/>
          </w:rPr>
          <m:t>200</m:t>
        </m:r>
        <m:r>
          <m:rPr>
            <m:sty m:val="p"/>
          </m:rPr>
          <w:rPr>
            <w:rFonts w:ascii="Cambria Math" w:hAnsi="Cambria Math"/>
          </w:rPr>
          <m:t>%</m:t>
        </m:r>
      </m:oMath>
      <w:r>
        <w:rPr>
          <w:rFonts w:ascii="华文仿宋" w:eastAsia="华文仿宋" w:hAnsi="华文仿宋"/>
          <w:sz w:val="18"/>
        </w:rPr>
        <w:t xml:space="preserve"> and </w:t>
      </w:r>
      <m:oMath>
        <m:r>
          <w:rPr>
            <w:rFonts w:ascii="Cambria Math" w:hAnsi="Cambria Math"/>
          </w:rPr>
          <m:t>300</m:t>
        </m:r>
        <m:r>
          <m:rPr>
            <m:sty m:val="p"/>
          </m:rPr>
          <w:rPr>
            <w:rFonts w:ascii="Cambria Math" w:hAnsi="Cambria Math"/>
          </w:rPr>
          <m:t>%</m:t>
        </m:r>
      </m:oMath>
      <w:r>
        <w:rPr>
          <w:rFonts w:ascii="华文仿宋" w:eastAsia="华文仿宋" w:hAnsi="华文仿宋"/>
          <w:sz w:val="18"/>
        </w:rPr>
        <w:t xml:space="preserve"> budgets.</w:t>
      </w:r>
      <w:bookmarkEnd w:id="0"/>
      <w:bookmarkEnd w:id="8"/>
    </w:p>
    <w:sectPr w:rsidR="000A04D4" w:rsidSect="0015253C">
      <w:footerReference w:type="default" r:id="rId12"/>
      <w:pgSz w:w="11906" w:h="16838"/>
      <w:pgMar w:top="1440" w:right="1440" w:bottom="1440" w:left="144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1D908" w14:textId="77777777" w:rsidR="001D39B9" w:rsidRDefault="001D39B9">
      <w:pPr>
        <w:spacing w:after="0" w:line="240" w:lineRule="auto"/>
      </w:pPr>
      <w:r>
        <w:separator/>
      </w:r>
    </w:p>
  </w:endnote>
  <w:endnote w:type="continuationSeparator" w:id="0">
    <w:p w14:paraId="18A7B5D2" w14:textId="77777777" w:rsidR="001D39B9" w:rsidRDefault="001D39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华文仿宋">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Content>
      <w:p w14:paraId="3566528A"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317957E4" w14:textId="77777777" w:rsidR="001952CC" w:rsidRDefault="001952CC">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AAE97" w14:textId="77777777" w:rsidR="001D39B9" w:rsidRDefault="001D39B9">
      <w:pPr>
        <w:spacing w:after="0" w:line="240" w:lineRule="auto"/>
      </w:pPr>
      <w:r>
        <w:separator/>
      </w:r>
    </w:p>
  </w:footnote>
  <w:footnote w:type="continuationSeparator" w:id="0">
    <w:p w14:paraId="3F3F5DC8" w14:textId="77777777" w:rsidR="001D39B9" w:rsidRDefault="001D39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0D0280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33655DD"/>
    <w:multiLevelType w:val="multilevel"/>
    <w:tmpl w:val="94D060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174F6E"/>
    <w:multiLevelType w:val="multilevel"/>
    <w:tmpl w:val="2F7E51B6"/>
    <w:lvl w:ilvl="0">
      <w:start w:val="1"/>
      <w:numFmt w:val="chineseCountingThousand"/>
      <w:suff w:val="space"/>
      <w:lvlText w:val="第%1章"/>
      <w:lvlJc w:val="left"/>
      <w:pPr>
        <w:ind w:left="0" w:firstLine="0"/>
      </w:pPr>
      <w:rPr>
        <w:rFonts w:hint="eastAsia"/>
      </w:rPr>
    </w:lvl>
    <w:lvl w:ilvl="1">
      <w:start w:val="1"/>
      <w:numFmt w:val="decimal"/>
      <w:isLgl/>
      <w:suff w:val="space"/>
      <w:lvlText w:val="%1.%2"/>
      <w:lvlJc w:val="left"/>
      <w:pPr>
        <w:ind w:left="0" w:firstLine="0"/>
      </w:pPr>
      <w:rPr>
        <w:rFonts w:hint="eastAsia"/>
      </w:rPr>
    </w:lvl>
    <w:lvl w:ilvl="2">
      <w:start w:val="1"/>
      <w:numFmt w:val="decimal"/>
      <w:isLgl/>
      <w:suff w:val="space"/>
      <w:lvlText w:val="%1.%2.%3"/>
      <w:lvlJc w:val="left"/>
      <w:pPr>
        <w:ind w:left="0" w:firstLine="0"/>
      </w:pPr>
      <w:rPr>
        <w:rFonts w:hint="eastAsia"/>
      </w:rPr>
    </w:lvl>
    <w:lvl w:ilvl="3">
      <w:start w:val="1"/>
      <w:numFmt w:val="decimal"/>
      <w:isLgl/>
      <w:suff w:val="space"/>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3" w15:restartNumberingAfterBreak="0">
    <w:nsid w:val="1E2538D2"/>
    <w:multiLevelType w:val="multilevel"/>
    <w:tmpl w:val="03B82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D44104"/>
    <w:multiLevelType w:val="multilevel"/>
    <w:tmpl w:val="D6A40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6F669A"/>
    <w:multiLevelType w:val="multilevel"/>
    <w:tmpl w:val="F46ED8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F03017"/>
    <w:multiLevelType w:val="multilevel"/>
    <w:tmpl w:val="19AE9C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281FD1"/>
    <w:multiLevelType w:val="hybridMultilevel"/>
    <w:tmpl w:val="A12EF0BA"/>
    <w:lvl w:ilvl="0" w:tplc="A15CBF76">
      <w:start w:val="1"/>
      <w:numFmt w:val="decimal"/>
      <w:lvlText w:val="%1."/>
      <w:lvlJc w:val="left"/>
      <w:pPr>
        <w:ind w:left="360" w:hanging="360"/>
      </w:pPr>
      <w:rPr>
        <w:rFonts w:hint="default"/>
        <w:color w:val="auto"/>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52676D56"/>
    <w:multiLevelType w:val="multilevel"/>
    <w:tmpl w:val="7EE0F90E"/>
    <w:lvl w:ilvl="0">
      <w:start w:val="1"/>
      <w:numFmt w:val="decimal"/>
      <w:suff w:val="space"/>
      <w:lvlText w:val="%1"/>
      <w:lvlJc w:val="left"/>
      <w:pPr>
        <w:ind w:left="0" w:firstLine="0"/>
      </w:pPr>
      <w:rPr>
        <w:rFonts w:hint="eastAsia"/>
      </w:rPr>
    </w:lvl>
    <w:lvl w:ilvl="1">
      <w:start w:val="1"/>
      <w:numFmt w:val="decimal"/>
      <w:suff w:val="space"/>
      <w:lvlText w:val="%1.%2"/>
      <w:lvlJc w:val="left"/>
      <w:pPr>
        <w:ind w:left="0" w:firstLine="0"/>
      </w:pPr>
      <w:rPr>
        <w:rFonts w:hint="eastAsia"/>
      </w:rPr>
    </w:lvl>
    <w:lvl w:ilvl="2">
      <w:start w:val="1"/>
      <w:numFmt w:val="decimal"/>
      <w:suff w:val="space"/>
      <w:lvlText w:val="%1.%2.%3"/>
      <w:lvlJc w:val="left"/>
      <w:pPr>
        <w:ind w:left="0" w:firstLine="0"/>
      </w:pPr>
      <w:rPr>
        <w:rFonts w:hint="eastAsia"/>
      </w:rPr>
    </w:lvl>
    <w:lvl w:ilvl="3">
      <w:start w:val="1"/>
      <w:numFmt w:val="decimal"/>
      <w:suff w:val="space"/>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9" w15:restartNumberingAfterBreak="0">
    <w:nsid w:val="60A26B11"/>
    <w:multiLevelType w:val="hybridMultilevel"/>
    <w:tmpl w:val="5A365338"/>
    <w:lvl w:ilvl="0" w:tplc="3DD6C78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72767AF0"/>
    <w:multiLevelType w:val="multilevel"/>
    <w:tmpl w:val="28F6E7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04528784">
    <w:abstractNumId w:val="8"/>
  </w:num>
  <w:num w:numId="2" w16cid:durableId="1207642904">
    <w:abstractNumId w:val="2"/>
  </w:num>
  <w:num w:numId="3" w16cid:durableId="1282298939">
    <w:abstractNumId w:val="7"/>
  </w:num>
  <w:num w:numId="4" w16cid:durableId="968166837">
    <w:abstractNumId w:val="10"/>
  </w:num>
  <w:num w:numId="5" w16cid:durableId="15273975">
    <w:abstractNumId w:val="9"/>
  </w:num>
  <w:num w:numId="6" w16cid:durableId="1503279600">
    <w:abstractNumId w:val="4"/>
  </w:num>
  <w:num w:numId="7" w16cid:durableId="1357736665">
    <w:abstractNumId w:val="6"/>
  </w:num>
  <w:num w:numId="8" w16cid:durableId="1717974079">
    <w:abstractNumId w:val="3"/>
  </w:num>
  <w:num w:numId="9" w16cid:durableId="1609311758">
    <w:abstractNumId w:val="1"/>
  </w:num>
  <w:num w:numId="10" w16cid:durableId="2051032843">
    <w:abstractNumId w:val="5"/>
  </w:num>
  <w:num w:numId="11" w16cid:durableId="1954480798">
    <w:abstractNumId w:val="2"/>
  </w:num>
  <w:num w:numId="12" w16cid:durableId="1030179939">
    <w:abstractNumId w:val="2"/>
  </w:num>
  <w:num w:numId="13" w16cid:durableId="1848255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A04D4"/>
    <w:rsid w:val="000B2DB4"/>
    <w:rsid w:val="000B37DD"/>
    <w:rsid w:val="000B7B9E"/>
    <w:rsid w:val="000C45D6"/>
    <w:rsid w:val="000D078B"/>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9B9"/>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59E1"/>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6F3297"/>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54FB"/>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10AA5D8"/>
  <w15:docId w15:val="{B488EA22-AEF4-4171-B976-8D0B9E8ED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844FA"/>
    <w:pPr>
      <w:widowControl w:val="0"/>
      <w:spacing w:after="120" w:line="360" w:lineRule="auto"/>
      <w:ind w:firstLine="420"/>
      <w:jc w:val="both"/>
    </w:pPr>
    <w:rPr>
      <w:color w:val="000000"/>
    </w:rPr>
  </w:style>
  <w:style w:type="paragraph" w:styleId="1">
    <w:name w:val="heading 1"/>
    <w:next w:val="a"/>
    <w:link w:val="10"/>
    <w:uiPriority w:val="9"/>
    <w:qFormat/>
    <w:rsid w:val="004F07BF"/>
    <w:pPr>
      <w:keepNext/>
      <w:keepLines/>
      <w:pageBreakBefore/>
      <w:spacing w:before="340" w:after="330" w:line="300" w:lineRule="auto"/>
      <w:jc w:val="center"/>
      <w:outlineLvl w:val="0"/>
    </w:pPr>
    <w:rPr>
      <w:b/>
      <w:bCs/>
      <w:color w:val="000000"/>
      <w:kern w:val="44"/>
      <w:sz w:val="44"/>
      <w:szCs w:val="44"/>
    </w:rPr>
  </w:style>
  <w:style w:type="paragraph" w:styleId="2">
    <w:name w:val="heading 2"/>
    <w:basedOn w:val="a"/>
    <w:next w:val="a"/>
    <w:link w:val="20"/>
    <w:uiPriority w:val="9"/>
    <w:unhideWhenUsed/>
    <w:qFormat/>
    <w:rsid w:val="00E123CD"/>
    <w:pPr>
      <w:keepNext/>
      <w:keepLines/>
      <w:spacing w:before="260" w:after="260" w:line="300" w:lineRule="auto"/>
      <w:ind w:firstLine="0"/>
      <w:jc w:val="left"/>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E123CD"/>
    <w:pPr>
      <w:keepNext/>
      <w:keepLines/>
      <w:spacing w:before="260" w:after="200" w:line="300" w:lineRule="auto"/>
      <w:ind w:firstLine="0"/>
      <w:jc w:val="left"/>
      <w:outlineLvl w:val="2"/>
    </w:pPr>
    <w:rPr>
      <w:b/>
      <w:bCs/>
      <w:sz w:val="28"/>
      <w:szCs w:val="32"/>
    </w:rPr>
  </w:style>
  <w:style w:type="paragraph" w:styleId="4">
    <w:name w:val="heading 4"/>
    <w:basedOn w:val="a"/>
    <w:next w:val="a"/>
    <w:link w:val="40"/>
    <w:uiPriority w:val="9"/>
    <w:unhideWhenUsed/>
    <w:qFormat/>
    <w:rsid w:val="00E33154"/>
    <w:pPr>
      <w:keepNext/>
      <w:keepLines/>
      <w:spacing w:before="220" w:after="160" w:line="300" w:lineRule="auto"/>
      <w:ind w:firstLine="0"/>
      <w:jc w:val="left"/>
      <w:outlineLvl w:val="3"/>
    </w:pPr>
    <w:rPr>
      <w:rFonts w:asciiTheme="majorHAnsi" w:eastAsia="MS PGothic" w:hAnsiTheme="majorHAnsi" w:cstheme="majorBidi"/>
      <w:b/>
      <w:bCs/>
      <w:sz w:val="24"/>
      <w:szCs w:val="28"/>
    </w:rPr>
  </w:style>
  <w:style w:type="paragraph" w:styleId="5">
    <w:name w:val="heading 5"/>
    <w:basedOn w:val="a"/>
    <w:next w:val="a"/>
    <w:link w:val="50"/>
    <w:uiPriority w:val="9"/>
    <w:unhideWhenUsed/>
    <w:qFormat/>
    <w:rsid w:val="00924834"/>
    <w:pPr>
      <w:keepNext/>
      <w:keepLines/>
      <w:spacing w:before="200" w:after="140" w:line="300" w:lineRule="auto"/>
      <w:ind w:firstLine="0"/>
      <w:jc w:val="left"/>
      <w:outlineLvl w:val="4"/>
    </w:pPr>
    <w:rPr>
      <w:b/>
      <w:bCs/>
      <w:sz w:val="22"/>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F07BF"/>
    <w:rPr>
      <w:b/>
      <w:bCs/>
      <w:kern w:val="44"/>
      <w:sz w:val="44"/>
      <w:szCs w:val="44"/>
    </w:rPr>
  </w:style>
  <w:style w:type="character" w:customStyle="1" w:styleId="20">
    <w:name w:val="标题 2 字符"/>
    <w:basedOn w:val="a0"/>
    <w:link w:val="2"/>
    <w:uiPriority w:val="9"/>
    <w:rsid w:val="00E123CD"/>
    <w:rPr>
      <w:rFonts w:asciiTheme="majorHAnsi" w:eastAsiaTheme="majorEastAsia" w:hAnsiTheme="majorHAnsi" w:cstheme="majorBidi"/>
      <w:b/>
      <w:bCs/>
      <w:sz w:val="32"/>
      <w:szCs w:val="32"/>
    </w:rPr>
  </w:style>
  <w:style w:type="character" w:customStyle="1" w:styleId="30">
    <w:name w:val="标题 3 字符"/>
    <w:basedOn w:val="a0"/>
    <w:link w:val="3"/>
    <w:uiPriority w:val="9"/>
    <w:rsid w:val="00E123CD"/>
    <w:rPr>
      <w:b/>
      <w:bCs/>
      <w:sz w:val="32"/>
      <w:szCs w:val="32"/>
    </w:rPr>
  </w:style>
  <w:style w:type="character" w:customStyle="1" w:styleId="40">
    <w:name w:val="标题 4 字符"/>
    <w:basedOn w:val="a0"/>
    <w:link w:val="4"/>
    <w:uiPriority w:val="9"/>
    <w:rsid w:val="00E33154"/>
    <w:rPr>
      <w:rFonts w:asciiTheme="majorHAnsi" w:eastAsia="MS PGothic" w:hAnsiTheme="majorHAnsi" w:cstheme="majorBidi"/>
      <w:b/>
      <w:bCs/>
      <w:i/>
      <w:color w:val="EE0000"/>
      <w:sz w:val="30"/>
      <w:szCs w:val="28"/>
    </w:rPr>
  </w:style>
  <w:style w:type="table" w:styleId="a3">
    <w:name w:val="Table Grid"/>
    <w:basedOn w:val="a1"/>
    <w:uiPriority w:val="39"/>
    <w:rsid w:val="00365C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a"/>
    <w:next w:val="a"/>
    <w:autoRedefine/>
    <w:uiPriority w:val="39"/>
    <w:unhideWhenUsed/>
    <w:rsid w:val="003B38E9"/>
  </w:style>
  <w:style w:type="paragraph" w:styleId="TOC2">
    <w:name w:val="toc 2"/>
    <w:basedOn w:val="a"/>
    <w:next w:val="a"/>
    <w:autoRedefine/>
    <w:uiPriority w:val="39"/>
    <w:unhideWhenUsed/>
    <w:rsid w:val="00614268"/>
    <w:pPr>
      <w:ind w:leftChars="200" w:left="420"/>
    </w:pPr>
  </w:style>
  <w:style w:type="paragraph" w:styleId="TOC3">
    <w:name w:val="toc 3"/>
    <w:basedOn w:val="a"/>
    <w:next w:val="a"/>
    <w:autoRedefine/>
    <w:uiPriority w:val="39"/>
    <w:unhideWhenUsed/>
    <w:rsid w:val="003B38E9"/>
    <w:pPr>
      <w:ind w:leftChars="400" w:left="840"/>
    </w:pPr>
  </w:style>
  <w:style w:type="character" w:styleId="a4">
    <w:name w:val="Hyperlink"/>
    <w:basedOn w:val="a0"/>
    <w:uiPriority w:val="99"/>
    <w:unhideWhenUsed/>
    <w:rsid w:val="003B38E9"/>
    <w:rPr>
      <w:color w:val="0563C1" w:themeColor="hyperlink"/>
      <w:u w:val="single"/>
    </w:rPr>
  </w:style>
  <w:style w:type="paragraph" w:styleId="a5">
    <w:name w:val="header"/>
    <w:basedOn w:val="a"/>
    <w:link w:val="a6"/>
    <w:uiPriority w:val="99"/>
    <w:unhideWhenUsed/>
    <w:rsid w:val="001952CC"/>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1952CC"/>
    <w:rPr>
      <w:sz w:val="18"/>
      <w:szCs w:val="18"/>
    </w:rPr>
  </w:style>
  <w:style w:type="paragraph" w:styleId="a7">
    <w:name w:val="footer"/>
    <w:basedOn w:val="a"/>
    <w:link w:val="a8"/>
    <w:uiPriority w:val="99"/>
    <w:unhideWhenUsed/>
    <w:rsid w:val="001952CC"/>
    <w:pPr>
      <w:tabs>
        <w:tab w:val="center" w:pos="4153"/>
        <w:tab w:val="right" w:pos="8306"/>
      </w:tabs>
      <w:snapToGrid w:val="0"/>
      <w:jc w:val="left"/>
    </w:pPr>
    <w:rPr>
      <w:sz w:val="18"/>
      <w:szCs w:val="18"/>
    </w:rPr>
  </w:style>
  <w:style w:type="character" w:customStyle="1" w:styleId="a8">
    <w:name w:val="页脚 字符"/>
    <w:basedOn w:val="a0"/>
    <w:link w:val="a7"/>
    <w:uiPriority w:val="99"/>
    <w:rsid w:val="001952CC"/>
    <w:rPr>
      <w:sz w:val="18"/>
      <w:szCs w:val="18"/>
    </w:rPr>
  </w:style>
  <w:style w:type="paragraph" w:customStyle="1" w:styleId="a9">
    <w:name w:val="图"/>
    <w:link w:val="Char"/>
    <w:qFormat/>
    <w:rsid w:val="00F71E1C"/>
    <w:pPr>
      <w:keepNext/>
      <w:jc w:val="center"/>
    </w:pPr>
  </w:style>
  <w:style w:type="paragraph" w:customStyle="1" w:styleId="aa">
    <w:name w:val="表"/>
    <w:next w:val="a"/>
    <w:link w:val="Char0"/>
    <w:qFormat/>
    <w:rsid w:val="00F71E1C"/>
  </w:style>
  <w:style w:type="character" w:customStyle="1" w:styleId="Char">
    <w:name w:val="图 Char"/>
    <w:basedOn w:val="a0"/>
    <w:link w:val="a9"/>
    <w:rsid w:val="00F71E1C"/>
  </w:style>
  <w:style w:type="paragraph" w:customStyle="1" w:styleId="ab">
    <w:name w:val="图名"/>
    <w:basedOn w:val="ac"/>
    <w:next w:val="a"/>
    <w:link w:val="Char1"/>
    <w:qFormat/>
    <w:rsid w:val="001D6E13"/>
    <w:pPr>
      <w:jc w:val="center"/>
    </w:pPr>
  </w:style>
  <w:style w:type="character" w:customStyle="1" w:styleId="Char0">
    <w:name w:val="表 Char"/>
    <w:basedOn w:val="Char"/>
    <w:link w:val="aa"/>
    <w:rsid w:val="00F71E1C"/>
  </w:style>
  <w:style w:type="paragraph" w:customStyle="1" w:styleId="ad">
    <w:name w:val="表名"/>
    <w:next w:val="aa"/>
    <w:link w:val="Char2"/>
    <w:qFormat/>
    <w:rsid w:val="00066C01"/>
    <w:pPr>
      <w:keepNext/>
      <w:jc w:val="center"/>
    </w:pPr>
    <w:rPr>
      <w:rFonts w:asciiTheme="majorHAnsi" w:eastAsia="黑体" w:hAnsiTheme="majorHAnsi" w:cstheme="majorBidi"/>
      <w:sz w:val="20"/>
      <w:szCs w:val="20"/>
    </w:rPr>
  </w:style>
  <w:style w:type="character" w:customStyle="1" w:styleId="Char1">
    <w:name w:val="图名 Char"/>
    <w:basedOn w:val="Char0"/>
    <w:link w:val="ab"/>
    <w:rsid w:val="001D6E13"/>
    <w:rPr>
      <w:rFonts w:asciiTheme="majorHAnsi" w:eastAsia="黑体" w:hAnsiTheme="majorHAnsi" w:cstheme="majorBidi"/>
      <w:sz w:val="20"/>
      <w:szCs w:val="20"/>
    </w:rPr>
  </w:style>
  <w:style w:type="paragraph" w:customStyle="1" w:styleId="ae">
    <w:name w:val="公式"/>
    <w:next w:val="af"/>
    <w:link w:val="Char3"/>
    <w:qFormat/>
    <w:rsid w:val="002A54E4"/>
    <w:pPr>
      <w:tabs>
        <w:tab w:val="center" w:pos="4253"/>
        <w:tab w:val="right" w:pos="8222"/>
      </w:tabs>
    </w:pPr>
    <w:rPr>
      <w:rFonts w:ascii="Cambria Math" w:eastAsia="Cambria Math" w:hAnsi="Cambria Math"/>
    </w:rPr>
  </w:style>
  <w:style w:type="character" w:customStyle="1" w:styleId="Char2">
    <w:name w:val="表名 Char"/>
    <w:basedOn w:val="Char1"/>
    <w:link w:val="ad"/>
    <w:rsid w:val="00066C01"/>
    <w:rPr>
      <w:rFonts w:asciiTheme="majorHAnsi" w:eastAsia="黑体" w:hAnsiTheme="majorHAnsi" w:cstheme="majorBidi"/>
      <w:sz w:val="20"/>
      <w:szCs w:val="20"/>
    </w:rPr>
  </w:style>
  <w:style w:type="paragraph" w:customStyle="1" w:styleId="af">
    <w:name w:val="公式名"/>
    <w:link w:val="Char4"/>
    <w:qFormat/>
    <w:rsid w:val="00A139A6"/>
    <w:rPr>
      <w:rFonts w:ascii="Cambria Math" w:eastAsia="Cambria Math" w:hAnsi="Cambria Math"/>
    </w:rPr>
  </w:style>
  <w:style w:type="character" w:customStyle="1" w:styleId="Char3">
    <w:name w:val="公式 Char"/>
    <w:basedOn w:val="Char2"/>
    <w:link w:val="ae"/>
    <w:rsid w:val="002A54E4"/>
    <w:rPr>
      <w:rFonts w:ascii="Cambria Math" w:eastAsia="Cambria Math" w:hAnsi="Cambria Math" w:cstheme="majorBidi"/>
      <w:sz w:val="20"/>
      <w:szCs w:val="20"/>
    </w:rPr>
  </w:style>
  <w:style w:type="paragraph" w:styleId="ac">
    <w:name w:val="caption"/>
    <w:basedOn w:val="a"/>
    <w:next w:val="a"/>
    <w:uiPriority w:val="35"/>
    <w:unhideWhenUsed/>
    <w:qFormat/>
    <w:rsid w:val="001D6E13"/>
    <w:rPr>
      <w:rFonts w:asciiTheme="majorHAnsi" w:eastAsia="黑体" w:hAnsiTheme="majorHAnsi" w:cstheme="majorBidi"/>
      <w:sz w:val="20"/>
      <w:szCs w:val="20"/>
    </w:rPr>
  </w:style>
  <w:style w:type="character" w:customStyle="1" w:styleId="Char4">
    <w:name w:val="公式名 Char"/>
    <w:basedOn w:val="Char3"/>
    <w:link w:val="af"/>
    <w:rsid w:val="00A139A6"/>
    <w:rPr>
      <w:rFonts w:ascii="Cambria Math" w:eastAsia="Cambria Math" w:hAnsi="Cambria Math" w:cstheme="majorBidi"/>
      <w:i/>
      <w:sz w:val="20"/>
      <w:szCs w:val="20"/>
    </w:rPr>
  </w:style>
  <w:style w:type="character" w:styleId="af0">
    <w:name w:val="Placeholder Text"/>
    <w:basedOn w:val="a0"/>
    <w:uiPriority w:val="99"/>
    <w:semiHidden/>
    <w:rsid w:val="00753452"/>
    <w:rPr>
      <w:color w:val="808080"/>
    </w:rPr>
  </w:style>
  <w:style w:type="character" w:styleId="af1">
    <w:name w:val="Unresolved Mention"/>
    <w:basedOn w:val="a0"/>
    <w:uiPriority w:val="99"/>
    <w:semiHidden/>
    <w:unhideWhenUsed/>
    <w:rsid w:val="00645B1A"/>
    <w:rPr>
      <w:color w:val="605E5C"/>
      <w:shd w:val="clear" w:color="auto" w:fill="E1DFDD"/>
    </w:rPr>
  </w:style>
  <w:style w:type="paragraph" w:styleId="af2">
    <w:name w:val="List Paragraph"/>
    <w:basedOn w:val="a"/>
    <w:uiPriority w:val="34"/>
    <w:qFormat/>
    <w:rsid w:val="00F07E79"/>
    <w:pPr>
      <w:ind w:firstLineChars="200"/>
    </w:pPr>
  </w:style>
  <w:style w:type="character" w:customStyle="1" w:styleId="50">
    <w:name w:val="标题 5 字符"/>
    <w:basedOn w:val="a0"/>
    <w:link w:val="5"/>
    <w:uiPriority w:val="9"/>
    <w:rsid w:val="00924834"/>
    <w:rPr>
      <w:b/>
      <w:bCs/>
      <w:szCs w:val="28"/>
    </w:rPr>
  </w:style>
  <w:style w:type="paragraph" w:styleId="af3">
    <w:name w:val="Normal (Web)"/>
    <w:basedOn w:val="a"/>
    <w:uiPriority w:val="99"/>
    <w:unhideWhenUsed/>
    <w:rsid w:val="004E3D08"/>
    <w:pPr>
      <w:widowControl/>
      <w:spacing w:before="100" w:beforeAutospacing="1" w:after="100" w:afterAutospacing="1"/>
      <w:jc w:val="left"/>
    </w:pPr>
    <w:rPr>
      <w:rFonts w:ascii="宋体" w:eastAsia="宋体" w:hAnsi="宋体" w:cs="宋体"/>
      <w:kern w:val="0"/>
      <w:sz w:val="24"/>
      <w:szCs w:val="24"/>
    </w:rPr>
  </w:style>
  <w:style w:type="character" w:styleId="af4">
    <w:name w:val="Strong"/>
    <w:basedOn w:val="a0"/>
    <w:uiPriority w:val="22"/>
    <w:qFormat/>
    <w:rsid w:val="0000535E"/>
    <w:rPr>
      <w:b/>
      <w:bCs/>
    </w:rPr>
  </w:style>
  <w:style w:type="paragraph" w:styleId="HTML">
    <w:name w:val="HTML Preformatted"/>
    <w:basedOn w:val="a"/>
    <w:link w:val="HTML0"/>
    <w:uiPriority w:val="99"/>
    <w:semiHidden/>
    <w:unhideWhenUsed/>
    <w:rsid w:val="000053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0535E"/>
    <w:rPr>
      <w:rFonts w:ascii="宋体" w:eastAsia="宋体" w:hAnsi="宋体" w:cs="宋体"/>
      <w:kern w:val="0"/>
      <w:sz w:val="24"/>
      <w:szCs w:val="24"/>
    </w:rPr>
  </w:style>
  <w:style w:type="character" w:styleId="HTML1">
    <w:name w:val="HTML Code"/>
    <w:basedOn w:val="a0"/>
    <w:uiPriority w:val="99"/>
    <w:semiHidden/>
    <w:unhideWhenUsed/>
    <w:rsid w:val="0000535E"/>
    <w:rPr>
      <w:rFonts w:ascii="宋体" w:eastAsia="宋体" w:hAnsi="宋体" w:cs="宋体"/>
      <w:sz w:val="24"/>
      <w:szCs w:val="24"/>
    </w:rPr>
  </w:style>
  <w:style w:type="paragraph" w:customStyle="1" w:styleId="MDConverterBibliography">
    <w:name w:val="MDConverterBibliography"/>
    <w:basedOn w:val="11"/>
    <w:qFormat/>
  </w:style>
  <w:style w:type="paragraph" w:customStyle="1" w:styleId="MDTableNote">
    <w:name w:val="MDTableNote"/>
    <w:basedOn w:val="11"/>
    <w:qFormat/>
  </w:style>
  <w:style w:type="character" w:customStyle="1" w:styleId="MDCITEeJyLdijNTSwwyslMjwUAGFAEGg">
    <w:name w:val="MDCITE_eJyLdijNTSwwyslMjwUAGFAEGg"/>
    <w:basedOn w:val="BodyTextChar"/>
  </w:style>
  <w:style w:type="character" w:customStyle="1" w:styleId="MDFIGREFeJyrrk7LTC9KTbMqLi0o0E3LzEvRTc4vKkpNLtHNTSxJztBNKs3MSamtBQBErwK">
    <w:name w:val="MDFIGREF_eJyrrk7LTC9KTbMqLi0o0E3LzEvRTc4vKkpNLtHNTSxJztBNKs3MSamtBQBErw_K"/>
    <w:basedOn w:val="BodyTextChar"/>
  </w:style>
  <w:style w:type="character" w:customStyle="1" w:styleId="MDFIGREFeJyrrk7LTC9KTbMqLi0o0E3LzEvRTc4vKkpNLtHNTSxJztBNKs3MSdH1843cQ1z9amtBQDcERJr">
    <w:name w:val="MDFIGREF_eJyrrk7LTC9KTbMqLi0o0E3LzEvRTc4vKkpNLtHNTSxJztBNKs3MSdH184_3cQ1z9amtBQDcERJr"/>
    <w:basedOn w:val="BodyTextChar"/>
  </w:style>
  <w:style w:type="character" w:customStyle="1" w:styleId="MDFIGREFeJyrrk7LTC9KTbMqLklMTzXULS4pykwu0S3JKEotzsjPSalJqq0FAAjTDoE">
    <w:name w:val="MDFIGREF_eJyrrk7LTC9KTbMqLklMTzXULS4pykwu0S3JKEotzsjPSalJqq0FAAjTDoE"/>
    <w:basedOn w:val="BodyTextChar"/>
  </w:style>
  <w:style w:type="character" w:customStyle="1" w:styleId="MDFIGREFeJyrrk7LTC9KTbMqLklMTzXULS4pykwu0S3JKEotzsjPSalJrK0FAAjQDoA">
    <w:name w:val="MDFIGREF_eJyrrk7LTC9KTbMqLklMTzXULS4pykwu0S3JKEotzsjPSalJrK0FAAjQDoA"/>
    <w:basedOn w:val="BodyTextChar"/>
  </w:style>
  <w:style w:type="character" w:customStyle="1" w:styleId="MDFIGREFeJyrrk7LTC9KTbMqLklMTzXULS4pykwu0S3JKEotzsjPSdH1843cQ1z9alJqq0FAJIYESI">
    <w:name w:val="MDFIGREF_eJyrrk7LTC9KTbMqLklMTzXULS4pykwu0S3JKEotzsjPSdH184_3cQ1z9alJqq0FAJIYESI"/>
    <w:basedOn w:val="BodyTextChar"/>
  </w:style>
  <w:style w:type="character" w:customStyle="1" w:styleId="MDFIGREFeJyrrk7LTC9KTbMqLklMTzXULS4pykwu0S3JKEotzsjPSdH1843cQ1z9alJrK0FAJIVESE">
    <w:name w:val="MDFIGREF_eJyrrk7LTC9KTbMqLklMTzXULS4pykwu0S3JKEotzsjPSdH184_3cQ1z9alJrK0FAJIVESE"/>
    <w:basedOn w:val="BodyTextChar"/>
  </w:style>
  <w:style w:type="character" w:customStyle="1" w:styleId="MDFIGREFeJyrrk7LTC9KTbMqLklMTzXULS4pykwu0S3JKEotzsjPSdH1843cQ1z9amtBQBwbhBE">
    <w:name w:val="MDFIGREF_eJyrrk7LTC9KTbMqLklMTzXULS4pykwu0S3JKEotzsjPSdH184_3cQ1z9amtBQBwbhBE"/>
    <w:basedOn w:val="BodyTextChar"/>
  </w:style>
  <w:style w:type="character" w:customStyle="1" w:styleId="MDFIGREFeJyrrk7LTC9KTbMqLklMTzXUTc7PLchJLcnMz9NNLi0qSy2urQUA-gsODw">
    <w:name w:val="MDFIGREF_eJyrrk7LTC9KTbMqLklMTzXUTc7PLchJLcnMz9NNLi0qSy2urQUA-gsODw"/>
    <w:basedOn w:val="BodyTextChar"/>
  </w:style>
  <w:style w:type="character" w:customStyle="1" w:styleId="MDFIGREFeJyrrk7LTC9KTbMqLklMTzXUTc7PLchJLcnMz9NNLi0qSy3W9fOP93ENcWprQUAgekQsA">
    <w:name w:val="MDFIGREF_eJyrrk7LTC9KTbMqLklMTzXUTc7PLchJLcnMz9NNLi0qSy3W9fOP93ENc_WprQUAgekQsA"/>
    <w:basedOn w:val="BodyTextChar"/>
  </w:style>
  <w:style w:type="character" w:customStyle="1" w:styleId="MDFIGREFeJyrrk7LTC9KTbMqLklMTzXUTU7MS8lMSSxJ1S0sTczJLKmsSa6tBQAUBQ7C">
    <w:name w:val="MDFIGREF_eJyrrk7LTC9KTbMqLklMTzXUTU7MS8lMSSxJ1S0sTczJLKmsSa6tBQAUBQ7C"/>
    <w:basedOn w:val="BodyTextChar"/>
  </w:style>
  <w:style w:type="character" w:customStyle="1" w:styleId="MDFIGREFeJyrrk7LTC9KTbMqLklMTzXUTU7MS8lMSSxJ1S0sTczJLKmsSamtBQAUCA7D">
    <w:name w:val="MDFIGREF_eJyrrk7LTC9KTbMqLklMTzXUTU7MS8lMSSxJ1S0sTczJLKmsSamtBQAUCA7D"/>
    <w:basedOn w:val="BodyTextChar"/>
  </w:style>
  <w:style w:type="character" w:customStyle="1" w:styleId="MDFIGREFeJyrrk7LTC9KTbMqLklMTzXUTU7MS8lMSSxJ1S0sTczJLKnU9fOP93ENcWpSa6tBQCfihFj">
    <w:name w:val="MDFIGREF_eJyrrk7LTC9KTbMqLklMTzXUTU7MS8lMSSxJ1S0sTczJLKnU9fOP93ENc_WpSa6tBQCfihFj"/>
    <w:basedOn w:val="BodyTextChar"/>
  </w:style>
  <w:style w:type="character" w:customStyle="1" w:styleId="MDFIGREFeJyrrk7LTC9KTbMqLklMTzXUTU7MS8lMSSxJ1S0sTczJLKnU9fOP93ENcWpSamtBQCfjRFk">
    <w:name w:val="MDFIGREF_eJyrrk7LTC9KTbMqLklMTzXUTU7MS8lMSSxJ1S0sTczJLKnU9fOP93ENc_WpSamtBQCfjRFk"/>
    <w:basedOn w:val="BodyTextChar"/>
  </w:style>
  <w:style w:type="character" w:customStyle="1" w:styleId="MDFIGREFeJyrrk7LTC9KTbMqLklMTzXUTU7MS8lMSSxJ1S0sTczJLKnU9fOP93ENcWpSaqtBQCfhxFi">
    <w:name w:val="MDFIGREF_eJyrrk7LTC9KTbMqLklMTzXUTU7MS8lMSSxJ1S0sTczJLKnU9fOP93ENc_WpSaqtBQCfhxFi"/>
    <w:basedOn w:val="BodyTextChar"/>
  </w:style>
  <w:style w:type="character" w:customStyle="1" w:styleId="MDFIGREFeJyrrk7LTC9KTbMqLklMTzXUTU7MS8lMSSxJ1S0sTczJLKnU9fOP93ENcWpSaytBQCfhBFh">
    <w:name w:val="MDFIGREF_eJyrrk7LTC9KTbMqLklMTzXUTU7MS8lMSSxJ1S0sTczJLKnU9fOP93ENc_WpSaytBQCfhBFh"/>
    <w:basedOn w:val="BodyTextChar"/>
  </w:style>
  <w:style w:type="character" w:customStyle="1" w:styleId="MDFIGREFeJyrrk7LTC9KTbMqLklMTzXUzS9LLUrMydEtSC1KyyKTcxLTtX1843cQ1z9alJ1kmprQUA7KMS1A">
    <w:name w:val="MDFIGREF_eJyrrk7LTC9KTbMqLklMTzXUzS9LLUrMydEtSC1Kyy_KTcxLTtX184_3cQ1z9alJ1kmprQUA7KMS1A"/>
    <w:basedOn w:val="BodyTextChar"/>
  </w:style>
  <w:style w:type="character" w:customStyle="1" w:styleId="MDFIGREFeJyrrk7LTC9KTbMqLklMTzXUzS9LLUrMydEtSC1KyyKTcxLTtX1843cQ1z9alJqq0FAMgwEkM">
    <w:name w:val="MDFIGREF_eJyrrk7LTC9KTbMqLklMTzXUzS9LLUrMydEtSC1Kyy_KTcxLTtX184_3cQ1z9alJqq0FAMgwEkM"/>
    <w:basedOn w:val="BodyTextChar"/>
  </w:style>
  <w:style w:type="character" w:customStyle="1" w:styleId="MDFIGREFeJyrrk7LTC9KTbMqLklMTzXUzS9LLUrMydEtSC1KyyKTcxLTtX1843cQ1z9alJrK0FAMgtEkI">
    <w:name w:val="MDFIGREF_eJyrrk7LTC9KTbMqLklMTzXUzS9LLUrMydEtSC1Kyy_KTcxLTtX184_3cQ1z9alJrK0FAMgtEkI"/>
    <w:basedOn w:val="BodyTextChar"/>
  </w:style>
  <w:style w:type="character" w:customStyle="1" w:styleId="MDFIGREFeJyrrk7LTC9KTbMqLklMTzXWLShKTclMLklN0S1KTcMz9PNSE1M0S3Jh9B-vE-rmGuPrW1AGCIFKY">
    <w:name w:val="MDFIGREF_eJyrrk7LTC9KTbMqLklMTzXWLShKTclMLklN0S1KTc_Mz9PNSE1M0S3Jh9B-_vE-rmGuPrW1AGCIFKY"/>
    <w:basedOn w:val="BodyTextChar"/>
  </w:style>
  <w:style w:type="character" w:customStyle="1" w:styleId="MDFIGREFeJyrrk7LTC9KTbMqLklMTzXWTU4sTi3WzU3MzNP1843cQ1z9alJedQwOa22FgBpGRDP">
    <w:name w:val="MDFIGREF_eJyrrk7LTC9KTbMqLklMTzXWTU4sTi3WzU3MzNP184_3cQ1z9alJedQwOa22FgBpGRDP"/>
    <w:basedOn w:val="BodyTextChar"/>
  </w:style>
  <w:style w:type="character" w:customStyle="1" w:styleId="MDFIGREFeJyrrk7LTC9KTbMqLklMTzXWTU4sTi3WzU3MzNP1843cQ1z9alJfNQwObm2FgBo-xDJ">
    <w:name w:val="MDFIGREF_eJyrrk7LTC9KTbMqLklMTzXWTU4sTi3WzU3MzNP184_3cQ1z9alJfNQwObm2FgBo-xDJ"/>
    <w:basedOn w:val="BodyTextChar"/>
  </w:style>
  <w:style w:type="character" w:customStyle="1" w:styleId="MDFIGREFeJyrrk7LTC9KTbMqLklMTzXWTU4sTi3WzU3MzNP1843cQ1z9amtBQALlw2U">
    <w:name w:val="MDFIGREF_eJyrrk7LTC9KTbMqLklMTzXWTU4sTi3WzU3MzNP184_3cQ1z9amtBQALlw2U"/>
    <w:basedOn w:val="BodyTextChar"/>
  </w:style>
  <w:style w:type="character" w:customStyle="1" w:styleId="MDFIGREFeJyrrk7LTC9KTbNKNUrVLc5NzMnRLcgsSM3JzEutSa6tBQDAgwxC">
    <w:name w:val="MDFIGREF_eJyrrk7LTC9KTbNKNUrVLc5NzMnRLcgsSM3JzEutSa6tBQDAgwxC"/>
    <w:basedOn w:val="BodyTextChar"/>
  </w:style>
  <w:style w:type="character" w:customStyle="1" w:styleId="MDFIGREFeJyrrk7LTC9KTbNKNUrVLc5NzMnRLcgsSM3JzEutSaqtBQDAgAxB">
    <w:name w:val="MDFIGREF_eJyrrk7LTC9KTbNKNUrVLc5NzMnRLcgsSM3JzEutSaqtBQDAgAxB"/>
    <w:basedOn w:val="BodyTextChar"/>
  </w:style>
  <w:style w:type="character" w:customStyle="1" w:styleId="MDFIGREFeJyrrk7LTC9KTbNKNUrVLc5NzMnRLcgsSM3JzEutSaytBQDAfQxA">
    <w:name w:val="MDFIGREF_eJyrrk7LTC9KTbNKNUrVLc5NzMnRLcgsSM3JzEutSaytBQDAfQxA"/>
    <w:basedOn w:val="BodyTextChar"/>
  </w:style>
  <w:style w:type="character" w:customStyle="1" w:styleId="MDFIGREFeJyrrk7LTC9KTbNKNUrVLc5NzMnRLcgsSM3JzEutSdJJrq0FANjnDNA">
    <w:name w:val="MDFIGREF_eJyrrk7LTC9KTbNKNUrVLc5NzMnRLcgsSM3JzEutSdJJrq0FANjnDNA"/>
    <w:basedOn w:val="BodyTextChar"/>
  </w:style>
  <w:style w:type="character" w:customStyle="1" w:styleId="MDFIGREFeJyrrk7LTC9KTbNKNUrVLc5NzMnRLcgsSM3JzEvV9fOP93ENcWpSa6tBQA1lw7j">
    <w:name w:val="MDFIGREF_eJyrrk7LTC9KTbNKNUrVLc5NzMnRLcgsSM3JzEvV9fOP93ENc_WpSa6tBQA1lw7j"/>
    <w:basedOn w:val="BodyTextChar"/>
  </w:style>
  <w:style w:type="character" w:customStyle="1" w:styleId="MDFIGREFeJyrrk7LTC9KTbNKNUrVLc5NzMnRLcgsSM3JzEvV9fOP93ENcWpSaqtBQA1lA7i">
    <w:name w:val="MDFIGREF_eJyrrk7LTC9KTbNKNUrVLc5NzMnRLcgsSM3JzEvV9fOP93ENc_WpSaqtBQA1lA7i"/>
    <w:basedOn w:val="BodyTextChar"/>
  </w:style>
  <w:style w:type="character" w:customStyle="1" w:styleId="MDFIGREFeJyrrk7LTC9KTbNKNUrVLc5NzMnRLcgsSM3JzEvV9fOP93ENcWpSaytBQA1kQ7h">
    <w:name w:val="MDFIGREF_eJyrrk7LTC9KTbNKNUrVLc5NzMnRLcgsSM3JzEvV9fOP93ENc_WpSaytBQA1kQ7h"/>
    <w:basedOn w:val="BodyTextChar"/>
  </w:style>
  <w:style w:type="character" w:customStyle="1" w:styleId="MDFIGREFeJyrrk7LTC9KTbNKNUrVLc5NzMnRLcgsSM3JzEvV9fOP93ENcWpSdJJrq0FAFM9D3E">
    <w:name w:val="MDFIGREF_eJyrrk7LTC9KTbNKNUrVLc5NzMnRLcgsSM3JzEvV9fOP93ENc_WpSdJJrq0FAFM9D3E"/>
    <w:basedOn w:val="BodyTextChar"/>
  </w:style>
  <w:style w:type="character" w:customStyle="1" w:styleId="MDFIGREFeJyrrk7LTC9KTbNKNUrVTcvMS9FNKs3MSdFNySxKTS7RTc7PLUgsyizOz9P1843cQ1z9amtBQAG9xNW">
    <w:name w:val="MDFIGREF_eJyrrk7LTC9KTbNKNUrVTcvMS9FNKs3MSdFNySxKTS7RTc7PLUgsyizOz9P184_3cQ1z9amtBQAG9xNW"/>
    <w:basedOn w:val="BodyTextChar"/>
  </w:style>
  <w:style w:type="character" w:customStyle="1" w:styleId="MDFIGREFeJyrrk7LTC9KTbNKNUrVTczJ0U3LzEvRzU0sSc6orQUApM0LCA">
    <w:name w:val="MDFIGREF_eJyrrk7LTC9KTbNKNUrVTczJ0U3LzEvRzU0sSc6orQUApM0LCA"/>
    <w:basedOn w:val="BodyTextChar"/>
  </w:style>
  <w:style w:type="character" w:customStyle="1" w:styleId="MDFIGREFeJyrrk7LTC9KTbNKNUrVTczJ0U3LzEvRzU0sSc7Q9fOP93ENcWprQUAEWwNqQ">
    <w:name w:val="MDFIGREF_eJyrrk7LTC9KTbNKNUrVTczJ0U3LzEvRzU0sSc7Q9fOP93ENc_WprQUAEWwNqQ"/>
    <w:basedOn w:val="BodyTextChar"/>
  </w:style>
  <w:style w:type="paragraph" w:customStyle="1" w:styleId="SourceCode">
    <w:name w:val="Source Code"/>
    <w:link w:val="VerbatimChar"/>
    <w:pPr>
      <w:wordWrap w:val="0"/>
    </w:pPr>
  </w:style>
  <w:style w:type="character" w:customStyle="1" w:styleId="KeywordTok">
    <w:name w:val="KeywordTok"/>
    <w:basedOn w:val="VerbatimChar"/>
    <w:rPr>
      <w:rFonts w:ascii="Courier New" w:hAnsi="Courier New"/>
      <w:b/>
      <w:color w:val="007020"/>
    </w:rPr>
  </w:style>
  <w:style w:type="character" w:customStyle="1" w:styleId="DataTypeTok">
    <w:name w:val="DataTypeTok"/>
    <w:basedOn w:val="VerbatimChar"/>
    <w:rPr>
      <w:rFonts w:ascii="Courier New" w:hAnsi="Courier New"/>
      <w:color w:val="902000"/>
    </w:rPr>
  </w:style>
  <w:style w:type="character" w:customStyle="1" w:styleId="DecValTok">
    <w:name w:val="DecValTok"/>
    <w:basedOn w:val="VerbatimChar"/>
    <w:rPr>
      <w:rFonts w:ascii="Courier New" w:hAnsi="Courier New"/>
      <w:color w:val="40A070"/>
    </w:rPr>
  </w:style>
  <w:style w:type="character" w:customStyle="1" w:styleId="BaseNTok">
    <w:name w:val="BaseNTok"/>
    <w:basedOn w:val="VerbatimChar"/>
    <w:rPr>
      <w:rFonts w:ascii="Courier New" w:hAnsi="Courier New"/>
      <w:color w:val="40A070"/>
    </w:rPr>
  </w:style>
  <w:style w:type="character" w:customStyle="1" w:styleId="FloatTok">
    <w:name w:val="FloatTok"/>
    <w:basedOn w:val="VerbatimChar"/>
    <w:rPr>
      <w:rFonts w:ascii="Courier New" w:hAnsi="Courier New"/>
      <w:color w:val="40A070"/>
    </w:rPr>
  </w:style>
  <w:style w:type="character" w:customStyle="1" w:styleId="ConstantTok">
    <w:name w:val="ConstantTok"/>
    <w:basedOn w:val="VerbatimChar"/>
    <w:rPr>
      <w:rFonts w:ascii="Courier New" w:hAnsi="Courier New"/>
      <w:color w:val="880000"/>
    </w:rPr>
  </w:style>
  <w:style w:type="character" w:customStyle="1" w:styleId="CharTok">
    <w:name w:val="CharTok"/>
    <w:basedOn w:val="VerbatimChar"/>
    <w:rPr>
      <w:rFonts w:ascii="Courier New" w:hAnsi="Courier New"/>
      <w:color w:val="4070A0"/>
    </w:rPr>
  </w:style>
  <w:style w:type="character" w:customStyle="1" w:styleId="SpecialCharTok">
    <w:name w:val="SpecialCharTok"/>
    <w:basedOn w:val="VerbatimChar"/>
    <w:rPr>
      <w:rFonts w:ascii="Courier New" w:hAnsi="Courier New"/>
      <w:color w:val="4070A0"/>
    </w:rPr>
  </w:style>
  <w:style w:type="character" w:customStyle="1" w:styleId="StringTok">
    <w:name w:val="StringTok"/>
    <w:basedOn w:val="VerbatimChar"/>
    <w:rPr>
      <w:rFonts w:ascii="Courier New" w:hAnsi="Courier New"/>
      <w:color w:val="4070A0"/>
    </w:rPr>
  </w:style>
  <w:style w:type="character" w:customStyle="1" w:styleId="VerbatimStringTok">
    <w:name w:val="VerbatimStringTok"/>
    <w:basedOn w:val="VerbatimChar"/>
    <w:rPr>
      <w:rFonts w:ascii="Courier New" w:hAnsi="Courier New"/>
      <w:color w:val="4070A0"/>
    </w:rPr>
  </w:style>
  <w:style w:type="character" w:customStyle="1" w:styleId="SpecialStringTok">
    <w:name w:val="SpecialStringTok"/>
    <w:basedOn w:val="VerbatimChar"/>
    <w:rPr>
      <w:rFonts w:ascii="Courier New" w:hAnsi="Courier New"/>
      <w:color w:val="BB6688"/>
    </w:rPr>
  </w:style>
  <w:style w:type="character" w:customStyle="1" w:styleId="ImportTok">
    <w:name w:val="ImportTok"/>
    <w:basedOn w:val="VerbatimChar"/>
    <w:rPr>
      <w:rFonts w:ascii="Courier New" w:hAnsi="Courier New"/>
      <w:b/>
      <w:color w:val="008000"/>
    </w:rPr>
  </w:style>
  <w:style w:type="character" w:customStyle="1" w:styleId="CommentTok">
    <w:name w:val="CommentTok"/>
    <w:basedOn w:val="VerbatimChar"/>
    <w:rPr>
      <w:rFonts w:ascii="Courier New" w:hAnsi="Courier New"/>
      <w:i/>
      <w:color w:val="60A0B0"/>
    </w:rPr>
  </w:style>
  <w:style w:type="character" w:customStyle="1" w:styleId="DocumentationTok">
    <w:name w:val="DocumentationTok"/>
    <w:basedOn w:val="VerbatimChar"/>
    <w:rPr>
      <w:rFonts w:ascii="Courier New" w:hAnsi="Courier New"/>
      <w:i/>
      <w:color w:val="BA2121"/>
    </w:rPr>
  </w:style>
  <w:style w:type="character" w:customStyle="1" w:styleId="AnnotationTok">
    <w:name w:val="AnnotationTok"/>
    <w:basedOn w:val="VerbatimChar"/>
    <w:rPr>
      <w:rFonts w:ascii="Courier New" w:hAnsi="Courier New"/>
      <w:b/>
      <w:i/>
      <w:color w:val="60A0B0"/>
    </w:rPr>
  </w:style>
  <w:style w:type="character" w:customStyle="1" w:styleId="CommentVarTok">
    <w:name w:val="CommentVarTok"/>
    <w:basedOn w:val="VerbatimChar"/>
    <w:rPr>
      <w:rFonts w:ascii="Courier New" w:hAnsi="Courier New"/>
      <w:b/>
      <w:i/>
      <w:color w:val="60A0B0"/>
    </w:rPr>
  </w:style>
  <w:style w:type="character" w:customStyle="1" w:styleId="OtherTok">
    <w:name w:val="OtherTok"/>
    <w:basedOn w:val="VerbatimChar"/>
    <w:rPr>
      <w:rFonts w:ascii="Courier New" w:hAnsi="Courier New"/>
      <w:color w:val="007020"/>
    </w:rPr>
  </w:style>
  <w:style w:type="character" w:customStyle="1" w:styleId="FunctionTok">
    <w:name w:val="FunctionTok"/>
    <w:basedOn w:val="VerbatimChar"/>
    <w:rPr>
      <w:rFonts w:ascii="Courier New" w:hAnsi="Courier New"/>
      <w:color w:val="06287E"/>
    </w:rPr>
  </w:style>
  <w:style w:type="character" w:customStyle="1" w:styleId="VariableTok">
    <w:name w:val="VariableTok"/>
    <w:basedOn w:val="VerbatimChar"/>
    <w:rPr>
      <w:rFonts w:ascii="Courier New" w:hAnsi="Courier New"/>
      <w:color w:val="19177C"/>
    </w:rPr>
  </w:style>
  <w:style w:type="character" w:customStyle="1" w:styleId="ControlFlowTok">
    <w:name w:val="ControlFlowTok"/>
    <w:basedOn w:val="VerbatimChar"/>
    <w:rPr>
      <w:rFonts w:ascii="Courier New" w:hAnsi="Courier New"/>
      <w:b/>
      <w:color w:val="007020"/>
    </w:rPr>
  </w:style>
  <w:style w:type="character" w:customStyle="1" w:styleId="OperatorTok">
    <w:name w:val="OperatorTok"/>
    <w:basedOn w:val="VerbatimChar"/>
    <w:rPr>
      <w:rFonts w:ascii="Courier New" w:hAnsi="Courier New"/>
      <w:color w:val="666666"/>
    </w:rPr>
  </w:style>
  <w:style w:type="character" w:customStyle="1" w:styleId="BuiltInTok">
    <w:name w:val="BuiltInTok"/>
    <w:basedOn w:val="VerbatimChar"/>
    <w:rPr>
      <w:rFonts w:ascii="Courier New" w:hAnsi="Courier New"/>
      <w:color w:val="008000"/>
    </w:rPr>
  </w:style>
  <w:style w:type="character" w:customStyle="1" w:styleId="ExtensionTok">
    <w:name w:val="ExtensionTok"/>
    <w:basedOn w:val="VerbatimChar"/>
    <w:rPr>
      <w:rFonts w:ascii="Courier New" w:hAnsi="Courier New"/>
    </w:rPr>
  </w:style>
  <w:style w:type="character" w:customStyle="1" w:styleId="PreprocessorTok">
    <w:name w:val="PreprocessorTok"/>
    <w:basedOn w:val="VerbatimChar"/>
    <w:rPr>
      <w:rFonts w:ascii="Courier New" w:hAnsi="Courier New"/>
      <w:color w:val="BC7A00"/>
    </w:rPr>
  </w:style>
  <w:style w:type="character" w:customStyle="1" w:styleId="AttributeTok">
    <w:name w:val="AttributeTok"/>
    <w:basedOn w:val="VerbatimChar"/>
    <w:rPr>
      <w:rFonts w:ascii="Courier New" w:hAnsi="Courier New"/>
      <w:color w:val="7D9029"/>
    </w:rPr>
  </w:style>
  <w:style w:type="character" w:customStyle="1" w:styleId="RegionMarkerTok">
    <w:name w:val="RegionMarkerTok"/>
    <w:basedOn w:val="VerbatimChar"/>
    <w:rPr>
      <w:rFonts w:ascii="Courier New" w:hAnsi="Courier New"/>
    </w:rPr>
  </w:style>
  <w:style w:type="character" w:customStyle="1" w:styleId="InformationTok">
    <w:name w:val="InformationTok"/>
    <w:basedOn w:val="VerbatimChar"/>
    <w:rPr>
      <w:rFonts w:ascii="Courier New" w:hAnsi="Courier New"/>
      <w:b/>
      <w:i/>
      <w:color w:val="60A0B0"/>
    </w:rPr>
  </w:style>
  <w:style w:type="character" w:customStyle="1" w:styleId="WarningTok">
    <w:name w:val="WarningTok"/>
    <w:basedOn w:val="VerbatimChar"/>
    <w:rPr>
      <w:rFonts w:ascii="Courier New" w:hAnsi="Courier New"/>
      <w:b/>
      <w:i/>
      <w:color w:val="60A0B0"/>
    </w:rPr>
  </w:style>
  <w:style w:type="character" w:customStyle="1" w:styleId="AlertTok">
    <w:name w:val="AlertTok"/>
    <w:basedOn w:val="VerbatimChar"/>
    <w:rPr>
      <w:rFonts w:ascii="Courier New" w:hAnsi="Courier New"/>
      <w:b/>
      <w:color w:val="FF0000"/>
    </w:rPr>
  </w:style>
  <w:style w:type="character" w:customStyle="1" w:styleId="ErrorTok">
    <w:name w:val="ErrorTok"/>
    <w:basedOn w:val="VerbatimChar"/>
    <w:rPr>
      <w:rFonts w:ascii="Courier New" w:hAnsi="Courier New"/>
      <w:b/>
      <w:color w:val="FF0000"/>
    </w:rPr>
  </w:style>
  <w:style w:type="character" w:customStyle="1" w:styleId="NormalTok">
    <w:name w:val="NormalTok"/>
    <w:basedOn w:val="VerbatimChar"/>
    <w:rPr>
      <w:rFonts w:ascii="Courier New" w:hAnsi="Courier New"/>
    </w:rPr>
  </w:style>
  <w:style w:type="character" w:customStyle="1" w:styleId="BodyTextChar">
    <w:name w:val="Body Text Char"/>
    <w:basedOn w:val="a0"/>
  </w:style>
  <w:style w:type="character" w:customStyle="1" w:styleId="VerbatimChar">
    <w:name w:val="Verbatim Char"/>
    <w:basedOn w:val="a0"/>
    <w:link w:val="SourceCode"/>
    <w:rPr>
      <w:rFonts w:ascii="Courier New" w:hAnsi="Courier New"/>
    </w:rPr>
  </w:style>
  <w:style w:type="paragraph" w:customStyle="1" w:styleId="ImageCaption">
    <w:name w:val="Image Caption"/>
    <w:basedOn w:val="ac"/>
  </w:style>
  <w:style w:type="paragraph" w:customStyle="1" w:styleId="11">
    <w:name w:val="正文文本1"/>
    <w:pPr>
      <w:spacing w:after="120" w:line="360" w:lineRule="auto"/>
      <w:ind w:firstLine="420"/>
      <w:jc w:val="both"/>
    </w:pPr>
    <w:rPr>
      <w:color w:val="000000"/>
    </w:rPr>
  </w:style>
  <w:style w:type="paragraph" w:customStyle="1" w:styleId="FirstParagraph">
    <w:name w:val="First Paragraph"/>
    <w:pPr>
      <w:spacing w:after="120" w:line="360" w:lineRule="auto"/>
      <w:ind w:firstLine="420"/>
      <w:jc w:val="both"/>
    </w:pPr>
    <w:rPr>
      <w:color w:val="000000"/>
    </w:rPr>
  </w:style>
  <w:style w:type="paragraph" w:customStyle="1" w:styleId="61">
    <w:name w:val="标题 61"/>
    <w:pPr>
      <w:keepNext/>
      <w:spacing w:before="180" w:after="120" w:line="300" w:lineRule="auto"/>
    </w:pPr>
    <w:rPr>
      <w:b/>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38199</TotalTime>
  <Pages>8</Pages>
  <Words>1938</Words>
  <Characters>11052</Characters>
  <Application>Microsoft Office Word</Application>
  <DocSecurity>0</DocSecurity>
  <Lines>92</Lines>
  <Paragraphs>25</Paragraphs>
  <ScaleCrop>false</ScaleCrop>
  <Company/>
  <LinksUpToDate>false</LinksUpToDate>
  <CharactersWithSpaces>12965</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Hongen Peng</cp:lastModifiedBy>
  <cp:revision>4</cp:revision>
  <dcterms:created xsi:type="dcterms:W3CDTF">2026-10-29T11:17:00Z</dcterms:created>
  <dcterms:modified xsi:type="dcterms:W3CDTF">2026-10-29T14:37:00Z</dcterms:modified>
</cp:coreProperties>
</file>