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RW0tAEG5D2o"/>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GzcQfhVCpwSItJZsNfE2NWDLcRHADgw7PXULg-KOJNZckiW5WilJgdzaHnpq0UsfoD31ARqgfZcCTfwYnSFXslz7ELTooQZkDsnhN9_8kLMvO5aHWSdnnXffv_nzx9-yt6_fXP30NUo9a8Oi84B1HHij5lCS0igvik88OF8U_eFuf7coDsFfBmOL4uqXX9_-8NXVt9-8-_n3okhoRXEbTvMKCGoip10zBzeX0FzMB7QluA3S6IuKu8vaotKnncdNbtmiUtrnzUdFZxaCzbPMixlU3PeMBY2bE-MqHnDqplljXGmdEeC91NNKZYOtrQ-yiktddPYI7dTF4TwsFbAmn3OFuE8rPoVRMk962UqDdC8B7LHU4OP6xqzJveUCzSCOwiUEGuxsFZ12elYrWuJ1MC1mq04npS5RbSKdD8fp6FarhDuJQGKa_rXykdHB4znuhZR45rmswLNn0LAzU3EdTc_2tb9zL6ImCAIbx_k4iqPkWxyR5ot1YAY7K-ov0vFEJFBOojvE3GKJYCIBVY_ktMf67BXbR68xKVAy0GU3mC4O7Ah9--P1dyc8iBmOB7VUGAXjLifKNAzTyBwIo31wtQgUVyWnHM9Z49GViTMVE25puk9OWMkD7xGjkHj9p6H6FwFh_wOOz2fApLY1cuEOGNcMFhYcGtSBq-uQAzIJS1ZxyygrIMMMHOO4gQmSlGtMH9iAeUwprBHNkMYd6zwViBRcKcQ0JSiFCOMlG6G9fdwc9GLBMGUEFpJnAo1KzDusysLBFO-rZ_fGyow9O-hTTQ3vMy6c8Z4hu03OPRbrjk2kCviCsQlXHrqRuZwDw3iUUoQISOAcH5ApyhhSWW7YXhkNZkVDopGAIEjxnoMYVx2SK-cnT4-fnN9nDYZK6sjI4_vHTg8P8F4Et_wQWUdzBwMmlaoxPmQkNIaV0uMdEIFRaH3LB2HXIK3d5QPWYB6AYwSGbE3Ax7B_DoKo_J1-j6W7J0w1prcsgrYRgOvAxhsXc0AORKWKYgg3nI5aKbYYlCloSD7MHEC3pCryiIaFdOM21_Q-J2dAJZaVQaFW3LHSiMu4bYy6ecvpYdzrfIbdYt0lOsOH29s7_eGiv7vTf_Tw0avHVoocf23j4O_VOErHm1sdo0VArH-Cgceo1Ncw7r1AzGQiBRwaUdP9S0gOFI-lOZPW0-UmD_X8VAq62jQRz-anGDfwgqyM8iy26Sx26axt0tlmj84CVBbd1DUekTZcYENGsv6iXM62v1gs-llauNiiv37P6ik6IktE72-jRH0c5dOVj5iaNY9rSokgpwgeY04902Y043oK-84ZLFteegIkvNWGt1gNaRExr49uGEio2a0gjJW0R3iNyCLJ8XwSeI5XC7BGScQnQJ2hlbh_Y7JWym7i0cxjR2bj5gSfqo22zvPFxFU0YuLYIjVytlw39LhO27AITNB-W66oJUitrdpWGbXiuAK1-IHwMeAFIwG18SUNySyfH_ukey2ttGlfm0Q9uxZ5rjSj76jd4WCYUO7Uorw8iZ8hGzLPA5dqtbwpK93Gy9t1XvC31_nyL41IrmY" id="12" name="Picture"/>
            <a:graphic>
              <a:graphicData uri="http://schemas.openxmlformats.org/drawingml/2006/picture">
                <pic:pic>
                  <pic:nvPicPr>
                    <pic:cNvPr descr="C:/Users/15919/Desktop/论文草稿/temp/manuscript_figures_dyh3qxx1/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Ra1tQB3TQld"/>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ascii="Times New Roman" w:hAnsi="Times New Roman"/>
          <w:sz w:val="24"/>
        </w:rPr>
        <w:t xml:space="preserve">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rPr>
          <w:rFonts w:ascii="Times New Roman" w:hAnsi="Times New Roman"/>
          <w:sz w:val="24"/>
        </w:rPr>
        <w:drawing>
          <wp:inline>
            <wp:extent cx="5733415" cy="4549160"/>
            <wp:effectExtent b="0" l="0" r="0" t="0"/>
            <wp:docPr descr="Fig. 2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uses the binding site, SMILES identity, pocket and density information with downstream docking tools to reconstruct an all-atom ligand pose. PocketXMol-tuned is the default option." title="MDPPTFIG_eJztWN1uHDUUfhVrr0Da3UmySSGjEinND6qUVFGSIiQGRR6PZ8daj21sz_6UIvUOccEViBtegCseACR4FyTaPgbn2DOb3SYXVVEQkRop659z_J1jnz-Pv-4Z6qteSnqvfvz975__SE65r3Tx8gUOhsb4ea9PepY7Lae8QL6DNMueOm5dlm3u7G7uZtkhdxOvTZa9_vW3lz99-_r771798meWRcAsuxVR0ZojWinGgzowDKYfI4FR44VWVzW1k8YAyxe9h7PUkHktlUtnn2S9ynuTJoljFa-pG2rDFRBLbWvqYWjHyUzbwljNuHNCjWuZbG1sPEhqKlTW20O0MxuaC7-QnMzSKZWA-7imY34QxSNf0nEg74RzcyIUd2F-ZTRLnaEMxACOhCkA2treyHrt8LyROEUbr1vMlh1XClUAWyms8ydx6UbLBJSoQNQ0_rT9Y628g3XUMSFgzaWouSNP-Iyc65qqILraV-5WWkCNEAiWh3Eeugdxb6EFNZ8tD2Zru1P9WVweFfFok7Ad1NyAj3A75cB6LMZDskWeg1wPppgQalklPGe-sZxQ2HRBPSWl1DOiS-IrTk7EGOYvOJ-QY9j7Xy9-OKWeVdA-aoQsSGnBXxBriAr4qMadnsy_2D_5r3S8E-vRe3DC_eAlhCumC5BRcJDoF8G1LGfceG2JUDElQDQTrwnkg6JhnDBgEuB_nMjgc7BgDCyOfJBLnTtYdg_2v-5hdaohWqo2RdZvlSJ1WQrGDzVraq58lyB9hXrUqbtoDLYcf4KEoBEQmCV1q3Shm1zygfO2YZOgf6AHNjBGx2Y6kl-EtkXye-c48nEu_AZpLkpueUZv8gRy0mmYtFv_v9rpw-CStJkLKahdkJJTzIFuSC4h6S1dldc5LwqsIRWn126Na2G_RgoceF3DigCufHBrgNkno0My1XMuydMBpNuw5kwL5cmlpcqhybkln40I03UONebWWBkE8E65QCobC3nZtrpgjq5BmiL70lT0WMtiBIbH6gkYCyZR95qziirhagK53oKGUy4XQC-xUEL88UKwoDahzGrnSK7BaXNQE9zUvU_sd53Y83twwn0S6j5hksLdrUTHXyZs8BtHwKH52OoGXBQCJ6ds0o5CoMGaMfhXm9kF-LoXXvAuUGKILMOLSM2obMMHXNIMIXQ0-nKfBA-FuPAIARUE8Y7FySnUBw8KYP0wmk3aiMPSsVZwZgJc-2bcwz0GAi3ULsDR4epzXZDWozvmiHYPi1Zr28WxI7WWnDWSWgLqmGopo08uTh8PLo8OiaRq3MCd9s20QVYOZwGAsKO5DyoLFVRycNkiZ4ePQKi3Czy8lWMPKaqN5jV7QIXNaQ479ot-EMG0w4zjmLaYH9oKvGLRgdeDpR41Gh75kP99Prj7fMDuwQn3Sbz_Nw4koGuC74dCCTWMB08_ObpY-nJ_NSa7QncjLAs9U3Bp4bSGLpsgmoewd3hLhGqmVbjRIAihUsba2GYUox3HJIFCPj_VcuAbxSGWom4FL2kjPdHhE3LdgfFbbq_3JXzgLj9sezsfjUbbmzvz7Z3t3c0HG88fGsFS-G8vcvStLnKFpbMbH7ktAmC9CwYsw0yyhLHvfKO0XMaUUwnj0PK4QzU9EwztjgP2ZHpm4eTg4ghSDtIkPC0k4WUhaR8WktV3hcTz2sA2VQNLhPFXpRhj2rsqFtXoq_l8M4kTVxv4tzU0agwbEQWgbz6AHj48QP-s2yOYZqnHtUpRQYoneALWdkTpA7jcjPm-tXqGKdAhIOJ1BGfgAzdOAub10hUBETW5cQi5FOZYSIkSsR_Wxw5N0VUhM2K3BJ5zkBLoa4MlU7KOhyNn4ITz2SmUj5WXCJrOS1tjC4Yj8_j2QBbLN4gwj2SsDQzprbsCF0O21mtbZuAKbQdqrPOfcogc7AA3BJaPYun0xEXe617HjXSlo-rJdZemEmIXUHZ3tnYiyq1caJej8HKy0qepp0J206t9qdrzcmZpF_jf633zDyffowY" id="15" name="Picture"/>
            <a:graphic>
              <a:graphicData uri="http://schemas.openxmlformats.org/drawingml/2006/picture">
                <pic:pic>
                  <pic:nvPicPr>
                    <pic:cNvPr descr="C:/Users/15919/Desktop/论文草稿/temp/manuscript_figures_dyh3qxx1/figure_000002.png" id="16" name="Picture"/>
                    <pic:cNvPicPr>
                      <a:picLocks noChangeArrowheads="1" noChangeAspect="1"/>
                    </pic:cNvPicPr>
                  </pic:nvPicPr>
                  <pic:blipFill>
                    <a:blip r:embed="rId14"/>
                    <a:stretch>
                      <a:fillRect/>
                    </a:stretch>
                  </pic:blipFill>
                  <pic:spPr bwMode="auto">
                    <a:xfrm>
                      <a:off x="0" y="0"/>
                      <a:ext cx="5733415" cy="454916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Network architecture and data flow of the LigandSeek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 encodes density and receptor information to produce candidate ligand regions (blobs in</w:t>
      </w:r>
      <w:r>
        <w:rPr>
          <w:rFonts w:ascii="Times New Roman" w:hAnsi="Times New Roman"/>
          <w:sz w:val="24"/>
        </w:rPr>
        <w:t xml:space="preserve"> </w:t>
      </w:r>
      <m:oMath>
        <m:sSup>
          <m:e>
            <m:r>
              <m:rPr>
                <m:scr m:val="double-struck"/>
                <m:sty m:val="p"/>
              </m:rPr>
              <m:t>R</m:t>
            </m:r>
          </m:e>
          <m:sup>
            <m:r>
              <m:t>3</m:t>
            </m:r>
          </m:sup>
        </m:sSup>
      </m:oMath>
      <w:r>
        <w:rPr>
          <w:rFonts w:ascii="Times New Roman" w:hAnsi="Times New Roman"/>
          <w:sz w:val="24"/>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Build uses the binding site, SMILES identity, pocket and density information with downstream docking tools to reconstruct an all-atom ligand pose. PocketXMol-tuned is the default option.</w:t>
      </w:r>
    </w:p>
    <w:bookmarkEnd w:id="17"/>
    <w:bookmarkStart w:id="74"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t>​</m:t>
        </m:r>
        <m:r>
          <m:rPr>
            <m:sty m:val="p"/>
          </m:rPr>
          <m:t>⋅</m:t>
        </m:r>
        <m:r>
          <m:rPr>
            <m:sty m:val="p"/>
          </m:rPr>
          <m:t>|</m:t>
        </m:r>
        <m:r>
          <m:t>​</m:t>
        </m:r>
      </m:oMath>
      <w:r>
        <w:rPr>
          <w:rFonts w:ascii="Times New Roman" w:hAnsi="Times New Roman"/>
          <w:sz w:val="24"/>
        </w:rPr>
        <w:t xml:space="preserve"> </w:t>
      </w:r>
      <w:r>
        <w:rPr>
          <w:rFonts w:ascii="Times New Roman" w:hAnsi="Times New Roman"/>
          <w:sz w:val="24"/>
        </w:rPr>
        <w:t xml:space="preserve">denotes the number of voxels in a region.</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w:t>
      </w:r>
      <w:r>
        <w:rPr>
          <w:rStyle w:val="MDCITE_eJyLdsguzcgztDQ1zSjNS08sykzMiwUASXEHQA"/>
          <w:rFonts w:ascii="Times New Roman" w:hAnsi="Times New Roman"/>
          <w:sz w:val="24"/>
          <w:vertAlign w:val="superscript"/>
        </w:rPr>
        <w:t xml:space="preserve">15</w:t>
      </w:r>
      <w:r>
        <w:rPr>
          <w:rFonts w:ascii="Times New Roman" w:hAnsi="Times New Roman"/>
          <w:sz w:val="24"/>
        </w:rPr>
        <w:t xml:space="preserve"> </w:t>
      </w:r>
      <w:r>
        <w:rPr>
          <w:rFonts w:ascii="Times New Roman" w:hAnsi="Times New Roman"/>
          <w:sz w:val="24"/>
        </w:rPr>
        <w:t xml:space="preserve">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480" w:lineRule="auto" w:after="120"/>
        <w:ind w:firstLine="480"/>
      </w:pPr>
      <w:r>
        <w:rPr>
          <w:rFonts w:ascii="Times New Roman" w:hAnsi="Times New Roman"/>
          <w:sz w:val="24"/>
        </w:rP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ascii="Times New Roman" w:hAnsi="Times New Roman"/>
          <w:sz w:val="24"/>
        </w:rPr>
        <w:t xml:space="preserve">bidirectional coverage threshold.</w:t>
      </w:r>
    </w:p>
    <w:p>
      <w:pPr>
        <w:pStyle w:val="BodyText"/>
        <w:spacing w:line="480" w:lineRule="auto" w:after="120"/>
        <w:ind w:firstLine="480"/>
      </w:pPr>
      <w:r>
        <w:rPr>
          <w:rFonts w:ascii="Times New Roman" w:hAnsi="Times New Roman"/>
          <w:sz w:val="24"/>
        </w:rP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18"/>
    <w:bookmarkStart w:id="25" w:name="stage-1-results"/>
    <w:p>
      <w:pPr>
        <w:pStyle w:val="Heading3"/>
        <w:keepNext/>
        <w:spacing w:line="480" w:lineRule="auto"/>
        <w:ind w:firstLine="0"/>
      </w:pPr>
      <w:r>
        <w:rPr>
          <w:rFonts w:ascii="Times New Roman" w:hAnsi="Times New Roman"/>
          <w:sz w:val="24"/>
        </w:rPr>
        <w:t xml:space="preserve">Stage 1: Results</w:t>
      </w:r>
    </w:p>
    <w:p>
      <w:pPr>
        <w:pStyle w:val="CaptionedFigure"/>
        <w:keepNext/>
        <w:spacing w:line="240" w:lineRule="auto" w:before="0" w:after="0"/>
        <w:ind w:firstLine="0"/>
        <w:jc w:val="center"/>
      </w:pPr>
      <w:r>
        <w:rPr>
          <w:rFonts w:ascii="Times New Roman" w:hAnsi="Times New Roman"/>
          <w:sz w:val="24"/>
        </w:rPr>
        <w:drawing>
          <wp:inline>
            <wp:extent cx="5724762" cy="6353811"/>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N2OWzUQfhUrEhJISc5PNvuTlkpLtosqLSXatlcctHJ8nBxrfWzXdv5KuUZccAXiBsQ1VzwAleBpaPsYzNgn2XRbQQXai0gbKTm2Z_zNeOzzZTxftQz1VWtAWq9-ePHXT38kztMpz169-P7lLz93jfHLVpu0LHdaznmJesNBUTxx3LqiyPpH2VFRnHB36bUpite__f7yx29ef_ftq1__LIoIWBTvRFS05ogWhZ2aCtVxYmmo4hLljBovtLqoqb2cGdD8onV3MTBkWUvlBouPi1blvRkkiWMVr6nrasMVCCfa1tRD106ThbalsZpx54Sa1jLJ03Q_QVNF6x6ijWx4PPIrycliMKcScB_U4NEwmke9ZK2BupecmzOhuAvjW73FwBnKwAzgSBgCoHwvLVpN93wmcYjOvG4wG3WcKVQJahNhnT-LU9NGCSTRgehp_Gnap1p5B_OoY0LAnMei5o485AtyrmuqgunqWLl3ygJqhECwceiPQ3MY1xae4OazTWDyvbXrz-L06IjHPQnLQc8NHBVu5xxUT8W0S3rkOTkTU6rKjuVTCCkpuecMg0vGq0b0iPPLzikstou4PqLf6IL_x7LIDvh4Laxk5sBSyY12wvOSaEuGdqWPva5z2BamlfN2xlAEPW48KMSRGWASgCLCEaZrQy3oLISviK84IMJK_KqjlVyRMXUcjzq5X1OTSzGNO0oeg6LkEw_z5axWxFV6AZhSEhm8dOTD7OCIjE4-IVx5K7hrk7zdT3MiwC2q4PX96E4wZ8W08s38YNLVCFNryRm8XwB0tPcmzmGebaHcnq6bfuXpDkS4vQM-7vYpGO9AhNtkxG0HyeJEME4c02um04p3vAZO42R0fvxkSKgH9gFppSWQlZ6QtNsLmmm33yX3rQW2HFPrAjORo_4HQDkezFDpCKQjgbpqThWZWF2TLG2naUrGWnugWGqAcR2tDdIXQG-x1y1b3fQ5ZTsQ4Vu2uulTUO5AhNvAUpCZ-SYHEw4yNqSLt_M8vIH8W27nYgZ3LU-7jmW4xcuUI2Pugc7ajW06hsQLWA0uV44DWZIsy5O9NMkPtskrEN92jod8CVq9_SQ7DMJruVsbedDgxWDO5eqW-2761PMdiPAt9930KZjsQITb5POrjAzGmXBYPEBCgQ6SyHaC1uRnkJdRVhGjIRUDtQCHqwlZXUNTqzsEi0ZkUcGlmDBhmWxSQF8JdhlzOmBCwSjIYxZXChpNhxTv6YxaLyTcTKma8n-iMKzh3Gt92SatTUGr1T_I9w728-V-r987zLLnd41gA_g2NS76XjWu0tLFW8WtBgGw_gsGTMN7_wbGvheInkwgkT7RbFZDcCOS5ZJipcdVwjjcdVyhmo8Ewz3HDns4H1lScsfQynCQhMpiEgqLSVNXTLbLionntYFlqhlMEcZfTMQUixQX5arqPV0usyQOXKT46XWNmsJCRIkHL4MW1h2hPVqvEbZm48eVS9FBihE80-zSEaWHFe7xMWT7i4rT0gFIwFsLws7HQcC8mrplIKImbwVhLIU5FVKiRWyH-bFBB_DvzT2rsDkBnXOwEuRvdDZKyZt42HMGIjxefKbL7QokHSwntsYnbBxZxpojWW1qj2EcxXwJWQfKm-MKWgzVmlPbKINWeK5BjXX-Uw7XHWyANiYv0Sydn7moe9Vaa6Nc6eh6ctWkAwlvKaAc9fN-RHmnFu7L_VAx3WrTgadCroe321I18XJmsy_wvdf6-m_12tum" id="20" name="Picture"/>
            <a:graphic>
              <a:graphicData uri="http://schemas.openxmlformats.org/drawingml/2006/picture">
                <pic:pic>
                  <pic:nvPicPr>
                    <pic:cNvPr descr="C:/Users/15919/Desktop/论文草稿/temp/manuscript_figures_dyh3qxx1/figure_000003.png" id="21" name="Picture"/>
                    <pic:cNvPicPr>
                      <a:picLocks noChangeArrowheads="1" noChangeAspect="1"/>
                    </pic:cNvPicPr>
                  </pic:nvPicPr>
                  <pic:blipFill>
                    <a:blip r:embed="rId19"/>
                    <a:stretch>
                      <a:fillRect/>
                    </a:stretch>
                  </pic:blipFill>
                  <pic:spPr bwMode="auto">
                    <a:xfrm>
                      <a:off x="0" y="0"/>
                      <a:ext cx="5724762"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threshold of 0.3. Each point represents one PDB entry; open white circles and thick bars indicate the median and interquartile range, respectively.</w:t>
      </w:r>
    </w:p>
    <w:p>
      <w:pPr>
        <w:pStyle w:val="BodyText"/>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ascii="Times New Roman" w:hAnsi="Times New Roman"/>
          <w:sz w:val="24"/>
        </w:rPr>
        <w:t xml:space="preserve">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directly against Emap2lig-Find using</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outperformed Emap2lig-Find on 112 structures, performed comparably on 40 and was inferior on only 27 across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demonstrating a substantial overall advantage. Emap2lig primarily targets small-molecule identification and modelling, and its detection performance was better for small molecules than across all ligand categories, as shown in</w:t>
      </w:r>
      <w:r>
        <w:rPr>
          <w:rFonts w:ascii="Times New Roman" w:hAnsi="Times New Roman"/>
          <w:sz w:val="24"/>
        </w:rPr>
        <w:t xml:space="preserve"> </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59712"/>
            <wp:effectExtent b="0" l="0" r="0" t="0"/>
            <wp:docPr descr="Fig. 4 | Ligand-instance detection by LigandSeek-Find and Emap2lig-Find. a–c,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 title="MDPPTFIG_eJzVVt2OWzUQfhUrUqVWSnKSbELZQ6m0pN2qUqhW23LFQSvHZ5Jj7fFPbeevFIk7xAVXRdyAuOaKB6ASvAsSbR-DGfskm93tRQUqEitlz9j-5pvxzNieL1uWh6qVs9br71_-9ePvmQ98Dv3XL1-8-vmnrrVh3WqzlgNv6iWUhBvnRfGZB-eLoj867B8WxT3w58HYonjz62-vfvjmzXffvv7lj6JIhEXxVkbNFRDbTOqyY3S96UiNQC2gI4yyNQRpNAEFtySeKe7OFxZVPm_dWeWWrVWtfb76uGhVIdg8y7yoQHHfNRY0Ls6MUzzg0M2zlXGldUaA91LPVZ0Ner0PMsWlLlp3ie3Exc_jsKmBrfIlr5H3oUK_x8k84bItgrDnAHYiNfg4vzda5d5ygWaQp8YpJBoMe0WrGZ4uaprii2AazgZOmhgLhM2k82GSVHsNCFeSA8nT9K-Rj40OHvW4F1KizhOpwLNHsGKnRnEdTVdH2r91LbImCiKbxvE0iuO0t_hFN5_tAjMYbl1_ltSTI4FyErdDnlusGXBLQOixnHfZkD1nEznnmO5tplkJAQSFl003zeJjgPPOMQUCB-y-4nZQy3mc6ZKtkCy-1yD8i62y_8rH95Io_ufXL8T_IMptdlTXrI4F49nN_u1DdnLvE99mg_aoN2Db-vK3uqzELc3a7LHiqKFMDQIPoGd047Cbh8NG78NB_5LWBGYhFqCSZVlD-1pxrmSosHyt8TJAyRwIsME4dObBk1tRc-w25igYNejgokFutxBXoOOjwa02TnhLp2AJ9abLTuW8Cu0rhc-eVMDWHb6WnvnKrDwLOKEXagqOmRkTaFCWPODGYM0VXh1kp-ZEyoKJaAczcECnbnf8hFnowCxyYBQ-Yv1e7wbuSZvI83TB64Twyf7mqn1UFKDpcicfSumD1CJcxLE53oD-P3AAmtH952NwhHSC0kBkkQsd6CSTCrhuR9C0XsCeTim5MpTvnZICnNORfcOskVSbhFxKg2oNEJmjb05OF3TVICRcBGcXuWartJNR70Y7BgPriUJClAcoXL5_6DK-2_oCX6jdy9Qa3T44GPZH6-HB6PB2f_D8jpUix1_zWPF3eqxKx1fXXqmGAbn-CQeqhYWDHY17JxIzm0kB94xYKExzYkqBwyhW0no6tLRDvTyRgo4sDcSj5YnD1HtBVsZ5FnuFLLYKWdMpZPuNQhZAWdymXqCKtOFsJuforD8rN9XB0_W6n6WJsx79DbtWz3EjsmzuDUadBMon2z1ianZ-XLiUHOQUwYkR555pM664nsORc2ZVAS89kvSJb7sQj2WaRM4L1T0DiTW7FoRpLe2xrGuySHLUTwLPsRYhiIrEGWJO0UpcvzTYgbLLfDTy2AWw6epTU-63Ejxfz5yiLyaOrVPzwDa7JiLO0zKsAxO03pQrogTBmqptwIiK3y2pxabkARjFSEA03mMhmeXLiU_YC2mLpnVtkuvZhcjzWjPq3Q5Hg1FieSuK8nI_tj57Ms8Dl_V2el-udRMvb3d5wd_d1ld_A2RZyCM" id="23" name="Picture"/>
            <a:graphic>
              <a:graphicData uri="http://schemas.openxmlformats.org/drawingml/2006/picture">
                <pic:pic>
                  <pic:nvPicPr>
                    <pic:cNvPr descr="C:/Users/15919/Desktop/论文草稿/temp/manuscript_figures_dyh3qxx1/figure_000004.png" id="24" name="Picture"/>
                    <pic:cNvPicPr>
                      <a:picLocks noChangeArrowheads="1" noChangeAspect="1"/>
                    </pic:cNvPicPr>
                  </pic:nvPicPr>
                  <pic:blipFill>
                    <a:blip r:embed="rId22"/>
                    <a:stretch>
                      <a:fillRect/>
                    </a:stretch>
                  </pic:blipFill>
                  <pic:spPr bwMode="auto">
                    <a:xfrm>
                      <a:off x="0" y="0"/>
                      <a:ext cx="5733415" cy="435971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Ligand-instance detection by LigandSeek-Find and Emap2lig-Find.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w:t>
      </w:r>
    </w:p>
    <w:p>
      <w:pPr>
        <w:pStyle w:val="BodyText"/>
        <w:spacing w:line="480" w:lineRule="auto" w:after="120"/>
        <w:ind w:firstLine="480"/>
      </w:pP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 </w:t>
      </w:r>
      <w:r>
        <w:rPr>
          <w:rFonts w:ascii="Times New Roman" w:hAnsi="Times New Roman"/>
          <w:sz w:val="24"/>
        </w:rPr>
        <w:t xml:space="preserve">shows the number of ground-truth instances recovered at different candidate count thresholds. At equal candidate counts, LigandSeek-Find recovered more ligand instances than Emap2lig-Find</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relative candidate count of 100% limits the number of predicted candidates examined to the ground-truth instance count in that PDB. At 100%, mean detection completion across all ligands was 55.6% with CA2 and 66.4% with GT, compared with 25.9% for Emap2lig-Find. In the small-molecule subset, the corresponding values were 59.8% and 70.5%, compared with 44.2% for Emap2lig-Find. At 300%, the candidate count limit was three times the ground-truth instance count. Small-molecule completion reached 68.5% for CA2 and 73.3% for GT, whereas Emap2lig-Find reached 51.6%. LigandSeek-Find therefore concentrated more true ligand instances among the highest-ranked candidates under both receptor conditions.</w:t>
      </w:r>
    </w:p>
    <w:p>
      <w:pPr>
        <w:pStyle w:val="BodyText"/>
        <w:spacing w:line="480" w:lineRule="auto" w:after="120"/>
        <w:ind w:firstLine="480"/>
      </w:pPr>
      <w:r>
        <w:rPr>
          <w:rFonts w:ascii="Times New Roman" w:hAnsi="Times New Roman"/>
          <w:sz w:val="24"/>
        </w:rP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Low precision directly depressed the semantic Dice score of Emap2lig-Find. However, true-positive instances generally ranked above false-positive instances among its predictions</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Both the detected instances ratio and one-to-one PRAUC are strongly influenced by candidate ranking quality, and their scores were somewhat higher than semantic Dice. Because downstream tasks cannot tolerate overwhelming candidate pools, inflating recall at the expense of precision is impractical. In contrast, LigandSeek-Find balanced precision and recall effectively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p>
    <w:bookmarkEnd w:id="25"/>
    <w:bookmarkStart w:id="29"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Three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LckoSk1NTixO1c1NzMyrSXzUMDm5thYAJ60Pyw"/>
          <w:rFonts w:ascii="Times New Roman" w:hAnsi="Times New Roman"/>
          <w:sz w:val="24"/>
        </w:rPr>
        <w:t xml:space="preserve">Fig. 5a–c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LckoSk1NTixO1c1NzMyrSaytBQDqeQ1z"/>
          <w:rFonts w:ascii="Times New Roman" w:hAnsi="Times New Roman"/>
          <w:sz w:val="24"/>
        </w:rPr>
        <w:t xml:space="preserve">Fig. 5a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LckoSk1NTixO1c1NzMyrSaqtBQDqfA10"/>
          <w:rFonts w:ascii="Times New Roman" w:hAnsi="Times New Roman"/>
          <w:sz w:val="24"/>
        </w:rPr>
        <w:t xml:space="preserve">Fig. 5b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LckoSk1NTixO1c1NzMyrSa6tBQDqfw11"/>
          <w:rFonts w:ascii="Times New Roman" w:hAnsi="Times New Roman"/>
          <w:sz w:val="24"/>
        </w:rPr>
        <w:t xml:space="preserve">Fig. 5c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LigandSeek-Find retained its main detection and coverage advantages in these cases when deposited receptor structures were replaced with receptors automatically reconstructed by CryoAtom2. With reconstructed receptors, the instance Dice scores for 9UWI and 9WUP were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LckoSk1NTixO1c1NzMyrSXzUMDmpthYAJ6oPyg"/>
          <w:rFonts w:ascii="Times New Roman" w:hAnsi="Times New Roman"/>
          <w:sz w:val="24"/>
        </w:rPr>
        <w:t xml:space="preserve">Fig. 5a–b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For this ligand instance, the predicted region extended beyond the ligand, reducing precision from 0.607 to 0.396 and the Dice score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LckoSk1NTixO1c1NzMyrSa6tBQDqfw11"/>
          <w:rFonts w:ascii="Times New Roman" w:hAnsi="Times New Roman"/>
          <w:sz w:val="24"/>
        </w:rPr>
        <w:t xml:space="preserve">Fig. 5c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three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rPr>
          <w:rFonts w:ascii="Times New Roman" w:hAnsi="Times New Roman"/>
          <w:sz w:val="24"/>
        </w:rPr>
        <w:drawing>
          <wp:inline>
            <wp:extent cx="5733415" cy="5311037"/>
            <wp:effectExtent b="0" l="0" r="0" t="0"/>
            <wp:docPr descr="Fig. 5 | Small-molecule region detection under different receptor conditions. a–c,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l-PGzUQ_ypWnqiUZJPchXJLqRRyPah0PUXXVn1g0cnxTrLWedfGdv6VIvEEQgLxAOoLHwCe4B0k-C5Ipf0YzNibP-3lpApUJE7Kre2Z-c1fj-fThuG-aKSs8fz735798HviPJ9C99m3v7z48YtnXz9tG-OXjSZrWHBazSEn1mGaZQ8dWJdl3f5R9yjLjsFdem2y7MXPv_719MsX33z1_Kc_sixiZtl1oBUvgQAjveULCyC4g1bJZUUMghsvdXVRcns5M8j6UePWIjVsWarKpYv3skbhvUmTxIkCSu7a2kCFxIm2Jfe4tdNkoW1urBbgnKympUp6nc7bCWnIGrcJbWTD575fKWCLdM4V4t4t0aRhVE98yZqDeC8BzKmswIXznd0idYYLVIM4Co8QqHfYyRr19nym6IjPvK4xa3aSlFWObBNpnT-Nop2aCSnRgGhp_FevT3TlHcpxJ6REmQeyBMfOYMHOdcmroLoYVG4vLaBGCAIbh_04LIfRt_BFMx9vAtM7XJv-OIpHQzzlJLhDlhssF7BzQNYTOW2zPnvC7pdcqVapFQgMA7MwxdCyHDwICjKbVTlYlsvJBCxUHhkEGK8tE7rKJbG4Nin0Ue0bjcS_8Jf9Vza-kWzxPz__TvwPotxkosBKch6sVkxW7Ojho7vsreHpeZO9n_Y7vRtNdjY4Hn0YaI8ejthbZ8ejJhuk3W7n8AbjeNmQHKjn90gyPex0UQhVGCrIOahVmz0ogCmYeDaX6IWeMOCiYFYvmCv0wjGP9MlMKazR0ihYsoX0BVNySvixwh1Ds3MpPORsvGKngXYf4LJ1Qjd-Rk0p4ORgtJPEtq78NhuwsV4y6n5RlwO8PcRSqxgjBMmTHMOmF5nkkgmlsY3OTDDcMbxeRLFyWvjoFXbrV_y4qr8Zzod2pQdel72dc9L9skxtUPBfYoVMrcYL3fJ29mpAmmxidRnD6vWuTWPtUU8wi-LJMRdX4hUUXGfutczX-XCn5KaH1gX2_YYNMLvhYVrnkXpVjCrFLkYc37GrsaAfLA1YvAaV5wo58F74uqxCo2d-oa_i8jz2O-yXq62SLT4BbzxqoUdYZRhosRsMt6-U91QGFU0oanp3sRph65C2kuwOhpFKJ7iCNjtfa2CYIPK18JhtAEzsPm-ZjIFCDJQgzhXDtlC8y8ZqBgwqNA9f7TqamwLfXpr6GsWEGTQhYLT2SV9fdK88HfSY3m58jBPGZrJo9G8eHBx2-8v-AbaIg5tPbhkpUvzVwwZ_rWEjt3xxZcqoERDrn2CgmJ9Z2MDY1wLRk4kUcKzFjNIRkSyokE1XSOOo35KH1XwkBXVb2oiz-QjfYHCCtAzTJIx5SZjyknrIS3ZnvMRDadDNaoYi0viLiZyise4iXxUHnyyX3SQeXHTor9821RQdkTm1_HdwRRMgrkdrHzE1Gzu2JkUDOUXwVAvshZUeFryawsBisyiA5w5BuoS3JoTSj4eIuRXdURBRkytBGCtpTqRSpJHWQT4ueIoXDbwoaDlBHrwMPtBf2myYkpfxaOdwimPjxT2d746CPF1ObElfTBxbxuGPrTZDYDgnMiw9E0SvyxW5BLHVVVszI1f4rkEN9poPAJsbLZAbu4SPavn81EXe7WrNTfRKR9OT7ZKnqmI0ex_1e_2IspeL8nInjK47a556LtX6eHetqjpezmzygr_bjc_-BqWkcqE" id="27" name="Picture"/>
            <a:graphic>
              <a:graphicData uri="http://schemas.openxmlformats.org/drawingml/2006/picture">
                <pic:pic>
                  <pic:nvPicPr>
                    <pic:cNvPr descr="C:/Users/15919/Desktop/论文草稿/temp/manuscript_figures_dyh3qxx1/figure_000005.png" id="28" name="Picture"/>
                    <pic:cNvPicPr>
                      <a:picLocks noChangeArrowheads="1" noChangeAspect="1"/>
                    </pic:cNvPicPr>
                  </pic:nvPicPr>
                  <pic:blipFill>
                    <a:blip r:embed="rId26"/>
                    <a:stretch>
                      <a:fillRect/>
                    </a:stretch>
                  </pic:blipFill>
                  <pic:spPr bwMode="auto">
                    <a:xfrm>
                      <a:off x="0" y="0"/>
                      <a:ext cx="5733415" cy="5311037"/>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Small-molecule region detection under different receptor conditions.</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31"/>
    <w:bookmarkStart w:id="38"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tvHDUU_itHK1WiYrOzs7ckS6kUbRJUKa2itIgHBkWOx7tjZcY2tmdnt5RXEEJISCBeQLzCC_wAKto_Qy8_g3PGs5feaEXFA5E2c2wff-c7Fx_7s5ZhPmuNofXk-_uPfnwQOc9movfk_nePf_7p_NHDP5_-8kXv3d5fD75-9Nu3HWP8otWGlhVO53OR0r7JOEk-dMK6JImH-_F-khwKd-m1SZKnv__x-Icvn37z1ZNfHyZJMJAkb2RBsUIQelDesSxldscwaWmRM-OlVucFs5elQbWPW9eqsYFFkSs3rt5PWpn3ZhxFjmeiYK6jjVC4ONW2YB6HdhZV2qbGai6ck2pW5FGv2x1FBZMqaV0ntFNbf277ZS6gGs9Zjrg3CqQzCeZJL1ppkO6lEOZEKuHq-a1RNXaGcTSDODlOIVBv0E1azfCszGmKlV43mI067ZQqRbWptM6fhK3dRglXAoHANPxr5GOtvMN9zHEpcc8dWQgHt0QFZ7pgqjadHSj30rUaNUAQ2EU9vqjFSfCt_iLNu-vA9AYr6nfD9kDEU05qd4i5wboRdi5Q9VjOOjCCe3CsrZhZXaKbxzEw_ORyRh-ZCuWlXwKmjGcUPMZ5aRlfgp6CYDyDQqcih0r6DFJhtJNepGAFF8Zr6-AddrUGnNilPvC6wDISXCvnbcmf07y42iHWPnD_T8P5FkGD_wHHSa75ZSWdgKnVBfhMAPaCdi04uQC2QMsu0xXoubAsz-H2zRsnR7fb4AoaFToXHA-Ew4lyxix-p9sl0oZCeJYDHkBXZ9dgDrFWXAfOWCpxBXmXaMMyNWtI9LpXkATE3e6VDnz0inJpQ9weDWPgCCpT5glCfFpKK4DnDLvEVHJG5762uirKNhVjlUmsxrjd6-8BQ_0N4Q7cyTA0wHVhLAWlv7f_oqO9vcHa2eFo8LyH8crHhvxr67l2ZbD_Nq7Eo-5rXRnsvcSV3d2NK_1_cuW0yRsda8T3ZAq0ypfQ7XT3rhCZVSdAF5nCTo1SXUfTEo2iX8wJ_x7OSMo2OYeuzrRdQsUcKO2BpakkP5HkEoSy6JtI2xgMV-aeWgoCMqALAHt8wwwwXB6hHHI8lKzQKiXDKYVMwNHNo7ODk8OdG4db7YjiSCoCrxnqWiEsO6uwBETk2gZGNT_DXNWO0gkAKkPKjy-tIkpYvhKr2gq0SNyxsE83A6gEOhq0EYZ5LJ5eg_HKRkhB7Mf9bbXX1tCz_ZCumeutT_DuXd-5reFuvz-Ih4vh7rAXjwb3rhnJx_hrrmH2Rtdwaln1wv3bICDWv8HAbRgdsYaxbwSip3goxKHmZYEZDEhW5PUxcZk0jtogeajmp5JTE6QBvzU_tRhzx8nKZBzVL6GofghFzTso2n4GRV4UBt1UJW6Rxp9P5QzJuvN0mfU_XSziKEycd-lv1DFqho7IFNH72ImB3kUon658xNSseWwoBYKMIniC7ZgOwySjfnhgra4ywVKHIDHhrRacEdyHScTcbN0yEFCjF4JwkUtzLPOcLJJc7w8CG2NlCewvJE5R5wyt1OvPDNZK0bN4NHL4voGL6ibe9VuPJDZeTG1BX0wcLMKzCJbr51E9T8tigYeZ1ptyRS2-rId11TbKqFV_V6AGn1sfCLw6SEBtPBY-mGXzExd0N9JKm9aVDtSjjcjGuQJ6le4Pe8OA8lItystR_ajbktnYM5mvprflXDXxcmadF_xdb33-Nw4-LQA" id="33" name="Picture"/>
            <a:graphic>
              <a:graphicData uri="http://schemas.openxmlformats.org/drawingml/2006/picture">
                <pic:pic>
                  <pic:nvPicPr>
                    <pic:cNvPr descr="C:/Users/15919/Desktop/论文草稿/temp/manuscript_figures_dyh3qxx1/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FgODhZmf_JpfhDMSNESGeISo-OBJ6e3p3msx0t929_86715NDBEHxRfFN9EU_gId330XMJR_DqunZP7lEDIoPLsxMddevflXdVd21n0aG-TxKILr4-un5t89i59lYdC6efvXi--9Oz5__dvnj485rnT-efX7-85dNY_w8akBkhdPFVGRkN0jS9AMnrEvTdn-3vZumB8KdeW3S9PKXX19889nlF08ufnqepsFBmt7Kg2KlIPYA3nLeajUWzm8ZJi0BODNeanVaMns2MQj9KLo3SwzMy0K5ZPZ6GuXemySOHc9FyVxTG6FQOdK2ZB6HdhzPtM2M1Vw4J9W4LOJOq7Udl0yqNNojtmNbfd7zi0LALJmyAnnfLjGkQXBPuHiJIOyZEOZIKuGq-Y3RLHGGcXSDPAVOIVGn10qjengyKWiKTbyuOWs4WUqVIWwkrfNHwbRVg1ATAgiRhlctH2rlHdoxx6VEm_dlKRzcFzM40SVTlet8X7kbdRVroCCyYTUeVuIgrK36YpgPVhvT6S1DfxDMQyCeclIthyI3WDvCTgVCD-W4CTvwEI7kmOESZSaUl34BmCCe01YxzieW8QXoEaxKAKZYbBMHPhegJuVQWFJzZJAZ8wKKK2xSuAbMpM8hE0Y76UUGVnBhvLYOXmV3gMADu9D7XpedLdRphb4m_CXk8E6TFuXD0v7T3f4Xewr_gxg__ItsNGBs9cS4kK52AzoN6DagV2Xo9yc_9IHr0ghPlXEtyahTHk8u9Nq7aNPHV7uN1nf7lXl7uwPkDp1gIEZwL6eiWDShCuZv09-oqo1rS8YaKw1DqINd-6VYe_jaxdC3u8Ftv3Wz23eV2CjZdeULpqiymQdWFBsIK8Z43TgYigJPAUI0MDg-eAPQ0C6WQVBYWhV4XtTL52DRAKfXB0o6UMyjXCC63Wq9crW46UrZiz7Ge3Z1v0b9nW631-7P-9utu63t3sN7RvIEn_rKZbe6cjPLZtfu2poBuf4JB5rhQsSKxt6KRI9GkosDzScl7k9gsqJgdKu7XBpHNU0rVNNjyamiacDvT48t1q7j5GWQxFXni6vGF9d9L95se7EXpcFlqgmaSONPR3KMwbrTbJF3P5nP23GYOG3Rb6dp1BgXIjNk7-6gRH0Q5ePlGjE1qzjWIYUAGe3gkeZnmFs9yBnelvvW6lkuWOaQpE18S0VVjGESOdemGw4Ca3xtE4aFNIeyKMgjyZV9EFiCZ0fg7U3iCDEn6KXSXxmsQPFVPho57GUwnL2js82GyJL5yJb0xcTBPLRAWKxaYTVPajH3wElflyuiOMHqqq3BiKq-S1KDrfUtoUsgAdF48H1wy6ZHLmDX0hJNeqVD6PFaZEmhgP6B7PY7_cByI4ry8mbVwDdkluBBLpbTm3Kh6v1yZpUXfPaiR38CC6dxSA" id="36" name="Picture"/>
            <a:graphic>
              <a:graphicData uri="http://schemas.openxmlformats.org/drawingml/2006/picture">
                <pic:pic>
                  <pic:nvPicPr>
                    <pic:cNvPr descr="C:/Users/15919/Desktop/论文草稿/temp/manuscript_figures_dyh3qxx1/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480" w:lineRule="auto" w:after="120"/>
        <w:ind w:firstLine="480"/>
      </w:pPr>
      <w:r>
        <w:rPr>
          <w:rFonts w:ascii="Times New Roman" w:hAnsi="Times New Roman"/>
          <w:sz w:val="24"/>
        </w:rP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38"/>
    <w:bookmarkEnd w:id="39"/>
    <w:bookmarkStart w:id="52" w:name="stage-3"/>
    <w:p>
      <w:pPr>
        <w:pStyle w:val="Heading2"/>
        <w:keepNext/>
        <w:spacing w:line="480" w:lineRule="auto"/>
        <w:ind w:firstLine="0"/>
      </w:pPr>
      <w:r>
        <w:rPr>
          <w:rFonts w:ascii="Times New Roman" w:hAnsi="Times New Roman"/>
          <w:sz w:val="24"/>
        </w:rPr>
        <w:t xml:space="preserve">Stage 3</w:t>
      </w:r>
    </w:p>
    <w:bookmarkStart w:id="43" w:name="X91e1e06dd91711c282eeed02d5c10f441569161"/>
    <w:p>
      <w:pPr>
        <w:pStyle w:val="Heading3"/>
        <w:keepNext/>
        <w:spacing w:line="480" w:lineRule="auto"/>
        <w:ind w:firstLine="0"/>
      </w:pPr>
      <w:r>
        <w:rPr>
          <w:rFonts w:ascii="Times New Roman" w:hAnsi="Times New Roman"/>
          <w:sz w:val="24"/>
        </w:rPr>
        <w:t xml:space="preserve">Stage 3: Comparison of PocketXMol-official and PocketXMol-tuned</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from the 179 PDB entries. This test set comprised a total of 446 ligand instances.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PocketXMol-tuned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8</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GLHEUQ_ivNPinc7uzu7Xq5NQbiXiLCJRyXCIIjR29P7U5zPd1td8_OboyQFxEffIoIovjskz_AgD74TwIm-RlWdc_ubbx7CEqEgAd309311VfVVTU1dZ93LA9lZ8I6z7998ucPv2U-8AXsP3_y-NlPP_asDavOHus48EYtoSDcdJLnH3lwPs8H48PBYZ4fgT8Pxub5i19-ffbdVy---fr5z7_neSLM8ysZNa-A2JKwa-ZzKSRX3VBrNIMAwW2QRp9V3J3XFqGfdK43E8tWldJ-0ryXd8oQ7CTLvCih4r5nLGgUzo2reMCtW2SNcYV1RoD3Ui8qlQ37_Xeyikudd24Q24mLj3thrYA1kyVXyPthhS5Nk3nCZRsEYc8B7LHU4OP5zq6ZeMsFmkEehUdINBz18067Pa0VHfE6mJazhZOm1AXC5tL5cJxU-y0IJcmB5Gn6065vGx086nEvpESd-7ICz-5Cw05NxXU0Xd7U_kpZZE0URDaL-1lcTtPd4hPdfLANzHC0cf1BUk-OBMpJvA55brFWwC0BobfloseusYdsairLnfRGMzNnJ0acQ_j4jlHbtDOOESgAfQ3r7qKWBRS7sFgUDLVHo3eYr7hS3cooEBhTViCMoh64P_c9cisk515rvP5FVNh_5eNrySl_AyK8x46kD07OanqFqeSwO3UH7PTOvaM9xoXAthBLxjDgomSVKUA9ffS9Z6bRzKMY_i-k111IszcgwpcLaQY-tHXkATtQwL7EPQslMGUaFHZJyKzxwHhlsMjGfSawu8mCB_A9dgq-Vng3_EwxATo46BYwl9TfBmP2x5fM2xKcFNgTbWyAnr01jbh2_zbj1gJ31A6jWZiHl2k3ehve2ZpxNugTOeglKPxQMu5MjS1XyQV1Xh5MhXZubaRXW3JyUaKp900oW0QyISk4HimBAca55hSURiKqAAyEjDFCK1O3NjfR0rDrQKBGcHWMH-7ABuMwOrfodbRG6oCnMRFUB0bDxlOJalwLIDdW4PdSDDFY9I310UxTSn-O4wliC4xjgOj8cBzKp48eH4zJeXCkJhURVFBIrqNmghxegqAfFlMtMTrrHruPbEtwIeaIryQa8pj8BX7gQllJ8S4zdVCSPOAzswSqAAx9G0sqFocGF4rcDdE37E6Jdvs5jB2JzTnaL2JOKQSBam8TAKxEwWufLrctxTYtGN3AY-61YZgSiRJnAkidUk3WyO8NV4NewUqomr67c2cqJjHsKAxY_lL87bNK48iNzqc4o21ns874YH9_NBivRqPh4ODg2sPrVooJ_rbjGn-lca1wvLk0p7UMyPVPOFAt1A62NO6VSGIe4MiIusIiSEwOFI-FXkrrqY3QDfXyRApqIrQRd5cnDmveC7IynWRxSs7ikJy1M3K2OyJnASqL19Q1qkgbzuZygc76s2Jd7n-2Wg2ydHDWp59rPasXeBFZIPtoiCuaoXF9srkjpmbrx4VLyUFOETzG8vBYE9MSCxBuOmeaEnjhkWRAfBtBLPd0iJwXqjsGEmt2KQgzJe1tqRRZpHXUTws-wVcegihpOUfMKVqJ8pc2W1D2Mh_tPM7BbNbcwddjZ5jmk9XcVfTExLFVGp_ZejtGx3MSwwrfDZK35YooQbC2alswouJzQ2pxLP8A8KWgBaKxX4Vkli-PfcJerDZokmuTXM8ulnyiNKP_Xg7Hw3FiuRJFebkVh_-dNZ_ga602x7trpdt4ebvNC_7e6HzxF64q2cM" id="41" name="Picture"/>
            <a:graphic>
              <a:graphicData uri="http://schemas.openxmlformats.org/drawingml/2006/picture">
                <pic:pic>
                  <pic:nvPicPr>
                    <pic:cNvPr descr="C:/Users/15919/Desktop/论文草稿/temp/manuscript_figures_dyh3qxx1/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Comparison of PocketXMol-official and density-guided PocketXMol-tuned on 446 small-molecule docking tasks.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43"/>
    <w:bookmarkStart w:id="47" w:name="Xf5ab2934b575ce019262194de9f4d310a201cf1"/>
    <w:p>
      <w:pPr>
        <w:pStyle w:val="Heading3"/>
        <w:keepNext/>
        <w:spacing w:line="480" w:lineRule="auto"/>
        <w:ind w:firstLine="0"/>
      </w:pPr>
      <w:r>
        <w:rPr>
          <w:rFonts w:ascii="Times New Roman" w:hAnsi="Times New Roman"/>
          <w:sz w:val="24"/>
        </w:rPr>
        <w:t xml:space="preserve">Stage 3: Fair comparison with Emap2lig-Build</w:t>
      </w:r>
    </w:p>
    <w:p>
      <w:pPr>
        <w:pStyle w:val="FirstParagraph"/>
        <w:spacing w:line="480" w:lineRule="auto" w:after="120"/>
        <w:ind w:firstLine="480"/>
      </w:pPr>
      <w:r>
        <w:rPr>
          <w:rFonts w:ascii="Times New Roman" w:hAnsi="Times New Roman"/>
          <w:sz w:val="24"/>
        </w:rP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480" w:lineRule="auto" w:after="120"/>
        <w:ind w:firstLine="480"/>
      </w:pPr>
      <w:r>
        <w:rPr>
          <w:rFonts w:ascii="Times New Roman" w:hAnsi="Times New Roman"/>
          <w:sz w:val="24"/>
        </w:rP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9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VVl-PGzUQ_yrWPrVSks3flizlpCPXq5ByVXR3SEgsOjm7zq7Jrm1sb_60ReIFIR54KuIFxDNPfAAqwQPfBIlePwYz9iaXkJOoQEXq6e489sz85p89O08DRW0eRCS4_vbFn9__GhpLM9a7fvH85Y8_tJSyq6BBAs2MLBYsRblRFMcfGqZNHHcGw84wjk-YmVup4vjVz7-8_O6rV998ff3Tb3HsAeP4VkRBS4ZontlUmqU8sSxtapZxKZo5o2nTSreifEKVhfOrkup5pUDz4-DBMlJkVRbCRMv34iC3VkVhaJKcldS0pGICmDOpS2phq7NwKXWqtEyYMVxkZRF22-17YUm5iIMjRJtot1zYdcHIMlrQAnA_KMHDkTePcuFGAmXnjKkxF8y4853dMjKKJmAGcAo4AqBuvx0H9fa8KvCIVlbWmLU4anKRgtiMa2PHXrVdCwHHO-A99f9q-lQKa0CPmoRz0LnkJTPkMVuSc1lS4Uznx8LcynOoHgLBpm4_deTIx-ZWcPPJNjHd_sb1J17dO2KxJi4c9BwKC3dlwUD0lGctMiTPyIlM5pgZxbQrj0gYkTMygWNmPzqTRdNWgqWEQh4ellR1C5413694kZLKOMXNbSHAQSl_aUwL3bDemTean_-QBfJ_-fhGakjfggw33uoMT9-GDJMTpqTh-AI1S5iyUpM7jy7vkkSWimpupCDw2-11CBfQ4uGFG_Kp5MIWa5Iyy9zjna7J2L3fC8bmzVNse3tPHk9aJGmkDTLSa3lsZdmF70MCL93qKtm3PjruHpjvvvMP5qfS5qRkNpepaR02oMqAns3ZgZvTQk5JwoTVkqfESgCdQacmlHQG5PcvPYsR5QDfPWxiNexepDtdzcFTQzgUO6t4ij3Pt7gWGbOZJXdoI7nbAMOq2SHnZxcnLXLOsxwY00YKjCkztilnzUG75k4weAMgrorCbhrnNj2gI1fgFlRbON-6A5v_8cXz-7Bgo8aIeIFydWz4FQPxXC4hgSmnwrjiLXNu5jAc3AB5nOHfcFrkEnjrJl1xiNOQQmZQOJuXPGmRE2py19zRBH7xSRezivg9IPbbPH4Oj4JPYEbYzgbB4H6v1-8MVv1BZ9jt9589UDyJ4K8eF-hrjQuppsuDOaFGAKx_gwFqttJsC6NfC0TOZjxh8NWsSsieR9KsoDiRmJwrg68XIxSLCU_w7eImebyYaLiYJkEroyh0Q1voZrawHtnC3YkttKxUEKaoQIUrezXjGThrrtJ13vtsteqE_uCqjT_DlhIZBMJTQO_fAwpHOqAnmxihNFs_blzyDlLM4BiehyFCjnIqMnastVziuGcApIN4G4ZR8GD9IWDeqO4Y8KjhQRKmBVenvCjQItJO3xM0gi7CbJIjOQOZc7Di-HubrVC4j4c7A3MYmS7PZLo7zNFoNdMlrlA4svLjG1lvxzh3jmy2siRBfn1dQSpBsfrW1sIg5dYNqIKx8BGTJUECpKEFWm-WLsbGy95QG2nkC-ldD29IGhWC4PQ8HHQHHuVWKazLQzd87tA0spQXm-NduhB1voza1gX-joLP_wKQ51BD" id="45" name="Picture"/>
            <a:graphic>
              <a:graphicData uri="http://schemas.openxmlformats.org/drawingml/2006/picture">
                <pic:pic>
                  <pic:nvPicPr>
                    <pic:cNvPr descr="C:/Users/15919/Desktop/论文草稿/temp/manuscript_figures_dyh3qxx1/figure_000009.png" id="46" name="Picture"/>
                    <pic:cNvPicPr>
                      <a:picLocks noChangeArrowheads="1" noChangeAspect="1"/>
                    </pic:cNvPicPr>
                  </pic:nvPicPr>
                  <pic:blipFill>
                    <a:blip r:embed="rId44"/>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Docking performance of PocketXMol-tuned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 </w:t>
      </w:r>
      <w:r>
        <w:rPr>
          <w:rFonts w:ascii="Times New Roman" w:hAnsi="Times New Roman"/>
          <w:sz w:val="24"/>
        </w:rP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w:t>
      </w:r>
    </w:p>
    <w:bookmarkEnd w:id="47"/>
    <w:bookmarkStart w:id="51"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10</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10a–c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10d–f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10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O7ybbNqlRKk6YUpVWaNmorFkXOjGfHimdsbM_-lCJxAwgJxAWoNzwAXME9SHDBmyCV9jH4jj272bYpqkBFqkSUZPxz_J2_z_bxRy3DfdEastbTb3958t2vifN8LNaffP3Ts-8_e_Ll444xftZaYy0rnFYTkZHo9nA0OnTCutGoN9jsbY5GO8KdeG1Go2c__vzn48-fffXF0x9-G40i5mj0KtCKl4IA43w75U64dsllRZMpN17q6qjk9qQ2EHu_dXk6NGxWqsoNp--MWoX3ZpgkLi1EyV1HG1FhMte25B5dO06m2mbG6lQ4J6txqZJ-t3shIQ2j1hVC27fhc8fPlWDT4YQr4N4oYc52VE9yyUKCZE-EMHuyEi6Mr_SmQ2d4CjXAURgCUH-jO2o13YNa0RCvvW4wG3FaKasMYrm0zu_Fpd1GCDPRgGhp_Ne0d3XlHdZxl0qJNXdlKRy7JabsQJe8CqqLrcqdORdQIwSBHYf-cWhuR9_CF2Y-XAamv7Ew_WFcHg3xlJPgDlluQBVhJwKiu3LcYb0ue8S2dWmUKEXluZ2zVFfOW2QB5udWl8yKVBivLTM6PREY5QiImBlhZVijWCbgh593SK2Pyt9oPP6F1-y_svGN5Iz_8ck36VsQ5TV2t7BCMAkq8Qo7HC02LWRasP1Aovs3tWrrPJepBH9wOrV7oBdOGHBpIrkXkXpnsWzINm_3LiAQ969vrLHNw6sX0X7Q7QVabh6s76B74939_8n4psmYIdD5WxDlvyHjtZKbvpLj9tVaquw5HqaKu4JNpS-YL8TyEAT7Di--B8-v7xyCffcO99He3dqJ7Lt3ex3d3p0HHXZV-1Wys1JnQjlWOwEiQ4X0IluixjM1Bc-taGcixzWTLY7bDrvGYarVU-YKPXVn7qBz2vJqLM6vrc76mmDOHatanA8KXnD3nKktDn4sim6ueO-EEilZeDyPljOXais6bGdpO3CACcutYF5wtbbqDca0khPBxoh89cobg3FjBKcF-CVZaBOu6LADKMiQgKAHN3hAWF5E3OvSMao9YproXse15XlK4dohdO2xiBKXW4yiVmA6ZyBFJoNbheCTeYMzLeAy81aSJm7VHPzwwhqtOIkuTLUCaWhAYYku4UqGeem0q20O2mEKrCu0yjpsO9An1TVtgRgqMIMImHGbtZeuBEPaZAgzHCUGIm-45U3ocRHDXlikUCQBnles27k4YD7sFrLE1SV5hqa0bIL5TFh2j3NQzfJMyg7IL0JQG_bQohWTKfPYDn32-6eEk72Q3tVAddiWUsFHAvSFRvJdEdJPhqBcZJl0RvF5YPYYQV9jEymmlB6wE0UcIbqUKxDpDn3YMZK_xgbQjpyD4VCXQRzARqQyRzVSoBJpsu9kVsN4JMTLXKLEff6Mp0LsSusDVKfLqrS1Mej3N_qbs8Gl_qXuevfRZSPTIf6aQpW_VqGaWT59qUJtEID1TzCwzNdWLGHsa4GE7S52dFrTNopIVoCmCDV2gXF0MJKH1WRfpnQsUie9Ndm3yKxLScv2MAnPgyS8DpLmcZCsvg0SL0oDN6saS6TxR7kcw1h3lM2L9Q9ns14SB466-Ol1O6YawxGZAX1ANTW9HNDeX_iI1CztODUpGsgpgns4sxyr9HZBh9iWxVlHRHAA6RHeYoJI4eMgME-XriiIqMlLQThW0uxKpUgjtcP62OBDbDPh04KaOWQOoCXMP9dZCiXP41HP4QXAjqc3cVKuPCP4cJbbkr5IHJvFhwObLx8QYZymxcyzlOYbukIqJbGGtY0wpMJ3AWrwILku6OBAA9I4U3xUyyd7LsqethbSNF_paHpy2uRDhUsRKJuD_iCinClFebkWnj0rbT70XKrF8GpbVU28nFnmBX9XWh__BZloOPc" id="49" name="Picture"/>
            <a:graphic>
              <a:graphicData uri="http://schemas.openxmlformats.org/drawingml/2006/picture">
                <pic:pic>
                  <pic:nvPicPr>
                    <pic:cNvPr descr="C:/Users/15919/Desktop/论文草稿/temp/manuscript_figures_dyh3qxx1/figure_000010.png" id="50" name="Picture"/>
                    <pic:cNvPicPr>
                      <a:picLocks noChangeArrowheads="1" noChangeAspect="1"/>
                    </pic:cNvPicPr>
                  </pic:nvPicPr>
                  <pic:blipFill>
                    <a:blip r:embed="rId48"/>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51"/>
    <w:bookmarkEnd w:id="52"/>
    <w:bookmarkStart w:id="73" w:name="end-to-end"/>
    <w:p>
      <w:pPr>
        <w:pStyle w:val="Heading2"/>
        <w:keepNext/>
        <w:spacing w:line="480" w:lineRule="auto"/>
        <w:ind w:firstLine="0"/>
      </w:pPr>
      <w:r>
        <w:rPr>
          <w:rFonts w:ascii="Times New Roman" w:hAnsi="Times New Roman"/>
          <w:sz w:val="24"/>
        </w:rPr>
        <w:t xml:space="preserve">End-to-end</w:t>
      </w:r>
    </w:p>
    <w:bookmarkStart w:id="53"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BodyText"/>
        <w:spacing w:line="480" w:lineRule="auto" w:after="120"/>
        <w:ind w:firstLine="480"/>
      </w:pPr>
      <w:r>
        <w:rPr>
          <w:rFonts w:ascii="Times New Roman" w:hAnsi="Times New Roman"/>
          <w:sz w:val="24"/>
        </w:rPr>
        <w:t xml:space="preserve">LigandSeek-Find ranks candidate ligand regions by descending mean probability, yielding Rank 1, Rank 2 and subsequent candidates. End-to-end region detection and identity matching across all ligand categories require both Find and Match to succeed. Full pose reconstruction for organic small molecules with no missing atoms requires Find, Match and Build to succeed.</w:t>
      </w:r>
    </w:p>
    <w:p>
      <w:pPr>
        <w:pStyle w:val="BodyText"/>
        <w:spacing w:line="480" w:lineRule="auto" w:after="120"/>
        <w:ind w:firstLine="480"/>
      </w:pPr>
      <w:r>
        <w:rPr>
          <w:rFonts w:ascii="Times New Roman" w:hAnsi="Times New Roman"/>
          <w:sz w:val="24"/>
        </w:rPr>
        <w:t xml:space="preserve">For each PDB entry, the pipeline examines these candidates in order within a specified relative attempt budget. Unsupported ligand types are skipped, whereas model prediction errors, including false positives, remain counted. For a PDB entry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ligands, a relative attempt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attempts. We report the fraction of qualified ground-truth ligand instances successfully processed within this budget, termed the completion ratio, which is a function of</w:t>
      </w:r>
      <w:r>
        <w:rPr>
          <w:rFonts w:ascii="Times New Roman" w:hAnsi="Times New Roman"/>
          <w:sz w:val="24"/>
        </w:rPr>
        <w:t xml:space="preserve"> </w:t>
      </w:r>
      <m:oMath>
        <m:r>
          <m:t>ρ</m:t>
        </m:r>
      </m:oMath>
      <w:r>
        <w:rPr>
          <w:rFonts w:ascii="Times New Roman" w:hAnsi="Times New Roman"/>
          <w:sz w:val="24"/>
        </w:rPr>
        <w:t xml:space="preserve">. The detailed evaluation protocol is described in Methods</w:t>
      </w:r>
      <w:r>
        <w:rPr>
          <w:rFonts w:ascii="Times New Roman" w:hAnsi="Times New Roman"/>
          <w:sz w:val="24"/>
        </w:rPr>
        <w:t xml:space="preserve"> </w:t>
      </w:r>
      <w:r>
        <w:rPr>
          <w:rFonts w:ascii="Times New Roman" w:hAnsi="Times New Roman"/>
          <w:sz w:val="24"/>
        </w:rPr>
        <w:t xml:space="preserve">(</w:t>
      </w:r>
      <w:r>
        <w:rPr>
          <w:rStyle w:val="MDFIGREF_eJyrrk7LTC9KTbNKNUrVTUxOzi_NK8nMS9ctKs1JLdZNKUpMK6mtBQAQ2w6I"/>
          <w:rFonts w:ascii="Times New Roman" w:hAnsi="Times New Roman"/>
          <w:sz w:val="24"/>
        </w:rPr>
        <w:t xml:space="preserve">Fig. 16</w:t>
      </w:r>
      <w:r>
        <w:rPr>
          <w:rFonts w:ascii="Times New Roman" w:hAnsi="Times New Roman"/>
          <w:sz w:val="24"/>
        </w:rPr>
        <w:t xml:space="preserve">).</w:t>
      </w:r>
    </w:p>
    <w:bookmarkEnd w:id="53"/>
    <w:bookmarkStart w:id="57" w:name="X8b9bf2ea799954d7a0607b96c625e6fec49216c"/>
    <w:p>
      <w:pPr>
        <w:pStyle w:val="Heading3"/>
        <w:keepNext/>
        <w:spacing w:line="480" w:lineRule="auto"/>
        <w:ind w:firstLine="0"/>
      </w:pPr>
      <w:r>
        <w:rPr>
          <w:rFonts w:ascii="Times New Roman" w:hAnsi="Times New Roman"/>
          <w:sz w:val="24"/>
        </w:rPr>
        <w:t xml:space="preserve">Detection and identity matching across all ligand classes</w:t>
      </w:r>
    </w:p>
    <w:p>
      <w:pPr>
        <w:pStyle w:val="FirstParagraph"/>
        <w:spacing w:line="480" w:lineRule="auto" w:after="120"/>
        <w:ind w:firstLine="480"/>
      </w:pPr>
      <w:r>
        <w:rPr>
          <w:rFonts w:ascii="Times New Roman" w:hAnsi="Times New Roman"/>
          <w:sz w:val="24"/>
        </w:rPr>
        <w:t xml:space="preserve">For detection and identity matching across all ligand classes, increasing the relative attempt budget from 100% to 300% raised mean instance completion. Completion increased from 51.1% to 58.8% for CA2 and from 62.1% to 67.5% for GT</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11</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1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N1qHDcUfhWxEGhhd2d3nU3qITU4aycUHGPS9KpTjFZzdkdYIymSZn-S9KJX_UkKvSi9KfSy9CoPkEL6CH2HUid5jB5JM-t1kpY0aUINNqzn6OjTp6NzzmiOdLelqStaKWk9_f7X4x8fJ7uD3eOHP_35-P7xwwdPvvru-NHPXa3dotUmLQNWiRnkHj1Ks-wTC8ZmWX-42d_Msh2wR07pLHv28NGTH7589u3XT3_5LcsibZb9A6-kJXhOW2ndgQF0mCq1AMeV7FAhPIRR7ZuHJTVHlUbwp60r81STRSmkTecfZq3COZ0miWUFlNR2lQaJnRNlSuqwaabJXJlcG8XAWi6npUgGvd6lpKRcZq0tz3ZgwuNjtxRA5umMCuT9qKRTGMXpPS5pEB57BKD3uAQb9GuteWo1ZTgN8ghUIdHgYi9r1c2blfAqWjlVc9ZwP5LLHGETbqzbi0N7NQh7ogHR0vivlq8p6SyOo5ZxjmNu8RIs2Yc5ualKKsPUxba0L-0LrJHCk41DexzEUVxbeKKZd1aOGVxsTL8Th0dDnI9JWI63XGPOgJkBQq_xaZf0--Qe2ZV5x6kO4DpPIk3UhAg-pajMwQELOt_iOUjH3ZJgIFnhXUqZUdYSTI1mBBPUWrBdb4eL1rxVB72BG8i7svGtBJGeAQ-3yQ5oZbmDnBhgoJ0ylrx3_db7XTJuk5FZqm2nykEHO5W0zlTsOehoe4DYq8oVmKAy5z4XLeGSiSoH0r-8SQ52rhJMS8NxET4BB-1hb9BkI0dSKnGf6ZJtR8ZVPgV3Bvx2OjPLVN3AL0O9w5avtMOqyYQz2FGsKtE5zf7qCm9HGUnd1u9fXEnKME9QJfVE_1evtAlQVoSA87DnqDnk59GMpMGIMrV-d67t1MHMoIshPqjj_seDb04F_u8SYqXff5n63814_0yl2jv7NLyBjaygZoq7JXUOSu1sm8wLMHAGLH9H29v-ecr9xzbitusKILIqx2B8mQj4neVjrNGf_96ihFDq_G7dJbeKBtFpEOv1pqH4IDX5xFDWVKHYtucJfZ7Qby-hV_kakpUaILZi_lw6qYRY1ucfv8mGE5LBytSJ-vwDeZdcNwCS-HOkTRg3TNRF6FhUUKtzTkusXC2xhZqHDMdXogO3KypICTSerEpAmGxj5Wu1P3DNQCwD-5Joxb2rPGrGFXLWTL4MyjnWzHxcxaoYFzDsXWiTfs__xxS6EEZteCGWvs8dy_z5dav1GR7qV4f51vDyxsbF_nAx2Ny49MHl_r0rmrMUf3U201fK5tzQ-QsH-5oBuV6HA4e5ysCKxrz2a2VA0OCwgmvr08WvUM4OOPPJ4htsf3ZgMPaW-VlGaRKuV5Jwu5LUlyvJ-t1K4r_AuExZ4RCu3eGET9FYe5gvi43bi0U_iYrDHv71-10tp7gQniP78BJK_toF5YNmjRialR0nJkUDqffgnmJHlkg1KqicwrYxCr_9NLdI0vd8TUfIpqhEzpOhaxNE1uQFJ4wF19e4EH5GL4fxUaBY4BnAV8CLE8TcxFlC_6nGCpSc5vMtq9HD4_kNla_fvtB0MTGlf2LgyCLet5Dl6t4l6H03LBxhvr9OV0QxD6uztgYjKjwbUm2suw6qJF5AtH-b47R0tmcj9kRq0L5fqmh6ciLSVEjir7s2h4NhZHkpysdlN9wWrck0dZSLRr0uC1n7y-pVXPC31fr8L8N66rE" id="55" name="Picture"/>
            <a:graphic>
              <a:graphicData uri="http://schemas.openxmlformats.org/drawingml/2006/picture">
                <pic:pic>
                  <pic:nvPicPr>
                    <pic:cNvPr descr="C:/Users/15919/Desktop/论文草稿/temp/manuscript_figures_dyh3qxx1/figure_000011.png" id="56" name="Picture"/>
                    <pic:cNvPicPr>
                      <a:picLocks noChangeArrowheads="1" noChangeAspect="1"/>
                    </pic:cNvPicPr>
                  </pic:nvPicPr>
                  <pic:blipFill>
                    <a:blip r:embed="rId54"/>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End-to-end completion of ligand detection and identity matching across all ligand classes.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Deposited receptors (GT). b, CryoAtom2-reconstructed receptors (CA2). Both conditions include 179 PDB entries and 2,502 ligand instances. At budget</w:t>
      </w:r>
      <w:r>
        <w:rPr>
          <w:rFonts w:ascii="Times New Roman" w:hAnsi="Times New Roman"/>
          <w:sz w:val="24"/>
        </w:rPr>
        <w:t xml:space="preserve"> </w:t>
      </w:r>
      <m:oMath>
        <m:r>
          <m:t>ρ</m:t>
        </m:r>
      </m:oMath>
      <w:r>
        <w:rPr>
          <w:rFonts w:ascii="Times New Roman" w:hAnsi="Times New Roman"/>
          <w:sz w:val="24"/>
        </w:rPr>
        <w:t xml:space="preserve">, each PDB is allowed</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where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eligible ligand instances in that PDB. The ligand-instance completion ratio is the fraction of these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instances that are successfully detected and correctly matched. Green lines/circles and blue lines/diamonds show the PDB-equal mean and median, respectively. Grey points and violins show PDB distributions at 50%, 100%, 200% and 300% budgets.</w:t>
      </w:r>
    </w:p>
    <w:p>
      <w:pPr>
        <w:pStyle w:val="TableCaption"/>
        <w:keepNext/>
        <w:spacing w:line="480" w:lineRule="auto"/>
        <w:ind w:firstLine="0"/>
        <w:pageBreakBefore/>
      </w:pPr>
      <w:r>
        <w:rPr>
          <w:rFonts w:ascii="Times New Roman" w:hAnsi="Times New Roman"/>
          <w:b/>
          <w:i w:val="0"/>
          <w:sz w:val="24"/>
        </w:rPr>
        <w:t xml:space="preserve">Table 1 | All-ligand instance completion (%).</w:t>
      </w:r>
    </w:p>
    <w:tbl>
      <w:tblPr>
        <w:tblW w:type="pct" w:w="5000"/>
        <w:tblLayout w:type="fixed"/>
        <w:tblCaption w:val="Table 1 | All-ligand instance completion (%)."/>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5"/>
        <w:gridCol w:w="1896"/>
        <w:gridCol w:w="1896"/>
        <w:gridCol w:w="1896"/>
        <w:gridCol w:w="1896"/>
      </w:tblGrid>
      <w:tr>
        <w:trPr>
          <w:tblHeader w:val="on"/>
          <w:cantSplit/>
        </w:trPr>
        <w:tc>
          <w:tcPr>
            <w:tcW w:type="dxa" w:w="1445"/>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b w:val="0"/>
                <w:sz w:val="20"/>
              </w:rPr>
              <w:t xml:space="preserve">Receptor</w:t>
            </w:r>
          </w:p>
        </w:tc>
        <w:tc>
          <w:tcPr>
            <w:tcW w:type="dxa" w:w="3792"/>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3792"/>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445"/>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1896"/>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GT</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67.5</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71.4</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CA2</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51.1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58.8</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60.2</w:t>
            </w:r>
          </w:p>
        </w:tc>
      </w:tr>
    </w:tbl>
    <w:p>
      <w:pPr>
        <w:pStyle w:val="MDTableNote"/>
        <w:spacing w:line="240" w:lineRule="auto" w:before="80" w:after="120"/>
        <w:keepNext w:val="0"/>
        <w:keepLines/>
        <w:pageBreakBefore w:val="0"/>
        <w:ind w:firstLine="0"/>
      </w:pPr>
      <w:r>
        <w:rPr>
          <w:rFonts w:ascii="Times New Roman" w:hAnsi="Times New Roman"/>
          <w:sz w:val="18"/>
        </w:rPr>
        <w:t xml:space="preserve">Means are PDB-equal macro means; medians were calculated across the same 179 PDBs.</w:t>
      </w:r>
    </w:p>
    <w:bookmarkEnd w:id="57"/>
    <w:bookmarkStart w:id="61" w:name="Xbc527d2baf04e5fbd153d8c9fd2910acde48dc6"/>
    <w:p>
      <w:pPr>
        <w:pStyle w:val="Heading3"/>
        <w:keepNext/>
        <w:spacing w:line="480" w:lineRule="auto"/>
        <w:ind w:firstLine="0"/>
      </w:pPr>
      <w:r>
        <w:rPr>
          <w:rFonts w:ascii="Times New Roman" w:hAnsi="Times New Roman"/>
          <w:sz w:val="24"/>
        </w:rPr>
        <w:t xml:space="preserve">Modelling organic small molecules with one residue and no missing atoms</w:t>
      </w:r>
    </w:p>
    <w:p>
      <w:pPr>
        <w:pStyle w:val="FirstParagraph"/>
        <w:spacing w:line="480" w:lineRule="auto" w:after="120"/>
        <w:ind w:firstLine="480"/>
      </w:pPr>
      <w:r>
        <w:rPr>
          <w:rFonts w:ascii="Times New Roman" w:hAnsi="Times New Roman"/>
          <w:sz w:val="24"/>
        </w:rP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480" w:lineRule="auto" w:after="120"/>
        <w:ind w:firstLine="480"/>
      </w:pPr>
      <w:r>
        <w:rPr>
          <w:rFonts w:ascii="Times New Roman" w:hAnsi="Times New Roman"/>
          <w:sz w:val="24"/>
        </w:rPr>
        <w:t xml:space="preserve">For top-1 poses with RMSD &lt;3 Å, mean completion for CA2 was 47.7% and 53.0% at 100% and 300% budgets, respectively. The corresponding GT values were 60.1% and 61.1%</w:t>
      </w:r>
      <w:r>
        <w:rPr>
          <w:rFonts w:ascii="Times New Roman" w:hAnsi="Times New Roman"/>
          <w:sz w:val="24"/>
        </w:rPr>
        <w:t xml:space="preserve"> </w:t>
      </w:r>
      <w:r>
        <w:rPr>
          <w:rFonts w:ascii="Times New Roman" w:hAnsi="Times New Roman"/>
          <w:sz w:val="24"/>
        </w:rPr>
        <w:t xml:space="preserve">(</w:t>
      </w:r>
      <w:r>
        <w:rPr>
          <w:rStyle w:val="MDFIGREF_eJyrrk7LTC9KTbMqLi0o0E01StVNzs8tyEktyczP0y3OTczJqa0FAAWgDjw"/>
          <w:rFonts w:ascii="Times New Roman" w:hAnsi="Times New Roman"/>
          <w:sz w:val="24"/>
        </w:rPr>
        <w:t xml:space="preserve">Fig.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2 | End-to-end completion of single-residue organic small molecules with no missing atom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NuKG0cQ_ZVC4BCDpJG0KzsrOwvrvZjArhFrBwKZsLRmSppmpy_u7tHFcSB5CLnYgUBCXgJ5DHnyBzjgPOQD8g8ma_szUt0z0mq9djCOY7xggTTV3VWnq6uOerr605pmLqv1oPb4x9-Pfn4QbXe2j-798veDO0f37j76-vuj-782tXbTWh1qBq3Kx5h67c1eHH9o0dg4bnfX2mtxvIX20Ckdx0_u3X_001dPvvvm8W9_xHEJG8f_giuZQI9pC60b2MFGooTO0XElG1awPPdKCdO-40Awc1hoUv-4dnnS0zAVubS9yftxLXNO96LIJhkKZptKo6TBoTKCOWqaUTRRJtVGJWgtlyORR51W60IkGJdxbd2j9U14XHezHGHSG7OccD8QbISb5fReL5preN1DRL3LJdrQv9Sa9KxmCU1DODl1EVBntRXXquZ-kfsuVjhVYVbq3pLLlNSG3Fi3W5q2KiUaKR0oPS1_KnlHSWfJjtmEc7K5wQVauIYT2FeCyTB1tiHtM8cCagnhwQahPQjiZrm28CQ3by0C01mdu36rNC8dcT4nYTnec02sQTNGUt3hoya0O3AbtmXacKqBtM7jXIMags9Ljg2y4WmBQEljkicQWABC5ZhQ3GiR3GUgFQgeMgnMKWGb3gdXevK_Buc_hADOgI9Xb9QhRa0sd5iCwQS1U8bCuzkO3flLsLnRqcOmmakNinqHcpUoaZ0pkqfUDR9l7nwTWH1QB9oZGm3Y37u-Be_k7hJ04M8vL0FST08PrYQhrA_rMEDrGmrY6LZOmY7q2XPGvX0TdjlRJ72OeAg79K95-PkPe8wlGT2vFDxPQXON_o8IE2YBKVIF8_4TDS9ehP7WFUDpDKcYe4IaHmi2unoB8oALnJbMJO0kdSjCWF8lh-g-2lN5wxWSkGjjAQoiwlKAiOVN2FHmDLDgJFNFT1H4smq3FS-026rhkCe4pZJCUCzne63LvB-iBHXr1y5HIkwTeqJqnrMRlDfTR2L1iA_o_bWgKEmALMkWtJ7RP6dIR-jOwHJeEw__-uItEV-xj_TKVhN7Bhx9LRQLToiedTMQlZ86uBn6St71KzI-vPvtCTY-j6XP2UVfasY7b_n_in1MMmZGdBBgzqHQxBS4keHyedcwegC34KhfFmKAJpyBi8RXKMMiX9rCUz7mKYENZmdg5W_PDs8IShOuGkQJ_tBpo4SbxFcy_iw5yKnUKbtTzoSSqQWbqUngBb2zG3izYFT-IJNBXyCpyTodLK1GOlSOMZ_RgdjgjA6c3C_Wa425IswlpJTTIZQPCs89UnHQbZ2rQ7vlfynA54LVihfKw8FTBZWvOtdrn1ApvijBa92LKyur7e50da31Xrvbun1Z86RH3yrX7IVynRo2OVWOVwiE9TIYZOYKgwsY89KkM5izELCMa-sT7lcox32e-HT7RnJt3DdUMNnEz7LZi8K1SBRuRaLqUiRavhOJ_HZAy5QFmXDtDoZ8RM7ag3SWrdycTttR2XHQok-709RyRAvhKaFf8BcI_rqE5P58jZSahR_HLpUOMh_BXSpNLJXLmxmTI9wwRk0yZKklkLbHmw8ENpWdhHlsujRBiRqdCsIg53qH57mf0cvBvhQYvW0MUunlxSHp7NMsYfxEY6EUncTzLaspwoPJnkqX70xYbzo0wj8pcTAtb0lgtrgtCf1-GKcOEj9e0ZW0Eq9WsbZSJq3wnINqY91VVAK8QNpUxrlyWjbetaXusTTX9uNSla5HxyLr5RL8JdVat9MtUZ6p5fOyHe54lmTWc4zn8-5lOZdVvKxe5IW-67XP_gFqutMk" id="59" name="Picture"/>
            <a:graphic>
              <a:graphicData uri="http://schemas.openxmlformats.org/drawingml/2006/picture">
                <pic:pic>
                  <pic:nvPicPr>
                    <pic:cNvPr descr="C:/Users/15919/Desktop/论文草稿/temp/manuscript_figures_dyh3qxx1/figure_000012.png" id="60" name="Picture"/>
                    <pic:cNvPicPr>
                      <a:picLocks noChangeArrowheads="1" noChangeAspect="1"/>
                    </pic:cNvPicPr>
                  </pic:nvPicPr>
                  <pic:blipFill>
                    <a:blip r:embed="rId58"/>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End-to-end completion of single-residue organic small molecules with no missing atoms.</w:t>
      </w:r>
      <w:r>
        <w:rPr>
          <w:rFonts w:ascii="Times New Roman" w:hAnsi="Times New Roman"/>
          <w:sz w:val="24"/>
        </w:rPr>
        <w:t xml:space="preserve"> </w:t>
      </w:r>
      <w:r>
        <w:rPr>
          <w:rFonts w:ascii="Times New Roman" w:hAnsi="Times New Roman"/>
          <w:sz w:val="24"/>
        </w:rPr>
        <w:t xml:space="preserve">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instances in each PDB entry,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The completion ratio is the number of successful instances divided by</w:t>
      </w:r>
      <w:r>
        <w:rPr>
          <w:rFonts w:ascii="Times New Roman" w:hAnsi="Times New Roman"/>
          <w:sz w:val="24"/>
        </w:rPr>
        <w:t xml:space="preserve"> </w:t>
      </w:r>
      <m:oMath>
        <m:r>
          <m:t>N</m:t>
        </m:r>
      </m:oMath>
      <w:r>
        <w:rPr>
          <w:rFonts w:ascii="Times New Roman" w:hAnsi="Times New Roman"/>
          <w:sz w:val="24"/>
        </w:rPr>
        <w:t xml:space="preserve">. Green lines/circles and blue lines/diamonds show the PDB-equal mean and median, respectively; grey points and violins show the distributions at 50%, 100%, 200% and 300% budgets.</w:t>
      </w:r>
    </w:p>
    <w:p>
      <w:pPr>
        <w:pStyle w:val="TableCaption"/>
        <w:keepNext/>
        <w:spacing w:line="480" w:lineRule="auto"/>
        <w:ind w:firstLine="0"/>
        <w:pageBreakBefore/>
      </w:pPr>
      <w:r>
        <w:rPr>
          <w:rFonts w:ascii="Times New Roman" w:hAnsi="Times New Roman"/>
          <w:b/>
          <w:i w:val="0"/>
          <w:sz w:val="24"/>
        </w:rPr>
        <w:t xml:space="preserve">Table 2 | Small-molecule instance completion (%).</w:t>
      </w:r>
    </w:p>
    <w:tbl>
      <w:tblPr>
        <w:tblW w:type="pct" w:w="5000"/>
        <w:tblLayout w:type="fixed"/>
        <w:tblCaption w:val="Table 2 | Small-molecule instance completion (%)."/>
        <w:tblDescription w:val="MDBOOKTABS_{&quot;headers&quot;:3,&quot;groups&quot;:[],&quot;widths&quot;:[0.14,0.1,0.095,0.095,0.095,0.095,0.095,0.095,0.095,0.095],&quot;outline&quot;:&quot;box&quot;,&quot;col-rules&quot;:&quot;2,6&quot;,&quot;pagination&quot;:&quot;rows&quot;,&quot;page-break&quot;:&quot;before&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8"/>
        <w:gridCol w:w="858"/>
        <w:gridCol w:w="858"/>
        <w:gridCol w:w="858"/>
        <w:gridCol w:w="858"/>
        <w:gridCol w:w="858"/>
        <w:gridCol w:w="858"/>
        <w:gridCol w:w="858"/>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Pose</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RMSD</w:t>
            </w:r>
          </w:p>
        </w:tc>
        <w:tc>
          <w:tcPr>
            <w:tcW w:type="dxa" w:w="3431"/>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w:t>
            </w:r>
          </w:p>
        </w:tc>
        <w:tc>
          <w:tcPr>
            <w:tcW w:type="dxa" w:w="3431"/>
            <w:gridSpan w:val="4"/>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44.9</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25.0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47.7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33.3</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53.0</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49.1</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55.9</w:t>
            </w:r>
          </w:p>
        </w:tc>
        <w:tc>
          <w:tcPr>
            <w:tcW w:type="dxa" w:w="858"/>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83.3</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63.5</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64.4</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54.7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62.8</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66.9</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bl>
    <w:p>
      <w:pPr>
        <w:pStyle w:val="MDTableNote"/>
        <w:spacing w:line="240" w:lineRule="auto" w:before="80" w:after="120"/>
        <w:keepNext w:val="0"/>
        <w:keepLines/>
        <w:pageBreakBefore w:val="0"/>
        <w:ind w:firstLine="0"/>
      </w:pPr>
      <w:r>
        <w:rPr>
          <w:rFonts w:ascii="Times New Roman" w:hAnsi="Times New Roman"/>
          <w:sz w:val="18"/>
        </w:rPr>
        <w:t xml:space="preserve">Means and medians were calculated across the same 77 PDBs.</w:t>
      </w:r>
    </w:p>
    <w:bookmarkEnd w:id="61"/>
    <w:bookmarkStart w:id="65" w:name="fair-comparison-with-emap2lig"/>
    <w:p>
      <w:pPr>
        <w:pStyle w:val="Heading3"/>
        <w:keepNext/>
        <w:spacing w:line="480" w:lineRule="auto"/>
        <w:ind w:firstLine="0"/>
      </w:pPr>
      <w:r>
        <w:rPr>
          <w:rFonts w:ascii="Times New Roman" w:hAnsi="Times New Roman"/>
          <w:sz w:val="24"/>
        </w:rPr>
        <w:t xml:space="preserve">Fair comparison with Emap2lig</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3 | Find–Build completion by LigandSeek and Emap2lig with correct ligand identiti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WFuPGzUU_ivWSCCQkkwum5adlpW22d0KabdabYt4YNDKmXEyVjy2a3tyKUWCB4S4PRXxAuKZJ34AleCBH8B_qETbn8E59iSbbbdSVdqKSH1IxpdzvnPx8bF9Po00dUWUkOjRD_f_-emPeL-7_-j-vYe__NzS2s2jBokMs0pMWY5EgyRNP7TM2DTt9Lc722m6x-zEKZ2mj3_7_eGPXz3-_utHv_6ZpgEtTZ-Gk7RkCMW6rDniMm8OKy7yZs4Ny1wzU6WmhlslkTaj2nElT0tqJpUGro-jq7NEk3kppE1m76dR4ZxO4thmBSupbSnNJEyOlCmpg64ZxzNlcm1UxqzlclyKuNtuX4pLymUa7SDasfGfm24hGJklUyoA94OSjtkgiEe6eEmBtBPG9CGXzPrxtd4ssZpmIAZwBAwBUHernUZ196QSOEQrp2rMmhw5wRVANuLGusPA2q6JYCYoEDQNf3X7QElngY_ajHPgucVLZskNNiMnqqTSiy52pb1wzqMGCAQb-v7QNwfBNv8FNe-sHNPdWqp-J7AHRRyuiTcHNdcQM8xMGZAe8HGLdHrkLjkAOx58fu8aLjfBdRYMvUuGC3LIx1TmNxmbEPiS_ZLqruDgRe4KIDUYGkR4IsJzJh13nNkWyndBi1fqmP9gPnldOr6SxaMb4OHGRnt4uAkeJpDgmx2ilYVNR7JG3iBDZt1y4JCNnN-3ho8LB_tVVKW0xLDbFSR1UjA6XTSpUyU5Obq5R6wzPHNiQd4W7kqX_PWl58VODzoN4LMa9jufMrFokY8gBXBJGM0KMqzyMXMgnBpLbKFmq0zRWE8hPmsMzELtgsxuE5KHkiC0yhwDHVnGtFMA8M5gt_tuwwt_kjlnYBp_gvz6LaAeGTBDoMFOBXtb5NpKHVcwcrx3rQmWU0FKRuVaortCmDHKrGmvmckwmcG5s91_i3DpwONU2CCl0260220yVMqB9lSjYyiCWaJGXtTlyygNVuAAYCm2QZx0cLTBmbIBgXU-OZaJOoK7SH24l891uKvRiGdsT2VVCY5cHu2uQD3KAOp2blyNSy_Gj8S1nM1wyv9TR0cNbEQIWOuohJsVblpBccvWe3QDbHhNwff3F2-i7yXrSIVQM7sBir6WEPNKlIl1C1LWemqvph8LcXdcB-OD7745F43PitJnpM4Xkvjtm_h_yTpmBabfnFDnWKkhUsjg7DXFrb8ayKocMoMXBVtl-PYdVeIsX5OcT-EdlcPbawPsfXNNuMApeO3MJmOjKri_ZnB75Tl1IIzCjbsOkHC3VZVrqlHTZuAXAk5hF_PYCdea5eff1Fh02Ik-aZBoVYGJ-pd7va1Of957r7u91e_cvap5lsCvXhD6XAuSGzp7qhpTIwDWi2AAm6sMW8GYF46McJeBN0PBtcVVQQvl9JhnuCbYyW5Mjw28EmyGUgZJ7GtisS-JxXVFLF4viMW4U8FMWQEL1-50xMegrD3NF0Xv9nzeicPAKdz4251eS8sxGMJzQL8EgUGwaAbt46WNsDQrPc5UCgpS9OChyiaWSDUoqByzXXh4zOAdllsA6SDecsI_tcIgYJ6xrgkIqPFTThgKrg-4ECgR254_NCgcBIa5rMDmCGhOQIqfP9dZEcXn8bBnNXh4ODtS-XrJjCbzkSnxCwtH5qFIRharYpkfx2k2h4coztfhClQZktVRWxMDlf8uQbWx7jqDtxc2gBrrTkEsnR7aQHvWWlLjvFRB9fisSRMhCdYot_vdfkC5kArXZd-X-NbaNIFnnFgOr7eFrP1l9Wpd4LcTffYvTD94mA" id="63" name="Picture"/>
            <a:graphic>
              <a:graphicData uri="http://schemas.openxmlformats.org/drawingml/2006/picture">
                <pic:pic>
                  <pic:nvPicPr>
                    <pic:cNvPr descr="C:/Users/15919/Desktop/论文草稿/temp/manuscript_figures_dyh3qxx1/figure_000013.png" id="64" name="Picture"/>
                    <pic:cNvPicPr>
                      <a:picLocks noChangeArrowheads="1" noChangeAspect="1"/>
                    </pic:cNvPicPr>
                  </pic:nvPicPr>
                  <pic:blipFill>
                    <a:blip r:embed="rId62"/>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Find–Build completion by LigandSeek and Emap2lig with correct ligand identities.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successful instances divided by</w:t>
      </w:r>
      <w:r>
        <w:rPr>
          <w:rFonts w:ascii="Times New Roman" w:hAnsi="Times New Roman"/>
          <w:sz w:val="24"/>
        </w:rPr>
        <w:t xml:space="preserve"> </w:t>
      </w:r>
      <m:oMath>
        <m:r>
          <m:t>N</m:t>
        </m:r>
      </m:oMath>
      <w:r>
        <w:rPr>
          <w:rFonts w:ascii="Times New Roman" w:hAnsi="Times New Roman"/>
          <w:sz w:val="24"/>
        </w:rPr>
        <w:t xml:space="preserve">. Background candidates are charged, and out-of-scope foreground candidates are skipped.</w:t>
      </w:r>
    </w:p>
    <w:p>
      <w:pPr>
        <w:pStyle w:val="BodyText"/>
        <w:spacing w:line="480" w:lineRule="auto" w:after="120"/>
        <w:ind w:firstLine="480"/>
      </w:pPr>
      <w:r>
        <w:rPr>
          <w:rFonts w:ascii="Times New Roman" w:hAnsi="Times New Roman"/>
          <w:sz w:val="24"/>
        </w:rP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rPr>
          <w:rFonts w:ascii="Times New Roman" w:hAnsi="Times New Roman"/>
          <w:sz w:val="24"/>
        </w:rPr>
        <w:t xml:space="preserve"> </w:t>
      </w:r>
      <w:r>
        <w:rPr>
          <w:rFonts w:ascii="Times New Roman" w:hAnsi="Times New Roman"/>
          <w:sz w:val="24"/>
        </w:rPr>
        <w:t xml:space="preserve">(</w:t>
      </w:r>
      <w:r>
        <w:rPr>
          <w:rStyle w:val="MDFIGREF_eJyrrk7LTC9KTbNKNUrVTcvMS9FNKs3MSdFNySxKTS7RTc7PLUgsyizOz6utBQBnQxC1"/>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assuming an ideal, always-successful Match stage for both methods. We then evaluated both pipelines on the same 77 PDBs containing 446 single-residue organic small molecules with no missing atoms.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13</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12</w:t>
      </w:r>
      <w:r>
        <w:rPr>
          <w:rFonts w:ascii="Times New Roman" w:hAnsi="Times New Roman"/>
          <w:sz w:val="24"/>
        </w:rPr>
        <w:t xml:space="preserve"> </w:t>
      </w:r>
      <w:r>
        <w:rPr>
          <w:rFonts w:ascii="Times New Roman" w:hAnsi="Times New Roman"/>
          <w:sz w:val="24"/>
        </w:rPr>
        <w:t xml:space="preserve">shows that the full LigandSeek pipeline still outperforms it.</w:t>
      </w:r>
    </w:p>
    <w:p>
      <w:pPr>
        <w:pStyle w:val="BodyText"/>
        <w:spacing w:line="480" w:lineRule="auto" w:after="120"/>
        <w:ind w:firstLine="480"/>
      </w:pPr>
      <w:r>
        <w:rPr>
          <w:rFonts w:ascii="Times New Roman" w:hAnsi="Times New Roman"/>
          <w:sz w:val="24"/>
        </w:rPr>
        <w:t xml:space="preserve">Full completion curves and per-PDB distributions are shown in Supplementary Fig. 4.</w:t>
      </w:r>
    </w:p>
    <w:bookmarkEnd w:id="65"/>
    <w:bookmarkStart w:id="72"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two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4HzjA3SE2trAQ6KDYk"/>
          <w:rFonts w:ascii="Times New Roman" w:hAnsi="Times New Roman"/>
          <w:sz w:val="24"/>
        </w:rPr>
        <w:t xml:space="preserve">Figs. 14–15</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4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1vHDUQ_1ese2qlvezd5UPNqVRKr0mEuFZRWhASiyLf7uyeiXdtbO99lCKVF2hVEA-gSognnqiERHnhBaTyv1Sk6Z_BzHrvo20eCigPJyXSZe2Z8W_G47E9ns8amrtho8sap9__efLjs3C3s_vipwd_P3t08u3Tlz9_efL14-bpL09PHvyG_1_8_sXpk0enDx8cjdbXtHaTRsAaBqySI0gIo9eNovctGBtF7c3t9nYU3QB77JSOope__vHi8Vcvv3l4-uSvKPLKouhfayt4DqQJOtBMpRo3t6XMiBFz7YQqjnJujkuNIh81ro67mk1yWdju-J2oMXROd8PQxkPIuV1TGgpkpsrk3GHXZOFYmUQbFYO1oshyGXZara0w56KIGtcI7cBUn9tuKoGNuyMuEffdnGfQ8-pJLpxJkOwxgO6LAmxFX-qNu1bzGNUgjkQSAnU2WlGj7h6Wkki8dKrGrMVppCgSFEuFsa7vh7ZqIeR4A7yl_l_d3lOFsziO21gIHHNH5GDZLRizQ5XzolI93CnsmbwK1UMQ2KDqD6pmz8-t-qKZd-eO6WzMTL_rh3tDHK1JNR2yXGP8gBkBiu6JbI21N9g9tlskTaeagPPUygIzEKvCOlPG5GSmUrbT3n2vzy4ddrdanctMFGy7399fIy3O6zrX6f-PSbIVsHEPwyhgN7mLh4zjGlwvhUxYAoVywPoiQ9ptgOOml1siLIYsEavRAa6h1YDrNwI5vVio895L_Pn97-IV8HLAdicaDCooHJcUY1a4acDcEFjPTNWOU3mnubT_IaHTALRThl3q7eDmp3Aj8QTwrBCvCuzfuXwRa-cda8kKeDhgPYwTkXBHt0mGt4hlyE5EFVGDKfNn2Vi4IRuoCZqBt_AxXc9OVdElVYzxORIwtgyvICIZkQ3dRXidd3jBCng4WAEbVzsK0hXwcMD2jSopdzWl83nQ4oyRVUY0O3wCZodqXDDuqqPE4rOGKSPoFqxSXBK1eOLAxfly3pGVrYCHA7YjJaOXq6BrSGCe5IQTqC41Kl-E0MGN6wxZZlpfZcSok3J802YFpVlMlY6emAk9mwayvAixcw-xIWbjn6yAlwP2gU9w0ipyDlR8DO7Dm0o2XUkB45Rutv2TnGdcYEruE6FZvm1LkyJowOCMpL460xZJOqG89ipkdxBsSYewzPDiGIWrWgelaaQuVwnI5_d_QDvxBLWxMrDGDmsbLOMGWGYAimCuGYGQUj8rHDcZuPogJpZCJRnasjirSbsHov1xhuGe6YBLb_QZbw8ELi0SVCGnLEWCgRQMFDFKC6sl9w5JRYEuAlyvsjr5g4qKgwsYAXlUaykQhls_b9y0unwt66SCz7XGxwFrzKtfjc1Oe7u10ZpsrW-uX2m3713VIu7iry6I8bcqiCWGj9-ohNUIiPVfMHCYKw3MYcxbgag0FTHcUHFJMeWRDMjKY3YotKU4pxkWowMRU5RTJ741OjC4NjYmLb1uWNUmw6o0GdaVyXC5MBk6yDVOsyhxiNDuKBUZGmuPkulw_dPJpB16wlEL_9oba7rIcCIiQfStK9ii6iS2D2ZzxKWZ27EwyRvIyYN93GG41Ko3pBDcMUaNh8ATiyBtwpsxqk3iiYi5GLqkwKOGbzhhIIXeE1KSRmpX432Dd_FNDXg7UDNFGdxEruK_0pkLha_iUc9q9PBgfBNDc6lcybuT1OT0xYVjE1-gZNN5obKiExsmjsXEr8MVpWISq6O2Fkap6jsD1XgY7APee9RAadxzzqvlo771sovWTJr4hfKmh4sm78qCUX14e7Oz6VHOlKJ12a3Kq0tt3nVcyBl5uS2L2l9Wz9cFf9can_8DOS0XgQ" id="67" name="Picture"/>
            <a:graphic>
              <a:graphicData uri="http://schemas.openxmlformats.org/drawingml/2006/picture">
                <pic:pic>
                  <pic:nvPicPr>
                    <pic:cNvPr descr="C:/Users/15919/Desktop/论文草稿/temp/manuscript_figures_dyh3qxx1/figure_000014.png" id="68" name="Picture"/>
                    <pic:cNvPicPr>
                      <a:picLocks noChangeArrowheads="1" noChangeAspect="1"/>
                    </pic:cNvPicPr>
                  </pic:nvPicPr>
                  <pic:blipFill>
                    <a:blip r:embed="rId66"/>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15</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5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vHDUQ_yrWPbXSXvbukgNyKpXSaxIhpdWpDQiJRZFvd3bPxGsb23t_SpHKC7QqiAdQJcQTT1RCorzwAlL5LhVp-jEY23t_2uahgPJwUiJd1p4Z_2Y8Htvj-ayhqB01eqRx-v2fJz8-jXc7u89_uv_304cn3z558fOXJ18_ap7-8uTk_m_4__nvX5w-fnj64P7ReHNDKTttRKShwUg-hsxh9HtJ8r4BbZKk3d1ubyfJdTDHVqokefHrH88fffXimwenj_9KkqAsSf61NkFLcJqgA82cy0lzs1VQx0ipskyKo5Lq40qhyEeNK5OeItOSC9ObvJs0RtaqXhybdAQlNRtSgUBmLnVJLXZ1EU-kzpSWKRjDRFHyuNNqvRWXlImkcdWhDbT_3LYzDmTSG1OOuO-VtIB-UO_k4rmEkz0GUAdMgPH0ld6kZxRNUQ3icCQhUGerlTTq7q2KOxKtrKwxa3E3kokMxXKmjT0IQ1u1EHKCAcHS8K9u70lhDY6jJmUMxxyyEgy5CRNyS5ZUeNWjHWHO5HnUAOHAhr4_9M1-mJv_opl3Fo7pbM1NvxOGB0OsWxM_HWe5wvgBPQYU3WPFBml3yV2yK7KmlU3AeSppgGhIpTBWV6lzMpE52TkckEs3e1ut9mXCBNls7e9sOB02aDrXyf-PKZI1sHEPgygiN6hNR4TiClyrGM9IBkJaIAesQNptgONmkFshLIesEP3oCFfQKMDVGwOfXSzUee8k-uzed-kaeDkiu1MFGhUIS7mLMcPsLCJ2BKSvZ3LHyrLTXNn9kLmzAJSVmlzq73Qu-3Bz4hngScFeFtg_vHwRa-cda9kaeDgifYwTllHr7pIC7xBDkJ0xH1HDGQln2YTZERnKKZqBd_Cxu5yt9NHFZYrxOWYwMQQvIEfSrBjZi_A67_CCNfBwtAY2rncU5Gvg4Yjsa1m5zFVXNuRByzOG-4xofvhExIzkRBBq_VFi8FFDpGbuFvQJrhM1eOLAxfly3pFVrIGHI7LDOXHvVuauIYZ5kmWWobpcy3IZQoPr1wiy9Ky-yhyjTsrxRVsIl2YRWVn3wMzcs2nIq4sQO_cQG2E2_skaeDkiH4QEJ_eRM5DpMdgPb0jetJULGCtVsx0e5LSgDFPykAjN821T6RxBIwJnJPX-TFsm6Q7llVchOUSwFR3MEE3FMQr7SodL05y6UmbAn937Ae3EE9SkUsMGuVXbYAjVQAoNIKKFZgRCSv2ssFQXYOuD2LEkKinQluVZ7bQHILc_zjA8MC1QHow-4-2BwJVBghR8RnIkaMhBg0hRmhnFaXBIzgS6CHC9Kn_yR56KgwWMwXlUKc4Qhpowb9y0qnol63TlnquNjyPSWNS-Gt1Oe7u11Zq-tdndfKfdvntFsbSHv7ocRt-oHJZpOnmtDlYjINZ_wcBhttKwgNFvBCLznKVwXaaVi6mApIF7j5kRU8bFuZuhGA9Y6qLcddKb44HGtTGp09Lvxb4yGfvCZFzXJePVsmRsoVQ4TVHhEKbsUc4KNNYcZbPR5qfTaTsOhKMW_rW7G0oUOBGWIfrbbWy52iS2B_M54tIs7FiaFAykzoMHuMNwqWV_5EJwR2s5GQHNDIJ4vDnDb5JARMzl0BUFATV-zQlDztQe49xpdG0_PjRoD9_UgLeDa-Yog5vIev5LnYVQ_DKe6xmFHh5ObmBorhQraW-a69J9ceHINJQnyWxRpvR0x4apJanj1-GKUqkTq6O2FkYp_52DKjwM9gHvPddAadxzNqil4wMTZJetubTjCxlMj5dN2uOCuOrwdrfTDShnSrl12fXF1ZU27VnK-Jy82uai9pdRi3XB39XG5_8Ao4UWkw" id="70" name="Picture"/>
            <a:graphic>
              <a:graphicData uri="http://schemas.openxmlformats.org/drawingml/2006/picture">
                <pic:pic>
                  <pic:nvPicPr>
                    <pic:cNvPr descr="C:/Users/15919/Desktop/论文草稿/temp/manuscript_figures_dyh3qxx1/figure_000015.png" id="71" name="Picture"/>
                    <pic:cNvPicPr>
                      <a:picLocks noChangeArrowheads="1" noChangeAspect="1"/>
                    </pic:cNvPicPr>
                  </pic:nvPicPr>
                  <pic:blipFill>
                    <a:blip r:embed="rId69"/>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72"/>
    <w:bookmarkEnd w:id="73"/>
    <w:bookmarkEnd w:id="74"/>
    <w:bookmarkStart w:id="75"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ascii="Times New Roman" w:hAnsi="Times New Roman"/>
          <w:sz w:val="24"/>
        </w:rP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480" w:lineRule="auto" w:after="120"/>
        <w:ind w:firstLine="480"/>
      </w:pPr>
      <w:r>
        <w:rPr>
          <w:rFonts w:ascii="Times New Roman" w:hAnsi="Times New Roman"/>
          <w:sz w:val="24"/>
        </w:rP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PocketXMol-tuned,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480" w:lineRule="auto" w:after="120"/>
        <w:ind w:firstLine="480"/>
      </w:pPr>
      <w:r>
        <w:rPr>
          <w:rFonts w:ascii="Times New Roman" w:hAnsi="Times New Roman"/>
          <w:sz w:val="24"/>
        </w:rP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75"/>
    <w:bookmarkStart w:id="128" w:name="methods"/>
    <w:p>
      <w:pPr>
        <w:pStyle w:val="Heading1"/>
        <w:keepNext/>
        <w:spacing w:line="480" w:lineRule="auto"/>
        <w:ind w:firstLine="0"/>
      </w:pPr>
      <w:r>
        <w:rPr>
          <w:rFonts w:ascii="Times New Roman" w:hAnsi="Times New Roman"/>
          <w:sz w:val="24"/>
        </w:rPr>
        <w:t xml:space="preserve">Methods</w:t>
      </w:r>
    </w:p>
    <w:p>
      <w:pPr>
        <w:pStyle w:val="FirstParagraph"/>
        <w:spacing w:line="480" w:lineRule="auto" w:after="120"/>
        <w:ind w:firstLine="480"/>
      </w:pPr>
      <w:r>
        <w:rPr>
          <w:rStyle w:val="MDFIGREF_eJyrrk7LTC9KTbMCUrq5qSUZ-Sm6ZRa1tQB3TQld"/>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 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ZRY1ibW1AIsmCjo"/>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ZRY1SbW1AIspCjs"/>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ZRY1ybW1AIssCjw"/>
          <w:rFonts w:ascii="Times New Roman" w:hAnsi="Times New Roman"/>
          <w:sz w:val="24"/>
        </w:rPr>
        <w:t xml:space="preserve">Fig. 2c</w:t>
      </w:r>
      <w:r>
        <w:rPr>
          <w:rFonts w:ascii="Times New Roman" w:hAnsi="Times New Roman"/>
          <w:sz w:val="24"/>
        </w:rPr>
        <w:t xml:space="preserve">).</w:t>
      </w:r>
    </w:p>
    <w:bookmarkStart w:id="76"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w:t>
      </w:r>
      <w:r>
        <w:rPr>
          <w:rStyle w:val="MDCITE_eJyLdigvL0hJMjIwMknNTUmKBQAvPwV9"/>
          <w:rFonts w:ascii="Times New Roman" w:hAnsi="Times New Roman"/>
          <w:sz w:val="24"/>
          <w:vertAlign w:val="superscript"/>
        </w:rPr>
        <w:t xml:space="preserve">16</w:t>
      </w:r>
      <w:r>
        <w:rPr>
          <w:rFonts w:ascii="Times New Roman" w:hAnsi="Times New Roman"/>
          <w:sz w:val="24"/>
        </w:rPr>
        <w:t xml:space="preserve"> </w:t>
      </w:r>
      <w:r>
        <w:rPr>
          <w:rFonts w:ascii="Times New Roman" w:hAnsi="Times New Roman"/>
          <w:sz w:val="24"/>
        </w:rPr>
        <w:t xml:space="preserve">and their corresponding PDB structures from the RCSB database</w:t>
      </w:r>
      <w:r>
        <w:rPr>
          <w:rStyle w:val="MDCITE_eJyLdkhKLcpNzDMyMDAoSEmKBQAuqQVm"/>
          <w:rFonts w:ascii="Times New Roman" w:hAnsi="Times New Roman"/>
          <w:sz w:val="24"/>
          <w:vertAlign w:val="superscript"/>
        </w:rPr>
        <w:t xml:space="preserve">17</w:t>
      </w:r>
      <w:r>
        <w:rPr>
          <w:rFonts w:ascii="Times New Roman" w:hAnsi="Times New Roman"/>
          <w:sz w:val="24"/>
        </w:rP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w:t>
      </w:r>
      <w:r>
        <w:rPr>
          <w:rStyle w:val="MDCITE_eJyLdiguSc3MS01PTy0yMjA0z80tTi0sNooFAG7cCLg"/>
          <w:rFonts w:ascii="Times New Roman" w:hAnsi="Times New Roman"/>
          <w:sz w:val="24"/>
          <w:vertAlign w:val="superscript"/>
        </w:rPr>
        <w:t xml:space="preserve">18</w:t>
      </w:r>
      <w:r>
        <w:rPr>
          <w:rFonts w:ascii="Times New Roman" w:hAnsi="Times New Roman"/>
          <w:sz w:val="24"/>
        </w:rPr>
        <w:t xml:space="preserve"> </w:t>
      </w:r>
      <w:r>
        <w:rPr>
          <w:rFonts w:ascii="Times New Roman" w:hAnsi="Times New Roman"/>
          <w:sz w:val="24"/>
        </w:rP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76"/>
    <w:bookmarkStart w:id="79"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77"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w:t>
      </w:r>
      <w:r>
        <w:rPr>
          <w:rStyle w:val="MDCITE_eJyLdihILSlJLSpOzTMyMDBJzsjMTS1KjAUAZfYIcg"/>
          <w:rFonts w:ascii="Times New Roman" w:hAnsi="Times New Roman"/>
          <w:sz w:val="24"/>
          <w:vertAlign w:val="superscript"/>
        </w:rPr>
        <w:t xml:space="preserve">19</w:t>
      </w:r>
      <w:r>
        <w:rPr>
          <w:rFonts w:ascii="Times New Roman" w:hAnsi="Times New Roman"/>
          <w:sz w:val="24"/>
        </w:rPr>
        <w:t xml:space="preserve">,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77"/>
    <w:bookmarkStart w:id="78"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78"/>
    <w:bookmarkEnd w:id="79"/>
    <w:bookmarkStart w:id="84" w:name="stage-1-find"/>
    <w:p>
      <w:pPr>
        <w:pStyle w:val="Heading2"/>
        <w:keepNext/>
        <w:spacing w:line="480" w:lineRule="auto"/>
        <w:ind w:firstLine="0"/>
      </w:pPr>
      <w:r>
        <w:rPr>
          <w:rFonts w:ascii="Times New Roman" w:hAnsi="Times New Roman"/>
          <w:sz w:val="24"/>
        </w:rPr>
        <w:t xml:space="preserve">Stage 1: Find</w:t>
      </w:r>
    </w:p>
    <w:bookmarkStart w:id="80"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80"/>
    <w:bookmarkStart w:id="81"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rFonts w:ascii="Times New Roman" w:hAnsi="Times New Roman"/>
          <w:sz w:val="24"/>
          <w:vertAlign w:val="superscript"/>
        </w:rPr>
        <w:t xml:space="preserve">20</w:t>
      </w:r>
      <w:r>
        <w:rPr>
          <w:rFonts w:ascii="Times New Roman" w:hAnsi="Times New Roman"/>
          <w:sz w:val="24"/>
        </w:rPr>
        <w:t xml:space="preserve"> </w:t>
      </w:r>
      <w:r>
        <w:rPr>
          <w:rFonts w:ascii="Times New Roman" w:hAnsi="Times New Roman"/>
          <w:sz w:val="24"/>
        </w:rPr>
        <w:t xml:space="preserve">and softly scatters the encoded features onto the voxel grid. The projected features are concatenated with the 56 density channels as input to a 3D U-Net</w:t>
      </w:r>
      <w:r>
        <w:rPr>
          <w:rStyle w:val="MDCITE_eJyLdkjOTE7NNjIwNDNOKc1LLYkFADg_BhQ"/>
          <w:rFonts w:ascii="Times New Roman" w:hAnsi="Times New Roman"/>
          <w:sz w:val="24"/>
          <w:vertAlign w:val="superscript"/>
        </w:rPr>
        <w:t xml:space="preserve">21</w:t>
      </w:r>
      <w:r>
        <w:rPr>
          <w:rFonts w:ascii="Times New Roman" w:hAnsi="Times New Roman"/>
          <w:sz w:val="24"/>
        </w:rPr>
        <w:t xml:space="preserve">. Before the point-cloud branch, Point Transformer V3</w:t>
      </w:r>
      <w:r>
        <w:rPr>
          <w:rStyle w:val="MDCITE_eJyLdigvNTIwMikoKTOOBQAdWAQ6"/>
          <w:rFonts w:ascii="Times New Roman" w:hAnsi="Times New Roman"/>
          <w:sz w:val="24"/>
          <w:vertAlign w:val="superscript"/>
        </w:rPr>
        <w:t xml:space="preserve">22</w:t>
      </w:r>
      <w:r>
        <w:rPr>
          <w:rFonts w:ascii="Times New Roman" w:hAnsi="Times New Roman"/>
          <w:sz w:val="24"/>
        </w:rPr>
        <w:t xml:space="preserve"> </w:t>
      </w:r>
      <w:r>
        <w:rPr>
          <w:rFonts w:ascii="Times New Roman" w:hAnsi="Times New Roman"/>
          <w:sz w:val="24"/>
        </w:rPr>
        <w:t xml:space="preserve">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w:t>
      </w:r>
      <w:r>
        <w:rPr>
          <w:rStyle w:val="MDCITE_eJyLdigvNTIwMikoKTOOBQAdWAQ6"/>
          <w:rFonts w:ascii="Times New Roman" w:hAnsi="Times New Roman"/>
          <w:sz w:val="24"/>
          <w:vertAlign w:val="superscript"/>
        </w:rPr>
        <w:t xml:space="preserve">22</w:t>
      </w:r>
      <w:r>
        <w:rPr>
          <w:rFonts w:ascii="Times New Roman" w:hAnsi="Times New Roman"/>
          <w:sz w:val="24"/>
        </w:rPr>
        <w:t xml:space="preserve">.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w:t>
      </w:r>
      <w:r>
        <w:rPr>
          <w:rStyle w:val="MDCITE_eJyLdkhMKkrMLc7PMzIwMknMKchITMvPSTGOBQB0aQjy"/>
          <w:rFonts w:ascii="Times New Roman" w:hAnsi="Times New Roman"/>
          <w:sz w:val="24"/>
          <w:vertAlign w:val="superscript"/>
        </w:rPr>
        <w:t xml:space="preserve">23</w:t>
      </w:r>
      <w:r>
        <w:rPr>
          <w:rFonts w:ascii="Times New Roman" w:hAnsi="Times New Roman"/>
          <w:sz w:val="24"/>
        </w:rP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81"/>
    <w:bookmarkStart w:id="82"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24</w:t>
      </w:r>
      <w:r>
        <w:rPr>
          <w:rFonts w:ascii="Times New Roman" w:hAnsi="Times New Roman"/>
          <w:sz w:val="24"/>
        </w:rPr>
        <w:t xml:space="preserve"> </w:t>
      </w:r>
      <w:r>
        <w:rPr>
          <w:rFonts w:ascii="Times New Roman" w:hAnsi="Times New Roman"/>
          <w:sz w:val="24"/>
        </w:rPr>
        <w:t xml:space="preserve">and Dice loss</w:t>
      </w:r>
      <w:r>
        <w:rPr>
          <w:rStyle w:val="MDCITE_eJyLdsjNzMlJLUksyjQyMDQry0stiQUATPQHQg"/>
          <w:rFonts w:ascii="Times New Roman" w:hAnsi="Times New Roman"/>
          <w:sz w:val="24"/>
          <w:vertAlign w:val="superscript"/>
        </w:rPr>
        <w:t xml:space="preserve">25</w:t>
      </w:r>
      <w:r>
        <w:rPr>
          <w:rFonts w:ascii="Times New Roman" w:hAnsi="Times New Roman"/>
          <w:sz w:val="24"/>
        </w:rPr>
        <w:t xml:space="preserve"> </w:t>
      </w:r>
      <w:r>
        <w:rPr>
          <w:rFonts w:ascii="Times New Roman" w:hAnsi="Times New Roman"/>
          <w:sz w:val="24"/>
        </w:rPr>
        <w:t xml:space="preserve">with weights of 0.7 and 0.3, respectively.</w:t>
      </w:r>
    </w:p>
    <w:bookmarkEnd w:id="82"/>
    <w:bookmarkStart w:id="83"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26</w:t>
      </w:r>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83"/>
    <w:bookmarkEnd w:id="84"/>
    <w:bookmarkStart w:id="90" w:name="stage-2-match"/>
    <w:p>
      <w:pPr>
        <w:pStyle w:val="Heading2"/>
        <w:keepNext/>
        <w:spacing w:line="480" w:lineRule="auto"/>
        <w:ind w:firstLine="0"/>
      </w:pPr>
      <w:r>
        <w:rPr>
          <w:rFonts w:ascii="Times New Roman" w:hAnsi="Times New Roman"/>
          <w:sz w:val="24"/>
        </w:rPr>
        <w:t xml:space="preserve">Stage 2: Match</w:t>
      </w:r>
    </w:p>
    <w:bookmarkStart w:id="85"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85"/>
    <w:bookmarkStart w:id="86"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w:t>
      </w:r>
      <w:r>
        <w:rPr>
          <w:rStyle w:val="MDCITE_eJyLdijOTyxKLTYyMDItzs0sSU2JBQBDqwbV"/>
          <w:rFonts w:ascii="Times New Roman" w:hAnsi="Times New Roman"/>
          <w:sz w:val="24"/>
          <w:vertAlign w:val="superscript"/>
        </w:rPr>
        <w:t xml:space="preserve">27</w:t>
      </w:r>
      <w:r>
        <w:rPr>
          <w:rFonts w:ascii="Times New Roman" w:hAnsi="Times New Roman"/>
          <w:sz w:val="24"/>
        </w:rPr>
        <w:t xml:space="preserve"> </w:t>
      </w:r>
      <w:r>
        <w:rPr>
          <w:rFonts w:ascii="Times New Roman" w:hAnsi="Times New Roman"/>
          <w:sz w:val="24"/>
        </w:rPr>
        <w:t xml:space="preserve">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Style w:val="MDCITE_eJyLdihLLC5PzMs0MjA0TywpSc0ryczPiwUAZH0Ikg"/>
          <w:rFonts w:ascii="Times New Roman" w:hAnsi="Times New Roman"/>
          <w:sz w:val="24"/>
          <w:vertAlign w:val="superscript"/>
        </w:rPr>
        <w:t xml:space="preserve">28</w:t>
      </w:r>
      <w:r>
        <w:rPr>
          <w:rFonts w:ascii="Times New Roman" w:hAnsi="Times New Roman"/>
          <w:sz w:val="24"/>
        </w:rPr>
        <w:t xml:space="preserve"> </w:t>
      </w:r>
      <w:r>
        <w:rPr>
          <w:rFonts w:ascii="Times New Roman" w:hAnsi="Times New Roman"/>
          <w:sz w:val="24"/>
        </w:rPr>
        <w:t xml:space="preserve">(</w:t>
      </w:r>
      <w:r>
        <w:rPr>
          <w:rStyle w:val="MDFIGREF_eJyrrk7LTC9KTbMCUrq5qSUZ-Sm6ZRY1SbW1AIspCjs"/>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86"/>
    <w:bookmarkStart w:id="87"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 </w:t>
      </w:r>
      <w:r>
        <w:rPr>
          <w:rFonts w:ascii="Times New Roman" w:hAnsi="Times New Roman"/>
          <w:sz w:val="24"/>
        </w:rPr>
        <w:t xml:space="preserve">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87"/>
    <w:bookmarkStart w:id="88"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88"/>
    <w:bookmarkStart w:id="89"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89"/>
    <w:bookmarkEnd w:id="90"/>
    <w:bookmarkStart w:id="93" w:name="stage-3-build"/>
    <w:p>
      <w:pPr>
        <w:pStyle w:val="Heading2"/>
        <w:keepNext/>
        <w:spacing w:line="480" w:lineRule="auto"/>
        <w:ind w:firstLine="0"/>
      </w:pPr>
      <w:r>
        <w:rPr>
          <w:rFonts w:ascii="Times New Roman" w:hAnsi="Times New Roman"/>
          <w:sz w:val="24"/>
        </w:rPr>
        <w:t xml:space="preserve">Stage 3: Build</w:t>
      </w:r>
    </w:p>
    <w:bookmarkStart w:id="91" w:name="overview-2"/>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rFonts w:ascii="Times New Roman" w:hAnsi="Times New Roman"/>
          <w:sz w:val="24"/>
          <w:vertAlign w:val="superscript"/>
        </w:rPr>
        <w:t xml:space="preserve">30</w:t>
      </w:r>
      <w:r>
        <w:rPr>
          <w:rFonts w:ascii="Times New Roman" w:hAnsi="Times New Roman"/>
          <w:sz w:val="24"/>
        </w:rPr>
        <w:t xml:space="preserve">,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a unified generative model for small molecules, to incorporate local cryo-EM density as an explicit conditioning signal, initialising it with official weights and fine-tuning it on single-residue organic small molecules.</w:t>
      </w:r>
    </w:p>
    <w:bookmarkEnd w:id="91"/>
    <w:bookmarkStart w:id="92"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92"/>
    <w:bookmarkEnd w:id="93"/>
    <w:bookmarkStart w:id="127" w:name="end-to-end-evaluation-process"/>
    <w:p>
      <w:pPr>
        <w:pStyle w:val="Heading2"/>
        <w:keepNext/>
        <w:spacing w:line="480" w:lineRule="auto"/>
        <w:ind w:firstLine="0"/>
      </w:pPr>
      <w:r>
        <w:rPr>
          <w:rFonts w:ascii="Times New Roman" w:hAnsi="Times New Roman"/>
          <w:sz w:val="24"/>
        </w:rPr>
        <w:t xml:space="preserve">End-to-end evaluation process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6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0uPHDUQ_ivWXNmZnpl9sNuElVb7QEhLtNrAiUYrj7umx5pu29jueYQg5RAJOHBDSAg4cIJTuCAhiAT_JSJkfgZVds_s5AGKyENaKSvNdtmu-qpsV7mqPmkZ7ketlLUefnXvwbd_JMf948XPd_669-vi7g-LX35b_HjnweffdIzxs9YGa1lwupxATgKHaZZ94MC6LOtt7_X2suwI3Nhrk2WLu7___fVniy-_ePjTn1kWkbPsv6EVr4BgoQ9tLoSulZeqaNu6BNfOLR964hLceKnVRcXtuDbI_2Hr2jQ1bFaVyqXTt7PWyHuTJokTI6i462gDCheH2lbc49AWyVTb3FgtwDnUUJVJv9vdSSouVdbaJ7QzGz43_LwENk0nvETcdytewGFUT3zJkoN4xwDmVCpwYX5tNE2d4QLVIE6JUwjU3-pmrWZ4jrvDKV573WA27CQpVY5sQ2mdP42i3YYJV6IB0dL4r6FPtPIO5bgTUqLM-7ICx67DlJ3riqugenSg3FPXAmqEILBBGA8CeRj3Fr5o5s3VwfS3lqbfjOLREE93ErZDlhv0HLATQNYTWXRYb4fdYocjbgs6m3DJDO-I-almoPK21238MEAVNacjZw48OYTrkA4fNb3UzT_HFtmrsvGlXBC_Aie8wU5lwdFRLBTkHTl4EMFPcJLJHPD18HOGMS9G5GFcWO0c42XJyiDIRMmdA9dhg3_F2ngaEIoa7YBZEFo5b-uolpwXEFoO8M1wFSmqdAmCPHsDIYcYwTnjjtGbUwLqcjKvgeGDxJUUj4uwqfQjpjTjXleOVTK8VR12cAXu5pV5_3PYeP_2d2_07t_-_gqYehWOExOSFNwjvB9xj_-ACXrcyeW9h8p4JpWwwDHi2GDOtIK3AhcvC23R1SvmsHJwuCAgLjRipawkCjuMN44pPceAobAY1ha5LBMYjzIPmrkFVoACi6OclBBMjOwbAOP2CRr5Onm8sPA5sYAP3Via11H0omysgCsXztRQqglRVFuLKejSz0Ni0HWIJ1yLKYnxPJeUhnjZxF2HHYGQjjKT0jkaLNUEK3dib_LfSHpMTM3Azw1F0HrqFBo1C49VbAyttVJMYMSClZwNMJ4xIlUw1cIQ0FaMX66U9oE1YpI4zjAsuieIj-p0kKjQspJyolSm9o9VdlTe7rc-wpp_Veu3tt_c3Nzqbc82d_u7u92tW9eMFCn-mvKfP1P5j73E9Im6v0FArP-DgWK-trCCsc8EoodDKeBIi7rCM49IFsp4cCNpHHkP7VBNzqQg36GBuD45s1hQOEFaDtMk9GBJaMGSpgNL1huwhB5S3KaqUUQafzGUBRrrLvL5aPPj2ayXxImLLv71djpGFbgRmSP63g5S1JghfbbcI17Nyo5Lk6KBnE7wVIuxwwvH8l4VcGCtno6A5w5BeoS3XHAG_StOIual6JqCiJo8cQiDUpoTWZakkeggHwmeYlEGWK0ROUSec9QS1h8ZrJiSR_Fo5LCvYoPpe-iea80ZT2dDW9EXL47NYjvG5qu2LMzTMswwXmm9cVfkEsTWeG3DjFzhuwQ12Oa9A7piRCA3BV9UyyenLvJeUktuWlc6mp5ckjwtFaNueG-7vx1RnspF93Icmsk1mqeey3I5vU6XqjkvZ1b3gr_91qf_AEUCsXA" id="95" name="Picture"/>
            <a:graphic>
              <a:graphicData uri="http://schemas.openxmlformats.org/drawingml/2006/picture">
                <pic:pic>
                  <pic:nvPicPr>
                    <pic:cNvPr descr="C:/Users/15919/Desktop/论文草稿/temp/manuscript_figures_dyh3qxx1/figure_000016.png" id="96" name="Picture"/>
                    <pic:cNvPicPr>
                      <a:picLocks noChangeArrowheads="1" noChangeAspect="1"/>
                    </pic:cNvPicPr>
                  </pic:nvPicPr>
                  <pic:blipFill>
                    <a:blip r:embed="rId94"/>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We evaluated two end-to-end tasks: region detection and identity matching across all ligand categories, and full pose reconstruction for organic small molecules with no missing atoms. The attempt-accounting rules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16</w:t>
      </w:r>
      <w:r>
        <w:rPr>
          <w:rFonts w:ascii="Times New Roman" w:hAnsi="Times New Roman"/>
          <w:sz w:val="24"/>
        </w:rPr>
        <w:t xml:space="preserve"> </w:t>
      </w:r>
      <w:r>
        <w:rPr>
          <w:rFonts w:ascii="Times New Roman" w:hAnsi="Times New Roman"/>
          <w:sz w:val="24"/>
        </w:rPr>
        <w:t xml:space="preserve">and detailed below.</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480" w:lineRule="auto" w:after="120"/>
        <w:ind w:firstLine="480"/>
      </w:pPr>
      <w:r>
        <w:rPr>
          <w:rFonts w:ascii="Times New Roman" w:hAnsi="Times New Roman"/>
          <w:sz w:val="24"/>
        </w:rPr>
        <w:t xml:space="preserve">For end-to-end modelling of single-residue small molecules with no missing atoms,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PocketXMol-tuned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single-residue, complete organic small-molecule subset is correctly detected and matched, we still skip docking without consuming an attempt. This ensures that all evaluated docking tasks use the same downstream tool, PocketXMol-tuned. However, a region corresponding to a true non-small-molecule ligand consumes one attempt if it is misidentified as a small molecule. In this case, it is actually an unmatched distractor and counts as a failed attempt.</w:t>
      </w:r>
    </w:p>
    <w:p>
      <w:pPr>
        <w:pStyle w:val="BodyText"/>
        <w:spacing w:line="480" w:lineRule="auto" w:after="120"/>
        <w:ind w:firstLine="480"/>
      </w:pPr>
      <w:r>
        <w:rPr>
          <w:rFonts w:ascii="Times New Roman" w:hAnsi="Times New Roman"/>
          <w:sz w:val="24"/>
        </w:rP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7">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8">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9">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0">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1">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2">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3">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4">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5">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6">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7">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8">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9">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10">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11">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12">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13">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14">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15">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16">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17">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18">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19">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20">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21">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22">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23">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Vaswani, A. et al.</w:t>
      </w:r>
      <w:r>
        <w:rPr>
          <w:rFonts w:ascii="Times New Roman" w:hAnsi="Times New Roman"/>
          <w:sz w:val="24"/>
        </w:rPr>
        <w:t xml:space="preserve"> </w:t>
      </w:r>
      <w:hyperlink r:id="rId124">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p>
      <w:pPr>
        <w:pStyle w:val="MDConverterBibliography"/>
        <w:spacing w:line="480" w:lineRule="auto"/>
      </w:pPr>
      <w:r>
        <w:rPr>
          <w:rFonts w:ascii="Times New Roman" w:hAnsi="Times New Roman"/>
          <w:sz w:val="24"/>
        </w:rPr>
        <w:t xml:space="preserve">29.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25">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26">
        <w:r>
          <w:rPr>
            <w:rStyle w:val="Hyperlink"/>
          </w:rPr>
          <w:t xml:space="preserve">10.1002/jcc.21334</w:t>
        </w:r>
      </w:hyperlink>
      <w:r>
        <w:rPr>
          <w:rFonts w:ascii="Times New Roman" w:hAnsi="Times New Roman"/>
          <w:sz w:val="24"/>
        </w:rPr>
        <w:t xml:space="preserve">.</w:t>
      </w:r>
    </w:p>
    <w:bookmarkEnd w:id="127"/>
    <w:bookmarkEnd w:id="128"/>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LckoSk1NTixO1c1NzMyrSa6tBQDqfw11">
    <w:name w:val="MDFIGREF_eJyrrk7LTC9KTbMqLklMTzXULckoSk1NTixO1c1NzMyrSa6tBQDqfw11"/>
    <w:basedOn w:val="BodyTextChar"/>
  </w:style>
  <w:style w:type="character" w:customStyle="1" w:styleId="MDFIGREF_eJyrrk7LTC9KTbMqLklMTzXULckoSk1NTixO1c1NzMyrSaqtBQDqfA10">
    <w:name w:val="MDFIGREF_eJyrrk7LTC9KTbMqLklMTzXULckoSk1NTixO1c1NzMyrSaqtBQDqfA10"/>
    <w:basedOn w:val="BodyTextChar"/>
  </w:style>
  <w:style w:type="character" w:customStyle="1" w:styleId="MDFIGREF_eJyrrk7LTC9KTbMqLklMTzXULckoSk1NTixO1c1NzMyrSaytBQDqeQ1z">
    <w:name w:val="MDFIGREF_eJyrrk7LTC9KTbMqLklMTzXULckoSk1NTixO1c1NzMyrSaytBQDqeQ1z"/>
    <w:basedOn w:val="BodyTextChar"/>
  </w:style>
  <w:style w:type="character" w:customStyle="1" w:styleId="MDFIGREF_eJyrrk7LTC9KTbMqLklMTzXULckoSk1NTixO1c1NzMyrSXzUMDm5thYAJ60Pyw">
    <w:name w:val="MDFIGREF_eJyrrk7LTC9KTbMqLklMTzXULckoSk1NTixO1c1NzMyrSXzUMDm5thYAJ60Pyw"/>
    <w:basedOn w:val="BodyTextChar"/>
  </w:style>
  <w:style w:type="character" w:customStyle="1" w:styleId="MDFIGREF_eJyrrk7LTC9KTbMqLklMTzXULckoSk1NTixO1c1NzMyrSXzUMDmpthYAJ6oPyg">
    <w:name w:val="MDFIGREF_eJyrrk7LTC9KTbMqLklMTzXULckoSk1NTixO1c1NzMyrSXzUMDmpthYAJ6oPyg"/>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94" Type="http://schemas.openxmlformats.org/officeDocument/2006/relationships/image" Target="media/rId94.png"/><Relationship Id="rId115" Type="http://schemas.openxmlformats.org/officeDocument/2006/relationships/hyperlink" Target="https://doi.org/10.1002/jcc.20084" TargetMode="External"/><Relationship Id="rId126" Type="http://schemas.openxmlformats.org/officeDocument/2006/relationships/hyperlink" Target="https://doi.org/10.1002/jcc.21334" TargetMode="External"/><Relationship Id="rId111" Type="http://schemas.openxmlformats.org/officeDocument/2006/relationships/hyperlink" Target="https://doi.org/10.1002/nav.3800020109" TargetMode="External"/><Relationship Id="rId117" Type="http://schemas.openxmlformats.org/officeDocument/2006/relationships/hyperlink" Target="https://doi.org/10.1007/978-3-319-46723-8_49" TargetMode="External"/><Relationship Id="rId106" Type="http://schemas.openxmlformats.org/officeDocument/2006/relationships/hyperlink" Target="https://doi.org/10.1016/j.cell.2026.01.003" TargetMode="External"/><Relationship Id="rId108" Type="http://schemas.openxmlformats.org/officeDocument/2006/relationships/hyperlink" Target="https://doi.org/10.1016/j.str.2020.04.018" TargetMode="External"/><Relationship Id="rId104" Type="http://schemas.openxmlformats.org/officeDocument/2006/relationships/hyperlink" Target="https://doi.org/10.1016/j.str.2025.07.002" TargetMode="External"/><Relationship Id="rId98" Type="http://schemas.openxmlformats.org/officeDocument/2006/relationships/hyperlink" Target="https://doi.org/10.1016/j.tibs.2014.10.005" TargetMode="External"/><Relationship Id="rId109" Type="http://schemas.openxmlformats.org/officeDocument/2006/relationships/hyperlink" Target="https://doi.org/10.1021/acs.jmedchem.3c01134" TargetMode="External"/><Relationship Id="rId110" Type="http://schemas.openxmlformats.org/officeDocument/2006/relationships/hyperlink" Target="https://doi.org/10.1021/ci00057a005" TargetMode="External"/><Relationship Id="rId97" Type="http://schemas.openxmlformats.org/officeDocument/2006/relationships/hyperlink" Target="https://doi.org/10.1038/d41586-020-00341-9" TargetMode="External"/><Relationship Id="rId114" Type="http://schemas.openxmlformats.org/officeDocument/2006/relationships/hyperlink" Target="https://doi.org/10.1038/nbt.3988" TargetMode="External"/><Relationship Id="rId107" Type="http://schemas.openxmlformats.org/officeDocument/2006/relationships/hyperlink" Target="https://doi.org/10.1038/s41467-023-36732-5" TargetMode="External"/><Relationship Id="rId99" Type="http://schemas.openxmlformats.org/officeDocument/2006/relationships/hyperlink" Target="https://doi.org/10.1038/s41586-024-07215-4" TargetMode="External"/><Relationship Id="rId119" Type="http://schemas.openxmlformats.org/officeDocument/2006/relationships/hyperlink" Target="https://doi.org/10.1038/s41586-024-07487-w" TargetMode="External"/><Relationship Id="rId122" Type="http://schemas.openxmlformats.org/officeDocument/2006/relationships/hyperlink" Target="https://doi.org/10.1038/s41592-020-01008-z" TargetMode="External"/><Relationship Id="rId101" Type="http://schemas.openxmlformats.org/officeDocument/2006/relationships/hyperlink" Target="https://doi.org/10.1038/s41594-025-01723-1" TargetMode="External"/><Relationship Id="rId123" Type="http://schemas.openxmlformats.org/officeDocument/2006/relationships/hyperlink" Target="https://doi.org/10.1038/s42004-025-01585-0" TargetMode="External"/><Relationship Id="rId113" Type="http://schemas.openxmlformats.org/officeDocument/2006/relationships/hyperlink" Target="https://doi.org/10.1093/nar/28.1.235" TargetMode="External"/><Relationship Id="rId112" Type="http://schemas.openxmlformats.org/officeDocument/2006/relationships/hyperlink" Target="https://doi.org/10.1093/nar/gkad1019" TargetMode="External"/><Relationship Id="rId121" Type="http://schemas.openxmlformats.org/officeDocument/2006/relationships/hyperlink" Target="https://doi.org/10.1109/3dv.2016.79" TargetMode="External"/><Relationship Id="rId116" Type="http://schemas.openxmlformats.org/officeDocument/2006/relationships/hyperlink" Target="https://doi.org/10.1109/cvpr52688.2022.01644" TargetMode="External"/><Relationship Id="rId118" Type="http://schemas.openxmlformats.org/officeDocument/2006/relationships/hyperlink" Target="https://doi.org/10.1109/cvpr52733.2024.00463" TargetMode="External"/><Relationship Id="rId120" Type="http://schemas.openxmlformats.org/officeDocument/2006/relationships/hyperlink" Target="https://doi.org/10.1109/iccv.2017.324" TargetMode="External"/><Relationship Id="rId102" Type="http://schemas.openxmlformats.org/officeDocument/2006/relationships/hyperlink" Target="https://doi.org/10.1126/science.aat4346" TargetMode="External"/><Relationship Id="rId125" Type="http://schemas.openxmlformats.org/officeDocument/2006/relationships/hyperlink" Target="https://doi.org/10.1609/aaai.v32i1.11671" TargetMode="External"/><Relationship Id="rId103" Type="http://schemas.openxmlformats.org/officeDocument/2006/relationships/hyperlink" Target="https://doi.org/10.64898/2026.06.01.729423" TargetMode="External"/><Relationship Id="rId100" Type="http://schemas.openxmlformats.org/officeDocument/2006/relationships/hyperlink" Target="https://doi.org/10.65215/LTSpreprints.2026.04.14.000185" TargetMode="External"/><Relationship Id="rId105" Type="http://schemas.openxmlformats.org/officeDocument/2006/relationships/hyperlink" Target="https://openreview.net/forum?id=kKF8_K-mBbS" TargetMode="External"/><Relationship Id="rId124"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15" Type="http://schemas.openxmlformats.org/officeDocument/2006/relationships/hyperlink" Target="https://doi.org/10.1002/jcc.20084" TargetMode="External"/><Relationship Id="rId126" Type="http://schemas.openxmlformats.org/officeDocument/2006/relationships/hyperlink" Target="https://doi.org/10.1002/jcc.21334" TargetMode="External"/><Relationship Id="rId111" Type="http://schemas.openxmlformats.org/officeDocument/2006/relationships/hyperlink" Target="https://doi.org/10.1002/nav.3800020109" TargetMode="External"/><Relationship Id="rId117" Type="http://schemas.openxmlformats.org/officeDocument/2006/relationships/hyperlink" Target="https://doi.org/10.1007/978-3-319-46723-8_49" TargetMode="External"/><Relationship Id="rId106" Type="http://schemas.openxmlformats.org/officeDocument/2006/relationships/hyperlink" Target="https://doi.org/10.1016/j.cell.2026.01.003" TargetMode="External"/><Relationship Id="rId108" Type="http://schemas.openxmlformats.org/officeDocument/2006/relationships/hyperlink" Target="https://doi.org/10.1016/j.str.2020.04.018" TargetMode="External"/><Relationship Id="rId104" Type="http://schemas.openxmlformats.org/officeDocument/2006/relationships/hyperlink" Target="https://doi.org/10.1016/j.str.2025.07.002" TargetMode="External"/><Relationship Id="rId98" Type="http://schemas.openxmlformats.org/officeDocument/2006/relationships/hyperlink" Target="https://doi.org/10.1016/j.tibs.2014.10.005" TargetMode="External"/><Relationship Id="rId109" Type="http://schemas.openxmlformats.org/officeDocument/2006/relationships/hyperlink" Target="https://doi.org/10.1021/acs.jmedchem.3c01134" TargetMode="External"/><Relationship Id="rId110" Type="http://schemas.openxmlformats.org/officeDocument/2006/relationships/hyperlink" Target="https://doi.org/10.1021/ci00057a005" TargetMode="External"/><Relationship Id="rId97" Type="http://schemas.openxmlformats.org/officeDocument/2006/relationships/hyperlink" Target="https://doi.org/10.1038/d41586-020-00341-9" TargetMode="External"/><Relationship Id="rId114" Type="http://schemas.openxmlformats.org/officeDocument/2006/relationships/hyperlink" Target="https://doi.org/10.1038/nbt.3988" TargetMode="External"/><Relationship Id="rId107" Type="http://schemas.openxmlformats.org/officeDocument/2006/relationships/hyperlink" Target="https://doi.org/10.1038/s41467-023-36732-5" TargetMode="External"/><Relationship Id="rId99" Type="http://schemas.openxmlformats.org/officeDocument/2006/relationships/hyperlink" Target="https://doi.org/10.1038/s41586-024-07215-4" TargetMode="External"/><Relationship Id="rId119" Type="http://schemas.openxmlformats.org/officeDocument/2006/relationships/hyperlink" Target="https://doi.org/10.1038/s41586-024-07487-w" TargetMode="External"/><Relationship Id="rId122" Type="http://schemas.openxmlformats.org/officeDocument/2006/relationships/hyperlink" Target="https://doi.org/10.1038/s41592-020-01008-z" TargetMode="External"/><Relationship Id="rId101" Type="http://schemas.openxmlformats.org/officeDocument/2006/relationships/hyperlink" Target="https://doi.org/10.1038/s41594-025-01723-1" TargetMode="External"/><Relationship Id="rId123" Type="http://schemas.openxmlformats.org/officeDocument/2006/relationships/hyperlink" Target="https://doi.org/10.1038/s42004-025-01585-0" TargetMode="External"/><Relationship Id="rId113" Type="http://schemas.openxmlformats.org/officeDocument/2006/relationships/hyperlink" Target="https://doi.org/10.1093/nar/28.1.235" TargetMode="External"/><Relationship Id="rId112" Type="http://schemas.openxmlformats.org/officeDocument/2006/relationships/hyperlink" Target="https://doi.org/10.1093/nar/gkad1019" TargetMode="External"/><Relationship Id="rId121" Type="http://schemas.openxmlformats.org/officeDocument/2006/relationships/hyperlink" Target="https://doi.org/10.1109/3dv.2016.79" TargetMode="External"/><Relationship Id="rId116" Type="http://schemas.openxmlformats.org/officeDocument/2006/relationships/hyperlink" Target="https://doi.org/10.1109/cvpr52688.2022.01644" TargetMode="External"/><Relationship Id="rId118" Type="http://schemas.openxmlformats.org/officeDocument/2006/relationships/hyperlink" Target="https://doi.org/10.1109/cvpr52733.2024.00463" TargetMode="External"/><Relationship Id="rId120" Type="http://schemas.openxmlformats.org/officeDocument/2006/relationships/hyperlink" Target="https://doi.org/10.1109/iccv.2017.324" TargetMode="External"/><Relationship Id="rId102" Type="http://schemas.openxmlformats.org/officeDocument/2006/relationships/hyperlink" Target="https://doi.org/10.1126/science.aat4346" TargetMode="External"/><Relationship Id="rId125" Type="http://schemas.openxmlformats.org/officeDocument/2006/relationships/hyperlink" Target="https://doi.org/10.1609/aaai.v32i1.11671" TargetMode="External"/><Relationship Id="rId103" Type="http://schemas.openxmlformats.org/officeDocument/2006/relationships/hyperlink" Target="https://doi.org/10.64898/2026.06.01.729423" TargetMode="External"/><Relationship Id="rId100" Type="http://schemas.openxmlformats.org/officeDocument/2006/relationships/hyperlink" Target="https://doi.org/10.65215/LTSpreprints.2026.04.14.000185" TargetMode="External"/><Relationship Id="rId105" Type="http://schemas.openxmlformats.org/officeDocument/2006/relationships/hyperlink" Target="https://openreview.net/forum?id=kKF8_K-mBbS" TargetMode="External"/><Relationship Id="rId124"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2026-10-24T05:38:21Z</dcterms:created>
  <dcterms:modified xsi:type="dcterms:W3CDTF">2026-10-24T05:38:21Z</dcterms:modified>
</cp:coreProperties>
</file>

<file path=docProps/custom.xml><?xml version="1.0" encoding="utf-8"?>
<Properties xmlns="http://schemas.openxmlformats.org/officeDocument/2006/custom-properties" xmlns:vt="http://schemas.openxmlformats.org/officeDocument/2006/docPropsVTypes"/>
</file>