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ydUs2O0zAQfpUoZ1g37ZZto6US6gKXBVVI3CxV3sRJrCa2ZTtpECBxgz1wQ1x4ADjxAKwET8NuH4OZOP1ZLQdEpMifZz5_M_PZr0PNXBHGQXjz6er3l5_k-t3V5usHQEdauza8F4SGW1U2PEXSPKb0peXGUhqNp9GU0jNuV05pSjfff1x_fr_5eHnz7RelXo3Su3KSVRylMpHfVw03jeDrZTPEVMXMqtaYHJ-MRsfRuI2mx9HkZPLmVIskhj9oq1LamD2kYeGcjgmxScErZo-U5hKSmTIVc7A1OUkNWwuZVyUZDgYPSMWEpGGvAFr_owHHXG34Tsb8k4jKMpHwM5XUFZfOKxleMieUtIXQloazbkLZLESyMH6TPG8WJki5TbDKPCad8aTznfS2k0PXieOVhjFlDUeEdkuwGJq1y8l0UtsmHxAfWA7wi460zGEQkYJ6NAKENwN4sZ1xdkp2fexb8g0ydPBcJSsbSDUvmMz5I2PUuuAstSiIetuE1TxxPgia-6MHBbwquWPCRSn0E1GWWBFxd94DFltnuEsKhBlwXkCVLn9rsyOR23q4sxocvlg_UykOzmqnsEMWt5mpcIWLC1rIDGCaV37tNCGOad66IMF8_1yBlSCtf7U9GVjduhXVxrqnXFUBAmAb6NSXZc259dw92rIxL5Vvnewhi0sZrEFlOh6OvcpfWXgvj2XaRXeYxY6Jchs-xKXs_UKHegj_LHz7Byx6fzU" id="12" name="Picture"/>
            <a:graphic>
              <a:graphicData uri="http://schemas.openxmlformats.org/drawingml/2006/picture">
                <pic:pic>
                  <pic:nvPicPr>
                    <pic:cNvPr descr="C:/Users/15919/Desktop/论文草稿/temp/manuscript_figures_898usvg0/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480" w:lineRule="auto"/>
        <w:ind w:firstLine="0"/>
        <w:jc w:val="center"/>
      </w:pPr>
      <w:r>
        <w:rPr>
          <w:rFonts w:ascii="Times New Roman" w:hAnsi="Times New Roman"/>
          <w:sz w:val="24"/>
        </w:rPr>
        <w:drawing>
          <wp:inline>
            <wp:extent cx="5733415" cy="677263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 c, Foreground classification and identity assignment in Match. The candidate encoder processes a 48³ grid centred on each blob with a U-Net to generate voxel summary h_j^{\mathrm{vox}}. Find-derived blob, pocket and pseudo-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ydUs1u1DAQfpUoZ7rO7nZ3u1FZCW2BS4tWSNwsVW7iJNYmtmU72SBA4oY49Ia48AKceACQ4Glo-xjMxNmfih4QkSJ_4_n8zcxnvwk1c0UYB-Htpx-_v_wkF9wVKr15j8FAa9eGj4LQcKvKhqfIW8aUvrLcWEqHk_lwTukZt2unNKV3377ffP5wd_3x9usvSr0gpQ8qSlZxVMtEflR1hKPmGBMVM-taY2oyG4-Ph5N2OpuNpuPo7akWSQx_0FaltDF7TMPCOR0TYpOCV8wOlOYSkpkyFXMQmpykhm2EzKuSjKJoSiomJA17BdD6Hw045mrDdzLmn0RUlomEn6mkrrh0XsnwkjmhpC2EtjRcdBPKZiWSlfFB8qJZmSDlNsEqy5h0zpPOeNL7Tg5tJ45XGsaUNRwR2l2CwdCsvTyZn9S2ySPiNy4j_EYDLXMYRKSgPpwCwnsBvNrOuDgluz72LfkGGTp4rpK1DaRaFkzm_IkxalNwlloURL1twmqeOL8JmvujBwW8KvnLhKtS6GeiLLEi4u68Byy2znCXFAgz4LyEKl3-XrAjkft6GFkNDl9tLlSKg7PaKeyQxW1mKlzh4oIWMhFM89qvnSbsY5q3Lkgw3z9XYCVI619tTwZWt25FtbHuOVdVgADYBjr1ZVlzbj13j7ZszEvlWyd7yOJSBhtQmU9GE6_yIAvv5alMu90dZrFjotxuH-JS9n6hQz2EfxG--wNTlH6Z" id="15" name="Picture"/>
            <a:graphic>
              <a:graphicData uri="http://schemas.openxmlformats.org/drawingml/2006/picture">
                <pic:pic>
                  <pic:nvPicPr>
                    <pic:cNvPr descr="C:/Users/15919/Desktop/论文草稿/temp/manuscript_figures_898usvg0/figure_000002.png" id="16" name="Picture"/>
                    <pic:cNvPicPr>
                      <a:picLocks noChangeArrowheads="1" noChangeAspect="1"/>
                    </pic:cNvPicPr>
                  </pic:nvPicPr>
                  <pic:blipFill>
                    <a:blip r:embed="rId14"/>
                    <a:stretch>
                      <a:fillRect/>
                    </a:stretch>
                  </pic:blipFill>
                  <pic:spPr bwMode="auto">
                    <a:xfrm>
                      <a:off x="0" y="0"/>
                      <a:ext cx="5733415" cy="6772630"/>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2 | Network architecture and data flow of LigandSeek’s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Shared inputs. Experimental cryo-electron microscopy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ascii="Times New Roman" w:hAnsi="Times New Roman"/>
          <w:sz w:val="24"/>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Foreground classification and identity assignment in Match. The candidate encoder processes a 48³ grid centred on each blob with a U-Net to generate voxel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pocket and pseudo-atom features modulate</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via dual pooling, cross-attention and FiLM, yielding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Finally, a foreground head predicts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and learned cosine scoring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produces the assignment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Pose reconstruction in Build. The blob geometric centre</w:t>
      </w:r>
      <w:r>
        <w:rPr>
          <w:rFonts w:ascii="Times New Roman" w:hAnsi="Times New Roman"/>
          <w:sz w:val="24"/>
        </w:rPr>
        <w:t xml:space="preserve"> </w:t>
      </w:r>
      <m:oMath>
        <m:r>
          <m:t>p</m:t>
        </m:r>
      </m:oMath>
      <w:r>
        <w:rPr>
          <w:rFonts w:ascii="Times New Roman" w:hAnsi="Times New Roman"/>
          <w:sz w:val="24"/>
        </w:rPr>
        <w:t xml:space="preserve">, Match-assigned ligand identity and pocket environment are supplied to docking tools to generate ligand poses. The default tool is PocketXMol fine-tuned with density guidance. Vina, DiffDock and EMERALD are also supported.</w:t>
      </w:r>
    </w:p>
    <w:bookmarkEnd w:id="17"/>
    <w:bookmarkStart w:id="47" w:name="results"/>
    <w:p>
      <w:pPr>
        <w:pStyle w:val="Heading1"/>
        <w:keepNext/>
        <w:spacing w:line="480" w:lineRule="auto"/>
        <w:ind w:firstLine="0"/>
      </w:pPr>
      <w:r>
        <w:rPr>
          <w:rFonts w:ascii="Times New Roman" w:hAnsi="Times New Roman"/>
          <w:sz w:val="24"/>
        </w:rPr>
        <w:t xml:space="preserve">Results</w:t>
      </w:r>
    </w:p>
    <w:bookmarkStart w:id="46" w:name="stage-1"/>
    <w:p>
      <w:pPr>
        <w:pStyle w:val="Heading2"/>
        <w:keepNext/>
        <w:spacing w:line="480" w:lineRule="auto"/>
        <w:ind w:firstLine="0"/>
      </w:pPr>
      <w:r>
        <w:rPr>
          <w:rFonts w:ascii="Times New Roman" w:hAnsi="Times New Roman"/>
          <w:sz w:val="24"/>
        </w:rPr>
        <w:t xml:space="preserve">Stage 1</w:t>
      </w:r>
    </w:p>
    <w:bookmarkStart w:id="18"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performance was measured using the Dice score.</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 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one-to-oneF1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one-to-onePRAUC</m:t>
            </m:r>
          </m:e>
          <m:sub>
            <m:r>
              <m:t>τ</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bookmarkEnd w:id="18"/>
    <w:bookmarkStart w:id="22" w:name="stage-1-results"/>
    <w:p>
      <w:pPr>
        <w:pStyle w:val="Heading3"/>
        <w:keepNext/>
        <w:spacing w:line="480" w:lineRule="auto"/>
        <w:ind w:firstLine="0"/>
      </w:pPr>
      <w:r>
        <w:rPr>
          <w:rFonts w:ascii="Times New Roman" w:hAnsi="Times New Roman"/>
          <w:sz w:val="24"/>
        </w:rPr>
        <w:t xml:space="preserve">Stage 1: Results</w:t>
      </w:r>
    </w:p>
    <w:p>
      <w:pPr>
        <w:pStyle w:val="FirstParagraph"/>
        <w:spacing w:line="480" w:lineRule="auto" w:after="120"/>
        <w:ind w:firstLine="480"/>
      </w:pPr>
      <w:r>
        <w:rPr>
          <w:rFonts w:ascii="Times New Roman" w:hAnsi="Times New Roman"/>
          <w:sz w:val="24"/>
        </w:rPr>
        <w:t xml:space="preserve">Panels a, c and e of</w:t>
      </w:r>
      <w:r>
        <w:rPr>
          <w:rFonts w:ascii="Times New Roman" w:hAnsi="Times New Roman"/>
          <w:sz w:val="24"/>
        </w:rPr>
        <w:t xml:space="preserve"> </w:t>
      </w: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ascii="Times New Roman" w:hAnsi="Times New Roman"/>
          <w:sz w:val="24"/>
        </w:rP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480" w:lineRule="auto" w:after="120"/>
        <w:ind w:firstLine="480"/>
      </w:pPr>
      <w:r>
        <w:rPr>
          <w:rFonts w:ascii="Times New Roman" w:hAnsi="Times New Roman"/>
          <w:sz w:val="24"/>
        </w:rPr>
        <w:t xml:space="preserve">We compared LigandSeek-Find using either deposited or CryoAtom2-reconstructed receptors with the density-only method Emap2lig-Find</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the full test set, their mean Dice scores were 0.584, 0.477 and 0.050, respectively. Their mean one-to-one PRAUC@0.3 scores were 0.663, 0.541 and 0.255, respectively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K0FANzYDSM"/>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matching threshold of 0.5, their mean one-to-one PRAUC@0.5 scores were 0.558, 0.447 and 0.126, respectively. LigandSeek-Find outperformed Emap2lig-Find even without deposited receptor structures as input, and this trend persisted in the small-molecule test subset.</w:t>
      </w:r>
    </w:p>
    <w:p>
      <w:pPr>
        <w:pStyle w:val="BodyText"/>
        <w:spacing w:line="480" w:lineRule="auto" w:after="120"/>
        <w:ind w:firstLine="480"/>
      </w:pPr>
      <w:r>
        <w:rPr>
          <w:rFonts w:ascii="Times New Roman" w:hAnsi="Times New Roman"/>
          <w:sz w:val="24"/>
        </w:rPr>
        <w:t xml:space="preserve">Panels c and d compare LigandSeek-Find directly against Emap2lig-Find using one-to-one PRAUC@0.3</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kmprQUA9xANtQ"/>
          <w:rFonts w:ascii="Times New Roman" w:hAnsi="Times New Roman"/>
          <w:sz w:val="24"/>
        </w:rPr>
        <w:t xml:space="preserve">Fig. 3c,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CryoAtom2-reconstructed receptors, LigandSeek-Find outperformed Emap2lig-Find on 112 structures, performed comparably on 40 and was inferior on only 27 across the full test set</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rq0FANzeDSU"/>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demonstrating a substantial overall advantage. Emap2lig primarily targets small-molecule identification and modelling, and its detection performance was better for small molecules than across all ligand categories, as shown in</w:t>
      </w:r>
      <w:r>
        <w:rPr>
          <w:rFonts w:ascii="Times New Roman" w:hAnsi="Times New Roman"/>
          <w:sz w:val="24"/>
        </w:rPr>
        <w:t xml:space="preserve"> </w:t>
      </w:r>
      <w:r>
        <w:rPr>
          <w:rStyle w:val="MDFIGREF_eJyrrk7LTC9KTbMqLklMTzXUzU3MzNMtzqwoSMxLzalJ1EmqrQUA9wANsQ"/>
          <w:rFonts w:ascii="Times New Roman" w:hAnsi="Times New Roman"/>
          <w:sz w:val="24"/>
        </w:rPr>
        <w:t xml:space="preserve">Fig. 3a, b</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Because downstream tasks cannot tolerate overwhelming candidate pools, inflating recall at the expense of precision is impractical. In contrast, LigandSeek-Find balanced precision and recall effectively</w:t>
      </w:r>
      <w:r>
        <w:rPr>
          <w:rFonts w:ascii="Times New Roman" w:hAnsi="Times New Roman"/>
          <w:sz w:val="24"/>
        </w:rPr>
        <w:t xml:space="preserve"> </w:t>
      </w:r>
      <w:r>
        <w:rPr>
          <w:rFonts w:ascii="Times New Roman" w:hAnsi="Times New Roman"/>
          <w:sz w:val="24"/>
        </w:rPr>
        <w:t xml:space="preserve">(</w:t>
      </w:r>
      <w:r>
        <w:rPr>
          <w:rStyle w:val="MDFIGREF_eJyrrk7LTC9KTbMqLklMTzXUzU3MzNMtzqwoSMxLzalJ1UmrrQUA9yANuQ"/>
          <w:rFonts w:ascii="Times New Roman" w:hAnsi="Times New Roman"/>
          <w:sz w:val="24"/>
        </w:rPr>
        <w:t xml:space="preserve">Fig. 3e,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While this low precision directly depressed the Dice score of Emap2lig-Find, its top-k success rates remained moderate</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5</w:t>
      </w:r>
      <w:r>
        <w:rPr>
          <w:rFonts w:ascii="Times New Roman" w:hAnsi="Times New Roman"/>
          <w:sz w:val="24"/>
        </w:rPr>
        <w:t xml:space="preserve">,</w:t>
      </w:r>
      <w:r>
        <w:rPr>
          <w:rFonts w:ascii="Times New Roman" w:hAnsi="Times New Roman"/>
          <w:sz w:val="24"/>
        </w:rPr>
        <w:t xml:space="preserve"> </w:t>
      </w:r>
      <w:r>
        <w:rPr>
          <w:rStyle w:val="MDFIGREF_eJyrrk7LTC9KTbNKNUrVLc5NzMnRLcgsSM3JzEutSaytBQDAfQxA"/>
          <w:rFonts w:ascii="Times New Roman" w:hAnsi="Times New Roman"/>
          <w:sz w:val="24"/>
        </w:rPr>
        <w:t xml:space="preserve">Fig. 6a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indicating that true instances were still ranked preferentially near the top. Because PRAUC evaluates candidate ranking quality rather than unranked voxel overlap, its PRAUC was correspondingly much higher than its Dice score.</w:t>
      </w:r>
    </w:p>
    <w:p>
      <w:pPr>
        <w:pStyle w:val="CaptionedFigure"/>
        <w:keepNext/>
        <w:spacing w:line="480" w:lineRule="auto"/>
        <w:ind w:firstLine="0"/>
        <w:jc w:val="center"/>
      </w:pPr>
      <w:r>
        <w:rPr>
          <w:rFonts w:ascii="Times New Roman" w:hAnsi="Times New Roman"/>
          <w:sz w:val="24"/>
        </w:rPr>
        <w:drawing>
          <wp:inline>
            <wp:extent cx="5733415" cy="6363415"/>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ydUsuO0zAU_ZUoa6bug5ZpNFRCM8BmQBUSO0uVx3ESq4lt2U4bBKwRC1aD2IBYs-IDGAm-hul8BvfG6WPELBCRIh_fc3zuw34dG-aLOInizcer359_EudZLgabq8vrr196xvgmvhfFVjhdrkSKutOE0pdOWEfpYDwdTCk9E27ptaH05vuP60_vbj6833z7RWkwpPROR8UqgW6BPKqYVEdONoYpUSJfMbusDSrGD0aj-4NxMxlNcH1zYiRP4I-aqlQuYQ9pXHhvEkIcL0TFXE8boYDMtK2Yh63NSWrZWqq8Ksmw358QTEfjzgG8_scDjvnaip2N_ScTnWWSizPN60ooH5ysKJmXWrlCGkfjWduhWs0ln9uw4c9XcxulwnHMcpqQ9gJIO3_SjZ8cTp94URloU9VwRBq_yGQOxbrF8fS4dqu8T0Jg0cdv1DMqh0ZkCu7DASC8HsDzbY-zE7KrY19SKJDhBM81X7pI6dOCqVw8slavC8FSByat35ZwRnAfguC5P3qQILiSv4ZwUUrzRJYlZkTcng-AJc5b4XmBMAPNC8jS8rc2OxG57Yc7Z2DCF-tnOsXGWe01VsiSJrMVrnBxUQNMH7p5FdbWE-JIi8ZHHPnuuYKKo6x7tZ0YVO26NTXW-adCVxECUFuoNKRlq3MXtHu0VSOvdCid7CFLShWtwWU6Ho6Dy50qvJfHKm2jO8wSz2S5DR_iUnXzwgl1EP5Z_PYPfMuBMQ" id="20" name="Picture"/>
            <a:graphic>
              <a:graphicData uri="http://schemas.openxmlformats.org/drawingml/2006/picture">
                <pic:pic>
                  <pic:nvPicPr>
                    <pic:cNvPr descr="C:/Users/15919/Desktop/论文草稿/temp/manuscript_figures_898usvg0/figure_000003.png" id="21" name="Picture"/>
                    <pic:cNvPicPr>
                      <a:picLocks noChangeArrowheads="1" noChangeAspect="1"/>
                    </pic:cNvPicPr>
                  </pic:nvPicPr>
                  <pic:blipFill>
                    <a:blip r:embed="rId19"/>
                    <a:stretch>
                      <a:fillRect/>
                    </a:stretch>
                  </pic:blipFill>
                  <pic:spPr bwMode="auto">
                    <a:xfrm>
                      <a:off x="0" y="0"/>
                      <a:ext cx="5733415" cy="6363415"/>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3 | Ligand-region detection by LigandSeek-Find.</w:t>
      </w:r>
      <w:r>
        <w:rPr>
          <w:rFonts w:ascii="Times New Roman" w:hAnsi="Times New Roman"/>
          <w:sz w:val="24"/>
        </w:rPr>
        <w:t xml:space="preserve"> </w:t>
      </w:r>
      <w:r>
        <w:rPr>
          <w:rFonts w:ascii="Times New Roman" w:hAnsi="Times New Roman"/>
          <w:sz w:val="24"/>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b, Per-PDB Dice scores and one-to-one PRAUC at thresholds of 0.3 and 0.5. Error bars show 95% intervals for the mean from 10,000 bootstrap resamples of PDB entries.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d, Direct comparisons of LigandSeek-Find using CryoAtom2-reconstructed receptors with Emap2lig-Find. LigandSeek-Find performs better, comparably or worse on 112/40/27 PDB entries for all ligands and 40/36/18 for small molecules, respectively.</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 f, One-to-one precision and recall at threshold of 0.3. Each point represents one PDB entry; open white circles and thick bars indicate the median and interquartile range, respectively.</w:t>
      </w:r>
    </w:p>
    <w:bookmarkEnd w:id="22"/>
    <w:bookmarkStart w:id="45" w:name="stage-1-representative-cases"/>
    <w:p>
      <w:pPr>
        <w:pStyle w:val="Heading3"/>
        <w:keepNext/>
        <w:spacing w:line="480" w:lineRule="auto"/>
        <w:ind w:firstLine="0"/>
      </w:pPr>
      <w:r>
        <w:rPr>
          <w:rFonts w:ascii="Times New Roman" w:hAnsi="Times New Roman"/>
          <w:sz w:val="24"/>
        </w:rPr>
        <w:t xml:space="preserve">Stage 1: Representative cases</w:t>
      </w:r>
    </w:p>
    <w:p>
      <w:pPr>
        <w:pStyle w:val="FirstParagraph"/>
        <w:spacing w:line="480" w:lineRule="auto" w:after="120"/>
        <w:ind w:firstLine="480"/>
      </w:pPr>
      <w:r>
        <w:rPr>
          <w:rFonts w:ascii="Times New Roman" w:hAnsi="Times New Roman"/>
          <w:sz w:val="24"/>
        </w:rPr>
        <w:t xml:space="preserve">Four representative cases showed that LigandSeek-Find covered ligand regions more completely than the density-only method Emap2lig-Find and detected regions that it missed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aW2FgAZVg9w"/>
          <w:rFonts w:ascii="Times New Roman" w:hAnsi="Times New Roman"/>
          <w:sz w:val="24"/>
        </w:rPr>
        <w:t xml:space="preserve">Fig. 4a–d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viral replication-associated protein complex 9PQM, both methods detected most of the region occupied by the ATP analogue ATPγS. LigandSeek-Find and Emap2lig-Find achieved Dice scores of 0.816 and 0.766 for this ligand instance, respectively</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K0FAN2PDRc"/>
          <w:rFonts w:ascii="Times New Roman" w:hAnsi="Times New Roman"/>
          <w:sz w:val="24"/>
        </w:rPr>
        <w:t xml:space="preserve">Fig. 4a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q0FAN2SDRg"/>
          <w:rFonts w:ascii="Times New Roman" w:hAnsi="Times New Roman"/>
          <w:sz w:val="24"/>
        </w:rPr>
        <w:t xml:space="preserve">Fig. 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NADPH binding site in 9WUP, Emap2lig-Find produced no prediction overlapping the ground-truth ligand region. LigandSeek-Find covered 0.922 of that region in the same comparison</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rq0FAN2VDRk"/>
          <w:rFonts w:ascii="Times New Roman" w:hAnsi="Times New Roman"/>
          <w:sz w:val="24"/>
        </w:rPr>
        <w:t xml:space="preserve">Fig. 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Similarly, at the ADP site in 9RMI, Emap2lig-Find covered only 0.103 of the ground-truth region, whereas LigandSeek-Find covered 0.883</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4d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local comparisons demonstrated advantages in both detecting ligand regions and delineating their spatial boundaries more accurately.</w:t>
      </w:r>
    </w:p>
    <w:p>
      <w:pPr>
        <w:pStyle w:val="BodyText"/>
        <w:spacing w:line="480" w:lineRule="auto" w:after="120"/>
        <w:ind w:firstLine="480"/>
      </w:pPr>
      <w:r>
        <w:rPr>
          <w:rFonts w:ascii="Times New Roman" w:hAnsi="Times New Roman"/>
          <w:sz w:val="24"/>
        </w:rP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fNQwObm2FgAZUw9v"/>
          <w:rFonts w:ascii="Times New Roman" w:hAnsi="Times New Roman"/>
          <w:sz w:val="24"/>
        </w:rPr>
        <w:t xml:space="preserve">Fig. 4a–c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9RMI case illustrated a loss of precision after receptor replacement. For this ligand instance, the predicted region extended beyond the ligand, reducing precision from 0.607 to 0.396 and the Dice score from 0.719 to 0.532</w:t>
      </w:r>
      <w:r>
        <w:rPr>
          <w:rFonts w:ascii="Times New Roman" w:hAnsi="Times New Roman"/>
          <w:sz w:val="24"/>
        </w:rPr>
        <w:t xml:space="preserve"> </w:t>
      </w:r>
      <w:r>
        <w:rPr>
          <w:rFonts w:ascii="Times New Roman" w:hAnsi="Times New Roman"/>
          <w:sz w:val="24"/>
        </w:rPr>
        <w:t xml:space="preserve">(</w:t>
      </w:r>
      <w:r>
        <w:rPr>
          <w:rStyle w:val="MDFIGREF_eJyrrk7LTC9KTbMqLklMTzXUTcsvLUpOLE7VzU3MzKtJqa0FAN2YDRo"/>
          <w:rFonts w:ascii="Times New Roman" w:hAnsi="Times New Roman"/>
          <w:sz w:val="24"/>
        </w:rPr>
        <w:t xml:space="preserve">Fig. 4d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Nevertheless, the prediction still covered 0.810 of the ground-truth ligand region, and its Dice score exceeded the 0.131 achieved by Emap2lig-Find. Thus, across these four cases, LigandSeek-Find usaually retained good detection performance with CryoAtom2-reconstructed receptors when deposited receptor structures were unavailable.</w:t>
      </w:r>
    </w:p>
    <w:p>
      <w:pPr>
        <w:pStyle w:val="CaptionedFigure"/>
        <w:keepNext/>
        <w:spacing w:line="480" w:lineRule="auto"/>
        <w:ind w:firstLine="0"/>
        <w:jc w:val="center"/>
      </w:pPr>
      <w:r>
        <w:rPr>
          <w:rFonts w:ascii="Times New Roman" w:hAnsi="Times New Roman"/>
          <w:sz w:val="24"/>
        </w:rPr>
        <w:drawing>
          <wp:inline>
            <wp:extent cx="5733415" cy="7082454"/>
            <wp:effectExtent b="0" l="0" r="0" t="0"/>
            <wp:docPr descr="Fig. 4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ydUt2KEzEUfpVhrt2m7bbudlgL0lVvVimCd4GSzWRmQmeSkGTainqrCIo3sjc-gF7pvYI-Td0-hudMpj-LLIgDQ76c853v_OVFbJgv4iSKrz_-WH_6SZxnueitP3zbfH69fnfVMcav4jtRbIXT5UKkSJ0klD5zwjpKe8NRb0TpuXBzrw2lm6_ff1-92bx_e_3lF6VBk9LbRBWrBAoG_1Gma8uZE0cVkwr9FbPz2iBjeHJ8POgNVyfd0_5gOHh5ZiRP4I9WValcwu7RuPDeJIQ4XoiKuY42QoEz07ZiHq42J6llS6nyqiT9bvcuwSw0bhVA6380IMzXVuxk7D-J6CyTXJxrXldC-aBkRcm81MoV0jgaj5sO1WIq-dSGC3-ymNooFY5jlklCmh2QZgWk3QA5XADxojLQpqohRBo_y2QOxbrZ6ei0dou8S4Jh1sVv0DEqh0ZkCur9ISBcD-DptsfxGdnVsS8pFMhwgheaz12k9KRgKhf3rdXLQrDUgUgP9bYOZwT3wQia-9CDBEGV_DWEy1Kah7IsMSPiJj4AljhvhecFwgw4TyFL479x2ZHITT28OQMTvlw-1ik2zmqvsUKWrDJb4QmLi1bg6UI3z8PZaIId3WLlI47-9rkCiyOtfbUtGVjNuRU11vlHQlcRAmBbqDSkZYsLF7h7tGWjX-lQOtlDlpQqWoLKaIg7vJWFe3mg0sa6wyzxTJZb8yEuVTsvnFAL4R_Hr_4AYMyFAg" id="24" name="Picture"/>
            <a:graphic>
              <a:graphicData uri="http://schemas.openxmlformats.org/drawingml/2006/picture">
                <pic:pic>
                  <pic:nvPicPr>
                    <pic:cNvPr descr="C:/Users/15919/Desktop/论文草稿/temp/manuscript_figures_898usvg0/figure_000004.png" id="25" name="Picture"/>
                    <pic:cNvPicPr>
                      <a:picLocks noChangeArrowheads="1" noChangeAspect="1"/>
                    </pic:cNvPicPr>
                  </pic:nvPicPr>
                  <pic:blipFill>
                    <a:blip r:embed="rId23"/>
                    <a:stretch>
                      <a:fillRect/>
                    </a:stretch>
                  </pic:blipFill>
                  <pic:spPr bwMode="auto">
                    <a:xfrm>
                      <a:off x="0" y="0"/>
                      <a:ext cx="5733415" cy="7082454"/>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4 | Small-molecule region detection under different receptor conditions.</w:t>
      </w:r>
      <w:r>
        <w:rPr>
          <w:rFonts w:ascii="Times New Roman" w:hAnsi="Times New Roman"/>
          <w:sz w:val="24"/>
        </w:rPr>
        <w:t xml:space="preserve"> </w:t>
      </w:r>
      <w:r>
        <w:rPr>
          <w:rFonts w:ascii="Times New Roman" w:hAnsi="Times New Roman"/>
          <w:sz w:val="24"/>
        </w:rPr>
        <w:t xml:space="preserve">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p>
      <w:pPr>
        <w:pStyle w:val="CaptionedFigure"/>
        <w:keepNext/>
        <w:spacing w:line="480" w:lineRule="auto"/>
        <w:ind w:firstLine="0"/>
        <w:jc w:val="center"/>
      </w:pPr>
      <w:r>
        <w:rPr>
          <w:rFonts w:ascii="Times New Roman" w:hAnsi="Times New Roman"/>
          <w:sz w:val="24"/>
        </w:rPr>
        <w:drawing>
          <wp:inline>
            <wp:extent cx="5733415" cy="2915483"/>
            <wp:effectExtent b="0" l="0" r="0" t="0"/>
            <wp:docPr descr="Fig. 5 | End-to-end ligand-region detection and identity matching. The curves show the percentage of 179 test PDB entries with successful predictions within an attempt budget of K, for K=1–10.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 title="MDPPTFIG_eJydks-O0zAQxl8lypnWbbqBNloqod3CZUEVEjdLlddxEquObdlOWwScEQdOIC4gzpx4AFaCp2G7j8E4Tv-slgMiUuTPns8_z4z9KtbEVXEWxduPV78__0SzZLa9-nD99Utfa7eJ70WxYVaJFcu96SzD-IVlxmI8TCfDCcbnzC6d0hjffP9x_entzft322-_MA40jO_iJKmZR7GE9YgQvYLLvFcTRysfrYlZNtrH0wej0ckw3SSTYXoyHr0-1Zxm8EebWkibkYc4rpzTGUKWVqwmtq80kxAslAEcTE2JckPWXJa1QMlgcB_VhEscdwRg_Q8DtrnGsD3G_BNEFQWn7FzRpmbSBZJhgjiupK24tjiethXK1ZzTuQkT-mw1N1HOLPWnnGWo7T1qW4-6zqPjxiPHag1lyga2cO0WBS8hWbsYT8aNXZUDFBYWA_-lfS1LKITnQE_GoPzlgJ7vapyeon0eh5RCgsR38ELRpY2kOquILNkjY9S6YiS3ABl63i5gNaMuLALzsPXogEBFd5pwKbh-zIXwJ3rd7g-CZNYZBk_HywI8z-GUNn5rsjeh2zw_sxo6fLl-qnJfOGmc8hmSbFOY2o9wcdEGIgOo5mUYWyas-zDbuIj6ePdcwUW9rXu1nRlc7biDamPdE6bqyAtwG8g0HEtWFzZ4D2rn9nGpQuroIEkmZLQGyiRN0kD5q8vfy0zm7epek8wRLnbLx1rIrl--Q52Efxq_-QO2Gnzy" id="27" name="Picture"/>
            <a:graphic>
              <a:graphicData uri="http://schemas.openxmlformats.org/drawingml/2006/picture">
                <pic:pic>
                  <pic:nvPicPr>
                    <pic:cNvPr descr="C:/Users/15919/Desktop/论文草稿/temp/manuscript_figures_898usvg0/figure_000005.png" id="28" name="Picture"/>
                    <pic:cNvPicPr>
                      <a:picLocks noChangeArrowheads="1" noChangeAspect="1"/>
                    </pic:cNvPicPr>
                  </pic:nvPicPr>
                  <pic:blipFill>
                    <a:blip r:embed="rId26"/>
                    <a:stretch>
                      <a:fillRect/>
                    </a:stretch>
                  </pic:blipFill>
                  <pic:spPr bwMode="auto">
                    <a:xfrm>
                      <a:off x="0" y="0"/>
                      <a:ext cx="5733415" cy="2915483"/>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5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179 test PDB entries with successful predictions within an attempt budget of</w:t>
      </w:r>
      <w:r>
        <w:rPr>
          <w:rFonts w:ascii="Times New Roman" w:hAnsi="Times New Roman"/>
          <w:sz w:val="24"/>
        </w:rPr>
        <w:t xml:space="preserve"> </w:t>
      </w:r>
      <m:oMath>
        <m:r>
          <m:t>K</m:t>
        </m:r>
      </m:oMath>
      <w:r>
        <w:rPr>
          <w:rFonts w:ascii="Times New Roman" w:hAnsi="Times New Roman"/>
          <w:sz w:val="24"/>
        </w:rPr>
        <w:t xml:space="preserve">, for</w:t>
      </w:r>
      <w:r>
        <w:rPr>
          <w:rFonts w:ascii="Times New Roman" w:hAnsi="Times New Roman"/>
          <w:sz w:val="24"/>
        </w:rPr>
        <w:t xml:space="preserve"> </w:t>
      </w:r>
      <m:oMath>
        <m:r>
          <m:t>K</m:t>
        </m:r>
        <m:r>
          <m:rPr>
            <m:sty m:val="p"/>
          </m:rPr>
          <m:t>=</m:t>
        </m:r>
        <m:r>
          <m:t>1</m:t>
        </m:r>
      </m:oMath>
      <w:r>
        <w:rPr>
          <w:rFonts w:ascii="Times New Roman" w:hAnsi="Times New Roman"/>
          <w:sz w:val="24"/>
        </w:rPr>
        <w:t xml:space="preserve">–</w:t>
      </w:r>
      <m:oMath>
        <m:r>
          <m:t>10</m:t>
        </m:r>
      </m:oMath>
      <w:r>
        <w:rPr>
          <w:rFonts w:ascii="Times New Roman" w:hAnsi="Times New Roman"/>
          <w:sz w:val="24"/>
        </w:rPr>
        <w:t xml:space="preserve">. Find and Match denote LigandSeek-Find and LigandSeek-Match, respectively, within the LigandSeek framework. Find and Emap2lig-Find curves require correct region detection; Find+Match curves additionally require correct ligand identity matching. GT denotes deposited receptor structures, and CA2 denotes CryoAtom2-reconstructed receptor structures; Emap2lig-Find uses no receptor input.</w:t>
      </w:r>
    </w:p>
    <w:p>
      <w:pPr>
        <w:pStyle w:val="CaptionedFigure"/>
        <w:keepNext/>
        <w:spacing w:line="480" w:lineRule="auto"/>
        <w:ind w:firstLine="0"/>
        <w:jc w:val="center"/>
      </w:pPr>
      <w:r>
        <w:rPr>
          <w:rFonts w:ascii="Times New Roman" w:hAnsi="Times New Roman"/>
          <w:sz w:val="24"/>
        </w:rPr>
        <w:drawing>
          <wp:inline>
            <wp:extent cx="5733415" cy="5023421"/>
            <wp:effectExtent b="0" l="0" r="0" t="0"/>
            <wp:docPr descr="Fig. 6 | End-to-end modelling of single-residue organic small molecules with no missing atoms. The evaluation includes 77 PDB entries containing these small molecules. Find and Match denote LigandSeek-Find and LigandSeek-Match, respectively, within the LigandSeek framework. a, Find curves require correct region detection, whereas Find+Match curves require both correct region detection and correct ligand identity matching. b,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 K; the vertical axis shows the percentage of PDB entries with successful predictions within that budget. GT and CA2 denote deposited and CryoAtom2-reconstructed receptor structures, respectively." title="MDPPTFIG_eJydUk2P0zAQ_StRzmydpptlGy2VULdwWVCFxM1S5U2cxKpjW7bTBgFnxIHTIi4gzpz4AawEv4bt_gzGcfqxWg6ISJGfZ57fzDz7daiIrcI0CDcfr39__olm8WxzfXXz9ctAKduGD4JQUyP5iuaONE0xfmmoNhgPk_FwjPE5NUsrFca333_cfHp3--H95tsvjL0axvflBKmpk6IxPTI14fxIMUU5E9Rla6KXjXL55OFodDxM2iSKR8fx8M2ZYlkKf9DWXJiUPMJhZa1KETJZRWtiBlJRAclC6ppY2OoS5ZqsmShrjuIoOkE1YQKHvQJo_Y8GHLONpjsZ_U8isihYRs9l1tRUWK-kKSeWSWEqpgwOJ92EYjVn2Vz7TfZ8NddBTk3mqkxT1HmPOutR7zw6NB5ZWisYUzRwhCm7KFgJzZrF6fi0MasyQj6wiNx3MlCihEFYDuqjISB3OYDn2xknZ2jXx74l3yBxDl7IbGkCIacVESV9rLVcV5TkBkQ6vW3CKJpZHwTN_dGDAl4V3TPhkjP1hHHuKjrcnfeApMZqarPKwQI4L6BKl7-z2ZHQXT23Mwocvlw_k7kbnDRWug5J2ha6ditcXNBCJoJpXvm104S4S9PWBpnL988VWJmj9a-2JwOrW7eiShv7lMo6cADYGjr1ZcnqwnjuHm3ZLi-kbx3tIUm5CNagMk7ixKv8leXuZSbyLrrDJLWE8W34EHPR--Uc6iH8k_DtH7k0fSo" id="30" name="Picture"/>
            <a:graphic>
              <a:graphicData uri="http://schemas.openxmlformats.org/drawingml/2006/picture">
                <pic:pic>
                  <pic:nvPicPr>
                    <pic:cNvPr descr="C:/Users/15919/Desktop/论文草稿/temp/manuscript_figures_898usvg0/figure_000006.png" id="31" name="Picture"/>
                    <pic:cNvPicPr>
                      <a:picLocks noChangeArrowheads="1" noChangeAspect="1"/>
                    </pic:cNvPicPr>
                  </pic:nvPicPr>
                  <pic:blipFill>
                    <a:blip r:embed="rId29"/>
                    <a:stretch>
                      <a:fillRect/>
                    </a:stretch>
                  </pic:blipFill>
                  <pic:spPr bwMode="auto">
                    <a:xfrm>
                      <a:off x="0" y="0"/>
                      <a:ext cx="5733415" cy="5023421"/>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6 | End-to-end modelling of single-residue organic small molecules with no missing atoms.</w:t>
      </w:r>
      <w:r>
        <w:rPr>
          <w:rFonts w:ascii="Times New Roman" w:hAnsi="Times New Roman"/>
          <w:sz w:val="24"/>
        </w:rPr>
        <w:t xml:space="preserve"> </w:t>
      </w:r>
      <w:r>
        <w:rPr>
          <w:rFonts w:ascii="Times New Roman" w:hAnsi="Times New Roman"/>
          <w:sz w:val="24"/>
        </w:rPr>
        <w:t xml:space="preserve">The evaluation includes 77 PDB entries containing these small molecules. Find and Match denote LigandSeek-Find and LigandSeek-Match, respectively, within the LigandSeek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 curves require correct region detection, whereas Find+Match curves require both correct region detection and correct ligand identity matching.</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c, Top-K success rates for pose reconstruction with PocketXMol-tuned using deposited and CryoAtom2-reconstructed receptor structures, respectively. Success requires a heavy-atom root-mean-square deviation (RMSD) below 2 Å or 3 Å. Solid lines show top-1 poses selected by model score; dashed lines show best-of-50 poses, selected as the lowest heavy-atom RMSD among 50 candidates. The horizontal axis shows charged attempts</w:t>
      </w:r>
      <w:r>
        <w:rPr>
          <w:rFonts w:ascii="Times New Roman" w:hAnsi="Times New Roman"/>
          <w:sz w:val="24"/>
        </w:rPr>
        <w:t xml:space="preserve"> </w:t>
      </w:r>
      <m:oMath>
        <m:r>
          <m:t>K</m:t>
        </m:r>
      </m:oMath>
      <w:r>
        <w:rPr>
          <w:rFonts w:ascii="Times New Roman" w:hAnsi="Times New Roman"/>
          <w:sz w:val="24"/>
        </w:rPr>
        <w:t xml:space="preserve">; the vertical axis shows the percentage of PDB entries with successful predictions within that budget. GT and CA2 denote deposited and CryoAtom2-reconstructed receptor structures, respectively.</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32">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33">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34">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35">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36">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37">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38">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39">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40">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41">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42">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43">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44">
        <w:r>
          <w:rPr>
            <w:rStyle w:val="Hyperlink"/>
          </w:rPr>
          <w:t xml:space="preserve">10.1021/acs.jmedchem.3c01134</w:t>
        </w:r>
      </w:hyperlink>
      <w:r>
        <w:rPr>
          <w:rFonts w:ascii="Times New Roman" w:hAnsi="Times New Roman"/>
          <w:sz w:val="24"/>
        </w:rPr>
        <w:t xml:space="preserve">.</w:t>
      </w:r>
    </w:p>
    <w:bookmarkEnd w:id="45"/>
    <w:bookmarkEnd w:id="46"/>
    <w:bookmarkEnd w:id="47"/>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41" Type="http://schemas.openxmlformats.org/officeDocument/2006/relationships/hyperlink" Target="https://doi.org/10.1016/j.cell.2026.01.003" TargetMode="External"/><Relationship Id="rId43" Type="http://schemas.openxmlformats.org/officeDocument/2006/relationships/hyperlink" Target="https://doi.org/10.1016/j.str.2020.04.018" TargetMode="External"/><Relationship Id="rId39" Type="http://schemas.openxmlformats.org/officeDocument/2006/relationships/hyperlink" Target="https://doi.org/10.1016/j.str.2025.07.002" TargetMode="External"/><Relationship Id="rId33" Type="http://schemas.openxmlformats.org/officeDocument/2006/relationships/hyperlink" Target="https://doi.org/10.1016/j.tibs.2014.10.005" TargetMode="External"/><Relationship Id="rId44" Type="http://schemas.openxmlformats.org/officeDocument/2006/relationships/hyperlink" Target="https://doi.org/10.1021/acs.jmedchem.3c01134" TargetMode="External"/><Relationship Id="rId32" Type="http://schemas.openxmlformats.org/officeDocument/2006/relationships/hyperlink" Target="https://doi.org/10.1038/d41586-020-00341-9" TargetMode="External"/><Relationship Id="rId42" Type="http://schemas.openxmlformats.org/officeDocument/2006/relationships/hyperlink" Target="https://doi.org/10.1038/s41467-023-36732-5" TargetMode="External"/><Relationship Id="rId34" Type="http://schemas.openxmlformats.org/officeDocument/2006/relationships/hyperlink" Target="https://doi.org/10.1038/s41586-024-07215-4" TargetMode="External"/><Relationship Id="rId36" Type="http://schemas.openxmlformats.org/officeDocument/2006/relationships/hyperlink" Target="https://doi.org/10.1038/s41594-025-01723-1" TargetMode="External"/><Relationship Id="rId37" Type="http://schemas.openxmlformats.org/officeDocument/2006/relationships/hyperlink" Target="https://doi.org/10.1126/science.aat4346" TargetMode="External"/><Relationship Id="rId38" Type="http://schemas.openxmlformats.org/officeDocument/2006/relationships/hyperlink" Target="https://doi.org/10.64898/2026.06.01.729423" TargetMode="External"/><Relationship Id="rId35" Type="http://schemas.openxmlformats.org/officeDocument/2006/relationships/hyperlink" Target="https://doi.org/10.65215/LTSpreprints.2026.04.14.000185" TargetMode="External"/><Relationship Id="rId40"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doi.org/10.1016/j.cell.2026.01.003" TargetMode="External"/><Relationship Id="rId43" Type="http://schemas.openxmlformats.org/officeDocument/2006/relationships/hyperlink" Target="https://doi.org/10.1016/j.str.2020.04.018" TargetMode="External"/><Relationship Id="rId39" Type="http://schemas.openxmlformats.org/officeDocument/2006/relationships/hyperlink" Target="https://doi.org/10.1016/j.str.2025.07.002" TargetMode="External"/><Relationship Id="rId33" Type="http://schemas.openxmlformats.org/officeDocument/2006/relationships/hyperlink" Target="https://doi.org/10.1016/j.tibs.2014.10.005" TargetMode="External"/><Relationship Id="rId44" Type="http://schemas.openxmlformats.org/officeDocument/2006/relationships/hyperlink" Target="https://doi.org/10.1021/acs.jmedchem.3c01134" TargetMode="External"/><Relationship Id="rId32" Type="http://schemas.openxmlformats.org/officeDocument/2006/relationships/hyperlink" Target="https://doi.org/10.1038/d41586-020-00341-9" TargetMode="External"/><Relationship Id="rId42" Type="http://schemas.openxmlformats.org/officeDocument/2006/relationships/hyperlink" Target="https://doi.org/10.1038/s41467-023-36732-5" TargetMode="External"/><Relationship Id="rId34" Type="http://schemas.openxmlformats.org/officeDocument/2006/relationships/hyperlink" Target="https://doi.org/10.1038/s41586-024-07215-4" TargetMode="External"/><Relationship Id="rId36" Type="http://schemas.openxmlformats.org/officeDocument/2006/relationships/hyperlink" Target="https://doi.org/10.1038/s41594-025-01723-1" TargetMode="External"/><Relationship Id="rId37" Type="http://schemas.openxmlformats.org/officeDocument/2006/relationships/hyperlink" Target="https://doi.org/10.1126/science.aat4346" TargetMode="External"/><Relationship Id="rId38" Type="http://schemas.openxmlformats.org/officeDocument/2006/relationships/hyperlink" Target="https://doi.org/10.64898/2026.06.01.729423" TargetMode="External"/><Relationship Id="rId35" Type="http://schemas.openxmlformats.org/officeDocument/2006/relationships/hyperlink" Target="https://doi.org/10.65215/LTSpreprints.2026.04.14.000185" TargetMode="External"/><Relationship Id="rId40"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2026-10-06T13:07:55Z</dcterms:created>
  <dcterms:modified xsi:type="dcterms:W3CDTF">2026-10-06T13:07:55Z</dcterms:modified>
</cp:coreProperties>
</file>

<file path=docProps/custom.xml><?xml version="1.0" encoding="utf-8"?>
<Properties xmlns="http://schemas.openxmlformats.org/officeDocument/2006/custom-properties" xmlns:vt="http://schemas.openxmlformats.org/officeDocument/2006/docPropsVTypes"/>
</file>