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1g37bZLo6US6gKXBVVI3CxVXsdprCa2sd00CJC4AQduiAsPACcegJXgadjtYzATpz-r5YCIFPnzzOdvZj77VWyYL-I0iq8_Xf7-8pNcvb3cfH0P6MgY38R3otgKp8taZEiappQ-d8I6SpPhOBlTeibc0mtD6eb7j6vP7zYfP1x_-0VpUKP0tpxilUCpXC7u6lrYWor1vO5jqmJ2uTKYHJ4MkmHSa5LxcdIfDF6fGslT-KOmKpVL2X0aF96blBDHC1Exd6SNUJDMta2Yh61dkMyytVSLqiT9Xm9EKiYVjTsF0PofDTjmV1bsZOw_ieg8l1ycab6qhPJByYqSeamVK6RxNJ60E6p6JvnMhg1_Ws9slAnHsco0Ja3xpPWddLaTQ9eJF5WBMdUKjkjj52AxNOvmff6iHB2P7pEQmPfwS46MWsAgMgP1wQkgvBnAs-2Mk1Oy62PfUmiQoYPnmi9dpPS0YGohHlir14VgmQORBPW2CWcE9yEImvujBwWCKrllwkUpzSNZllgRcXs-AJY6b4XnBcIcOM-gSpu_sdmRyE093DkDDl-sn-gMB2crr7FDlja5rXCFi4sayPRgmpdhbTUhjmnR-IhjvnuuwOJI615tRwZWu25FjXX-sdBVhADYFjoNZVl97gJ3j7ZszCsdWid7yNJSRWtQGQ_7w6DyVxbey0OVtdEdZqlnstyGD3GpOr_QoQ7CP4nf_AEeYn69" id="36" name="Picture"/>
            <a:graphic>
              <a:graphicData uri="http://schemas.openxmlformats.org/drawingml/2006/picture">
                <pic:pic>
                  <pic:nvPicPr>
                    <pic:cNvPr descr="C:/Users/15919/Desktop/论文草稿/temp/manuscript_figures_2cql6468/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ind w:firstLine="0"/>
        <w:jc w:val="center"/>
      </w:pPr>
      <w:r>
        <w:drawing>
          <wp:inline>
            <wp:extent cx="5731510" cy="677038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tuEzEU_ZXRrGk8SZukGZVIKAU2LYqQ2FmKXI8nY2X8wHYeCJDYIRbsEBt-gBUfABJ8DW0_g3vHk0dFF4iRRj7X9_jce4_9OrUsVGmepDeffvz-8pNcilCZ4vodBh1rwyZ9kKROeFOvRIG8SU7pCy-cp7TbH3VHlJ4LvwjGUnr77fv15_e3Hz_cfP1FaRSk9F5FzZRAtVLOj1RDOFqdYEIxt1haTPWHx91-N9sMhsPs-DR7c2Ylz-FPNqrWPmcPaVqFYHNCPK-EYr5jrNCQLI1TLEDo5qRwbC31XNWkl2UDopjUNG0VQOt_NOBYWDqxk3H_JGLKUnJxbvhSCR2ikhM1C9JoX0nraTpuJtSrqeRTFwP-bDV1SSE8xyqTnDTOk8Z40vpODm0nQSgLY-olHJE2zMBgaNbPevxlPTgZnJK4Mcvw63WsnsMgsgD1kwwQ3gvg6XbG8RnZ9bFvKTbI0MELwxc-0WZSMT0Xj5wz60qwwoNIF_W2CW8FD3ETNPdHDwpEVfKXCVe1tE9kXWNFxM35CFjugxOBVwhL4DyHKk3-TrAjkbt6GHkLDl-tL02Bg7NlMNghyzelU7jCxSUbyKA7r-LaaMI-psUmJBzz7XMFFkda-2pbMrCadStqnQ9PhVEJAmA76DSWZasLH7l7tGVjXpvYOtlDltc6WYPKqN_rR5V7WXgvj3XR7O4wywOT9Xb7ENe69QsdaiH84_TtH3PcfjY" id="39" name="Picture"/>
            <a:graphic>
              <a:graphicData uri="http://schemas.openxmlformats.org/drawingml/2006/picture">
                <pic:pic>
                  <pic:nvPicPr>
                    <pic:cNvPr descr="C:/Users/15919/Desktop/论文草稿/temp/manuscript_figures_2cql6468/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71" w:name="results"/>
    <w:p>
      <w:pPr>
        <w:pStyle w:val="1"/>
        <w:keepNext/>
        <w:ind w:firstLine="0"/>
      </w:pPr>
      <w:r>
        <w:t xml:space="preserve">Results</w:t>
      </w:r>
    </w:p>
    <w:bookmarkStart w:id="70"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performance was measured using the Dice score.</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one-to-oneF1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42"/>
    <w:bookmarkStart w:id="46" w:name="stage-1-results"/>
    <w:p>
      <w:pPr>
        <w:pStyle w:val="3"/>
        <w:keepNext/>
        <w:ind w:firstLine="0"/>
      </w:pPr>
      <w:r>
        <w:t xml:space="preserve">Stage 1: Results</w:t>
      </w:r>
    </w:p>
    <w:p>
      <w:pPr>
        <w:pStyle w:val="FirstParagraph"/>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 one-to-one PRAUC@0.3 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 one-to-one PRAUC@0.3</w:t>
      </w:r>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r>
        <w:t xml:space="preserve"> </w:t>
      </w:r>
      <w:r>
        <w:t xml:space="preserve">While this low precision directly depressed the Dice score of Emap2lig-Find, its top-k success rates remained moderate</w:t>
      </w:r>
      <w:r>
        <w:t xml:space="preserve"> </w:t>
      </w:r>
      <w:r>
        <w:t xml:space="preserve">(</w:t>
      </w:r>
      <w:r>
        <w:rPr>
          <w:rStyle w:val="MDFIGREF_eJyrrk7LTC9KTbNKNUrVTczJ0U3LzEvRzU0sSc6orQUApM0LCA"/>
        </w:rPr>
        <w:t xml:space="preserve">Fig. 5</w:t>
      </w:r>
      <w:r>
        <w:t xml:space="preserve">,</w:t>
      </w:r>
      <w:r>
        <w:t xml:space="preserve"> </w:t>
      </w:r>
      <w:r>
        <w:rPr>
          <w:rStyle w:val="MDFIGREF_eJyrrk7LTC9KTbNKNUrVLc5NzMnRLcgsSM3JzEutSaytBQDAfQxA"/>
        </w:rPr>
        <w:t xml:space="preserve">Fig. 6a</w:t>
      </w:r>
      <w:r>
        <w:t xml:space="preserve">),</w:t>
      </w:r>
      <w:r>
        <w:t xml:space="preserve"> </w:t>
      </w:r>
      <w: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2actJNCo6ES6gCbAVVI7CxVHsdJrDq2sd02CFgjFqxAbECsWfEBjARfw3Q-g-s4fYyYBSJS5ON7js992K9iTVwd51G8-Xj5-_NPZB2pWLq5_HD19cux1q6N70SxYVaJFSu8bppj_NwyYzFOs3E6xviM2YVTGuPr7z-uPr29fv9u8-0XxsEQ41sdJWmYdwvkUUO4PLK81UQy4fmGmMVSe0V2d5hmadKOhqN0mCSvTzWnOfxR2whpc3Ifx7VzOkfI0po1xB4rzSSQpTINcbA1FSoMWXNZNQINkmSEfDoc9w7g9T8ecMwtDdvZmH8yUWXJKTtTdNkw6YKTYYI4rqStubY4nnQdytWM05kJG_p0NTNRwSz1WaY56i4AdfNH_fjR4fSRY42GNuUSjnDt5iWvoFg7H9AXYnQyuodCYJ74b3isZQWN8ALcTzJA_noAz7Y9Tk7Rro59SaFA4id4rujCRlJNayIr9sAYta4ZKSyYpN5vS1jNqAtB8NwfPUgQXNFfQ7gQXD_iQviMHnfnAyC5dYY5WntYguYZZOn4G5udCN308zurYcIX6yeq8I2TpVO-QpK3pWn8ChcXtcAk0M3LsHaeEPc0a11EPd8_V1BRL-tfbS8GVbduTbWx7jFTTeQBqA1UGtKS1bkN2j3aqj0vVSgd7SHJhYzW4DLOBllwuVXl7-WhLLroDpPcES624UMsZD8vP6Eewj-J3_wBiQ2AxQ" id="44" name="Picture"/>
            <a:graphic>
              <a:graphicData uri="http://schemas.openxmlformats.org/drawingml/2006/picture">
                <pic:pic>
                  <pic:nvPicPr>
                    <pic:cNvPr descr="C:/Users/15919/Desktop/论文草稿/temp/manuscript_figures_2cql6468/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b,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f, One-to-one precision and recall at threshold of 0.3. Each point represents one PDB entry; open white circles and thick bars indicate the median and interquartile range, respectively.</w:t>
      </w:r>
    </w:p>
    <w:bookmarkEnd w:id="46"/>
    <w:bookmarkStart w:id="69"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4a–d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4a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4b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4c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4d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4a–c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4d</w:t>
      </w:r>
      <w:r>
        <w:t xml:space="preserve">).</w:t>
      </w:r>
      <w:r>
        <w:t xml:space="preserve"> </w:t>
      </w:r>
      <w:r>
        <w:t xml:space="preserve">Nevertheless, the prediction still covered 0.810 of the ground-truth ligand region, and its Dice score exceeded the 0.131 achieved by Emap2lig-Find. Thus, across these four cases, LigandSeek-Find usaually retained good detection performance with CryoAtom2-reconstructed receptors when deposited receptor structures were unavailable.</w:t>
      </w:r>
    </w:p>
    <w:p>
      <w:pPr>
        <w:pStyle w:val="CaptionedFigure"/>
        <w:keepNext/>
        <w:ind w:firstLine="0"/>
        <w:jc w:val="center"/>
      </w:pPr>
      <w:r>
        <w:drawing>
          <wp:inline>
            <wp:extent cx="5731510" cy="7080101"/>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suO0zAU_ZUoa6ZOStuZRkMl1AE2A6qQ2FmqPI6TWE1sYzttELAFjQRig2bDB8AK9iDB15TpZ3Adp48RICEiRT6-99xzX34eKmKLMAnC6_ff1h--I2NJzuL1uy-bj6_Wb656StkmvBWEmhlZLlnqqNME4yeGaYNxPBzHY4zPmFlYqTDefP768-r15u3l9acfGHtNjP8mKkjFnKD3H2Wy1pQYdlQRLpy_InpRK8cYHt-Oh3HUHEcnURzFL04Vpwn8QVOVwiTkDg4La1WCkKEFq4jpScUEODOpK2LhqnOUarLiIq9K1I-iEXJZcNgpgNb_aECYrTXbyeh_EpFZxik7k7SumLBeSbOSWC6FKbgyOJy0HYrljNOZ9hf6aDnTQcoMdVmmCWp3gNoVoG4D6HAByLJKQZuihhCu7DzjORRr5n36tBwNRifIG-aR-wY9JXJohKegPhgDcusBPNv2ODlFuzr2JfkCiZvguaQLEwg5LYjI2V2t5apgJDUgEju9rcMoRq03guY-9CCBV0W_DeGi5Oo-L0uX0eE23gOSGKuZpYWDGXAeQ5bWf-OyI6Gbeu5mFEz4YvVQpq5xUlvpKiRJk-nKnbC4oAFPBN0882erCXbnZo0NqPN3zxVY1NG6V9uRgdWeW1GljX3AZBU4AGwNlfq0ZHluPHePtmznF9KXjvaQJKUIVqAyHvaHXuWPLLeXeyJtrTtMEkt4uTUf4lJ083IT6iD8k_DlL1t2hI4" id="48" name="Picture"/>
            <a:graphic>
              <a:graphicData uri="http://schemas.openxmlformats.org/drawingml/2006/picture">
                <pic:pic>
                  <pic:nvPicPr>
                    <pic:cNvPr descr="C:/Users/15919/Desktop/论文草稿/temp/manuscript_figures_2cql6468/figure_000004.png" id="49" name="Picture"/>
                    <pic:cNvPicPr>
                      <a:picLocks noChangeArrowheads="1" noChangeAspect="1"/>
                    </pic:cNvPicPr>
                  </pic:nvPicPr>
                  <pic:blipFill>
                    <a:blip r:embed="rId47"/>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Small-molecule region detection under different receptor conditions.</w:t>
      </w:r>
      <w:r>
        <w:rPr>
          <w:rFonts w:ascii="华文仿宋" w:hAnsi="华文仿宋" w:eastAsia="华文仿宋"/>
          <w:sz w:val="18"/>
        </w:rPr>
        <w:t xml:space="preserve"> </w:t>
      </w:r>
      <w:r>
        <w:rPr>
          <w:rFonts w:ascii="华文仿宋" w:hAnsi="华文仿宋" w:eastAsia="华文仿宋"/>
          <w:sz w:val="18"/>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p>
      <w:pPr>
        <w:pStyle w:val="CaptionedFigure"/>
        <w:keepNext/>
        <w:ind w:firstLine="0"/>
        <w:jc w:val="center"/>
      </w:pPr>
      <w:r>
        <w:drawing>
          <wp:inline>
            <wp:extent cx="5731510" cy="2914514"/>
            <wp:effectExtent b="0" l="0" r="0" t="0"/>
            <wp:docPr descr="Fig. 5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O0zAQxl8lypmum9AUGi2VULdwWVCFxM1S5XWcxqpjG9ttg4Az4sAJxAXEmRMPwErwNGz3MRjH6Z_VckBEivzZ8_nnmbFfxZq4Ks6jePvx8vfnn2iaTreXH66-fjnR2jXxnSg2zCqxZoU3TXKMn1tmLMZJNkpGGJ8xu3RKY3z9_cfVp7fX799tv_3CONAwvo2TpGYexVLWI0L0Si6LXk0crXy0Jma50j6e3bubZEm_SUfJIEsGr081pzn8UVMLaXPyAMeVczpHyNKK1cSeKM0kBEtlAAdTs0CFIRsuF7VAab8_RDXhEscdAVj_w4BtbmXYHmP-CaLKklN2puiqZtIFkmGCOK6krbi2OB63Fcr1jNOZCRP6dD0zUcEs9adMctT2HrWtR13n0XHjkWO1hjLlCrZw7eYlX0Cydp7SF2I4GN5HYWHe9192ouUCCuEF0LMUlL8c0LNdjeNTtM_jkFJIkPgOniu6tJFUk4rIBXtojNpUjBQWIInn7QJWM-rCIjAPW48OCFR0qwkXgutHXAh_otft_iBIbp1h8HS8LMHzDE5p4zcmexO6yfMzq6HDF5snqvCFk5VTPkOSN6Wp_QgXFzUQ6UM1L8PYMmHdh1njIurj3XMFF_W27tV2ZnC14w6qjXWPmaojL8BtINNwLFmf2-A9qJ3bx6UKqaODJLmQ0QYooyzNAuWvLn8vU1m0q3tNcke42C0fayG7fvkOdRL-cfzmD7wUfIM" id="51" name="Picture"/>
            <a:graphic>
              <a:graphicData uri="http://schemas.openxmlformats.org/drawingml/2006/picture">
                <pic:pic>
                  <pic:nvPicPr>
                    <pic:cNvPr descr="C:/Users/15919/Desktop/论文草稿/temp/manuscript_figures_2cql6468/figure_000005.png" id="52" name="Picture"/>
                    <pic:cNvPicPr>
                      <a:picLocks noChangeArrowheads="1" noChangeAspect="1"/>
                    </pic:cNvPicPr>
                  </pic:nvPicPr>
                  <pic:blipFill>
                    <a:blip r:embed="rId50"/>
                    <a:stretch>
                      <a:fillRect/>
                    </a:stretch>
                  </pic:blipFill>
                  <pic:spPr bwMode="auto">
                    <a:xfrm>
                      <a:off x="0" y="0"/>
                      <a:ext cx="5731510" cy="291451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179 test PDB entries with successful predictions within an attempt budget of</w:t>
      </w:r>
      <w:r>
        <w:rPr>
          <w:rFonts w:ascii="华文仿宋" w:hAnsi="华文仿宋" w:eastAsia="华文仿宋"/>
          <w:sz w:val="18"/>
        </w:rPr>
        <w:t xml:space="preserve"> </w:t>
      </w:r>
      <m:oMath>
        <m:r>
          <m:t>K</m:t>
        </m:r>
      </m:oMath>
      <w:r>
        <w:rPr>
          <w:rFonts w:ascii="华文仿宋" w:hAnsi="华文仿宋" w:eastAsia="华文仿宋"/>
          <w:sz w:val="18"/>
        </w:rPr>
        <w:t xml:space="preserve">, for</w:t>
      </w:r>
      <w:r>
        <w:rPr>
          <w:rFonts w:ascii="华文仿宋" w:hAnsi="华文仿宋" w:eastAsia="华文仿宋"/>
          <w:sz w:val="18"/>
        </w:rPr>
        <w:t xml:space="preserve"> </w:t>
      </w:r>
      <m:oMath>
        <m:r>
          <m:t>K</m:t>
        </m:r>
        <m:r>
          <m:rPr>
            <m:sty m:val="p"/>
          </m:rPr>
          <m:t>=</m:t>
        </m:r>
        <m:r>
          <m:t>1</m:t>
        </m:r>
      </m:oMath>
      <w:r>
        <w:rPr>
          <w:rFonts w:ascii="华文仿宋" w:hAnsi="华文仿宋" w:eastAsia="华文仿宋"/>
          <w:sz w:val="18"/>
        </w:rPr>
        <w:t xml:space="preserve">–</w:t>
      </w:r>
      <m:oMath>
        <m:r>
          <m:t>10</m:t>
        </m:r>
      </m:oMath>
      <w:r>
        <w:rPr>
          <w:rFonts w:ascii="华文仿宋" w:hAnsi="华文仿宋" w:eastAsia="华文仿宋"/>
          <w:sz w:val="18"/>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ind w:firstLine="0"/>
        <w:jc w:val="center"/>
      </w:pPr>
      <w:r>
        <w:drawing>
          <wp:inline>
            <wp:extent cx="5731510" cy="5021752"/>
            <wp:effectExtent b="0" l="0" r="0" t="0"/>
            <wp:docPr descr="Fig. 6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k2P0zAQ_StRzuw6CaRLo6US6hYuC6qQuFmqvI7TWHVsY7ttEHBGHDiBuIA4c-IHsBL8Grb7MxjH6cdqOSAiRX6eeX4z8-xXsSaujoso3ny8_P35J5pkk83lh6uvX461dm18J4oNs0qsWOlJ4wLj55YZi3GaD9MhxmfMLpzSGF9__3H16e31-3ebb78wDmoY35aTpGFeimXsyDZEiCPNNRNcMp9tiFkstc_nJ3fTPE3aPMnSkzx7fao5LeCP2kZIW5AHOK6d0wVCltasIfZYaSYhWSnTEAdbM0elIWsu541AWZIMUEO4xHGvAFr_owHH3NKwnYz5JxFVVZyyM0WXDZMuKBkmiONK2ppri-NRN6FcTTmdmrChT1dTE5XMUl9lXKDOe9RZj3rn0aHxyLFGw5hyCUe4drOKz6FZO8voCzG4N7iPQmCW-G9wrOUcBuElqOc5IH85gKfbGUenaNfHvqXQIPEOniu6sJFU45rIOXtojFrXjJQWRFKvt01YzagLQdDcHz0oEFTRLRMuBNePuBC-osfd-QBIYZ1hjtYeVsB5BlW6_I3NjoRu6vmd1eDwxfqJKv3gZOmU75AUbWUav8LFRS1kEpjmZVg7TYj7NGtdRH2-f67Aop7Wv9qeDKxu3YpqY91jpprIA2Ab6DSUJatzG7h7tGX7vFShdbSHpBAyWoPKMM_yoPJXlr-XiSy76A6TwhEutuFDLGTvl3eoh_CP4jd_AAL5fNo" id="54" name="Picture"/>
            <a:graphic>
              <a:graphicData uri="http://schemas.openxmlformats.org/drawingml/2006/picture">
                <pic:pic>
                  <pic:nvPicPr>
                    <pic:cNvPr descr="C:/Users/15919/Desktop/论文草稿/temp/manuscript_figures_2cql6468/figure_000006.png" id="55" name="Picture"/>
                    <pic:cNvPicPr>
                      <a:picLocks noChangeArrowheads="1" noChangeAspect="1"/>
                    </pic:cNvPicPr>
                  </pic:nvPicPr>
                  <pic:blipFill>
                    <a:blip r:embed="rId53"/>
                    <a:stretch>
                      <a:fillRect/>
                    </a:stretch>
                  </pic:blipFill>
                  <pic:spPr bwMode="auto">
                    <a:xfrm>
                      <a:off x="0" y="0"/>
                      <a:ext cx="5731510" cy="50217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The evaluation includes 77 PDB entries containing these small molecules. Find and Match denote LigandSeek-Find and LigandSeek-Match, respectively, within the LigandSeek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curves require correct region detection, whereas Find+Match curves require both correct region detection and correct ligand identity matching.</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the vertical axis shows the percentage of PDB entries with successful predictions within that budget. GT and CA2 denote deposited and CryoAtom2-reconstructed receptor structures, respectively.</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56">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57">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58">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59">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60">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61">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62">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63">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64">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65">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66">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67">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68">
        <w:r>
          <w:rPr>
            <w:rStyle w:val="a4"/>
          </w:rPr>
          <w:t xml:space="preserve">10.1021/acs.jmedchem.3c01134</w:t>
        </w:r>
      </w:hyperlink>
      <w:r>
        <w:t xml:space="preserve">.</w:t>
      </w:r>
    </w:p>
    <w:bookmarkEnd w:id="69"/>
    <w:bookmarkEnd w:id="70"/>
    <w:bookmarkEnd w:id="71"/>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65" Type="http://schemas.openxmlformats.org/officeDocument/2006/relationships/hyperlink" Target="https://doi.org/10.1016/j.cell.2026.01.003" TargetMode="External"/><Relationship Id="rId67" Type="http://schemas.openxmlformats.org/officeDocument/2006/relationships/hyperlink" Target="https://doi.org/10.1016/j.str.2020.04.018" TargetMode="External"/><Relationship Id="rId63" Type="http://schemas.openxmlformats.org/officeDocument/2006/relationships/hyperlink" Target="https://doi.org/10.1016/j.str.2025.07.002" TargetMode="External"/><Relationship Id="rId57" Type="http://schemas.openxmlformats.org/officeDocument/2006/relationships/hyperlink" Target="https://doi.org/10.1016/j.tibs.2014.10.005" TargetMode="External"/><Relationship Id="rId68" Type="http://schemas.openxmlformats.org/officeDocument/2006/relationships/hyperlink" Target="https://doi.org/10.1021/acs.jmedchem.3c01134" TargetMode="External"/><Relationship Id="rId56" Type="http://schemas.openxmlformats.org/officeDocument/2006/relationships/hyperlink" Target="https://doi.org/10.1038/d41586-020-00341-9" TargetMode="External"/><Relationship Id="rId66" Type="http://schemas.openxmlformats.org/officeDocument/2006/relationships/hyperlink" Target="https://doi.org/10.1038/s41467-023-36732-5" TargetMode="External"/><Relationship Id="rId58" Type="http://schemas.openxmlformats.org/officeDocument/2006/relationships/hyperlink" Target="https://doi.org/10.1038/s41586-024-07215-4" TargetMode="External"/><Relationship Id="rId60" Type="http://schemas.openxmlformats.org/officeDocument/2006/relationships/hyperlink" Target="https://doi.org/10.1038/s41594-025-01723-1" TargetMode="External"/><Relationship Id="rId61" Type="http://schemas.openxmlformats.org/officeDocument/2006/relationships/hyperlink" Target="https://doi.org/10.1126/science.aat4346" TargetMode="External"/><Relationship Id="rId62" Type="http://schemas.openxmlformats.org/officeDocument/2006/relationships/hyperlink" Target="https://doi.org/10.64898/2026.06.01.729423" TargetMode="External"/><Relationship Id="rId59" Type="http://schemas.openxmlformats.org/officeDocument/2006/relationships/hyperlink" Target="https://doi.org/10.65215/LTSpreprints.2026.04.14.000185" TargetMode="External"/><Relationship Id="rId6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65" Type="http://schemas.openxmlformats.org/officeDocument/2006/relationships/hyperlink" Target="https://doi.org/10.1016/j.cell.2026.01.003" TargetMode="External"/><Relationship Id="rId67" Type="http://schemas.openxmlformats.org/officeDocument/2006/relationships/hyperlink" Target="https://doi.org/10.1016/j.str.2020.04.018" TargetMode="External"/><Relationship Id="rId63" Type="http://schemas.openxmlformats.org/officeDocument/2006/relationships/hyperlink" Target="https://doi.org/10.1016/j.str.2025.07.002" TargetMode="External"/><Relationship Id="rId57" Type="http://schemas.openxmlformats.org/officeDocument/2006/relationships/hyperlink" Target="https://doi.org/10.1016/j.tibs.2014.10.005" TargetMode="External"/><Relationship Id="rId68" Type="http://schemas.openxmlformats.org/officeDocument/2006/relationships/hyperlink" Target="https://doi.org/10.1021/acs.jmedchem.3c01134" TargetMode="External"/><Relationship Id="rId56" Type="http://schemas.openxmlformats.org/officeDocument/2006/relationships/hyperlink" Target="https://doi.org/10.1038/d41586-020-00341-9" TargetMode="External"/><Relationship Id="rId66" Type="http://schemas.openxmlformats.org/officeDocument/2006/relationships/hyperlink" Target="https://doi.org/10.1038/s41467-023-36732-5" TargetMode="External"/><Relationship Id="rId58" Type="http://schemas.openxmlformats.org/officeDocument/2006/relationships/hyperlink" Target="https://doi.org/10.1038/s41586-024-07215-4" TargetMode="External"/><Relationship Id="rId60" Type="http://schemas.openxmlformats.org/officeDocument/2006/relationships/hyperlink" Target="https://doi.org/10.1038/s41594-025-01723-1" TargetMode="External"/><Relationship Id="rId61" Type="http://schemas.openxmlformats.org/officeDocument/2006/relationships/hyperlink" Target="https://doi.org/10.1126/science.aat4346" TargetMode="External"/><Relationship Id="rId62" Type="http://schemas.openxmlformats.org/officeDocument/2006/relationships/hyperlink" Target="https://doi.org/10.64898/2026.06.01.729423" TargetMode="External"/><Relationship Id="rId59" Type="http://schemas.openxmlformats.org/officeDocument/2006/relationships/hyperlink" Target="https://doi.org/10.65215/LTSpreprints.2026.04.14.000185" TargetMode="External"/><Relationship Id="rId64"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2026-10-06T13:07:26Z</dcterms:created>
  <dcterms:modified xsi:type="dcterms:W3CDTF">2026-10-06T13:07:26Z</dcterms:modified>
</cp:coreProperties>
</file>

<file path=docProps/custom.xml><?xml version="1.0" encoding="utf-8"?>
<Properties xmlns="http://schemas.openxmlformats.org/officeDocument/2006/custom-properties" xmlns:vt="http://schemas.openxmlformats.org/officeDocument/2006/docPropsVTypes"/>
</file>