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b>
          <m:e>
            <m:r>
              <m:rPr>
                <m:sty m:val="p"/>
              </m:rPr>
              <m:t>one-to-one PRAUC</m:t>
            </m:r>
          </m:e>
          <m:sub>
            <m:r>
              <m:t>0.3</m:t>
            </m:r>
          </m:sub>
        </m:sSub>
      </m:oMath>
      <w:r>
        <w:t xml:space="preserve"> </w:t>
      </w:r>
      <w:r>
        <w:t xml:space="preserve">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b>
          <m:e>
            <m:r>
              <m:rPr>
                <m:sty m:val="p"/>
              </m:rPr>
              <m:t>one-to-one PRAUC</m:t>
            </m:r>
          </m:e>
          <m:sub>
            <m:r>
              <m:t>0.3</m:t>
            </m:r>
          </m:sub>
        </m:sSub>
      </m:oMath>
      <w:r>
        <w:t xml:space="preserve"> </w:t>
      </w:r>
      <w:r>
        <w:t xml:space="preserve">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 title="MDPPTFIG_eJzVVs1uXDUUfhVrVq3UmTsz6bTkUiIlkwZVSlDUwIqLIo_vmRkzvrZle_7aInUHCJUNiA0PAKs-AJHouyDS5jE4x77zE5JFBQtEpMk99jn-znd-_PO8YXkYN3LWePfjxeXPv2dvX15c_fINSi1rw6JxjzUceKNmUJJRPy-Kzzw4XxSd3m5ntygOwU-CsUVx9fq3tz99ffXq23e_vimKhFYUN-E0r4CghnLUNDNwMwnz81mXVILbII0-r7ibTC0afd54NM8tW1RK-3z-UdEYh2DzLPNiDBX3LWNBo3JoXMUDDt0omxtXWmcEeC_1qFJZt91-kFVc6qKxR2inLn7OwlIBm-czrhD3ScVH0E_uyS5bWZDtBMAeSw0-zm-N5rm3XKAbxFE4hUDd--2iUQ-fThVN8WkwNWZtTiulLtFsKJ0Px2lpuzZCTSKQmKZ_tXxkdPC4jnshJa65fPU9Jv3PizeXr7-LfoH7sO8lv0033tf-5qLoKwGTi0EcD6LYTxHHL5J_tk5X54NVQM_S8kQvUKVikBSPxcbB8gKaHslRi3XYC7aPucBSQclAl81gmvhhRxjxHy9_OOFBjPF7MJUKc2PcZKjMnGFxmQNhtA9uKgJlW8kRx3XWePBs6EzFhFua5uMTVvLAW8QoJF7_QQL_RZrY_5b5p2NgUtspMuQOGNcMFhacrEAHrjblAaQRlqzillEFQYYxOMZRgcWU1BdYarABa57KPUU0Qxa3zPPUTFJwpRDTlKAUIgyWrI_-9lHZbcXmYsoIbDrPBDqV2COwaiEHI9zxnt0ZKDPw7KBD_de7y7hwxnuG7LY5t1jsUTaUKuAZyIZceWhG5nIGDPNRShEiIIFzPIJGKGNKZbnle-U0mBUNiU4CgiDFOw5iXnVIoZydPDl-fHaXzTFVUkdGHk9Qdnp4gHsouOWHyDq6O-gyqdQU80NOwtywUnrcLyIwSq2v-SDsGqT2u7zH5lgHbCB20GNrAj6m_UsQROXv9Fss7VNhqgGdhhG0zgBsEht3Z6wBBRCNKsohXAs6WqXcYlJGoCHFMHYAzZK6yCMaNtK1nT-lEz4FAyqxrAwKU8UdK42YRLUx6vqJQEfrXuMLvG_W90yj93Cn0-u0F53d-53uzs6LR1aKHH_11cPf6-opHZ_fuHNqBMT6Jxi4jFp9DePeC8QMh1LAoRFT2n8JyYHisTXH0nra3BShnp1KQVubBuKT2SnmDbwgL_08ixd9Fu_5rL7ms-1bPgtQWQxTT3GJtOEcr3Qk68_d5MFEu12epYnzNv11WlaPMBBZIvrOQ5ToJYDy6SpGLM2ax4ZSIsgpg8dYU8-06Y-5HsG-cwbblpeeDizCWym8xW5Ik4i5WbrlIKFmN5IwUNIe4TYijyTH9UngOW4twB4lEY8A9RS9RP21wdoou45HI493OhvMT_Co2noY8HwxdBV9sXBskZ4CbLl-EsR5UsMiMEH6ul3RSpBZ3bW1MVrF7wrU4hPjY8ANRgJa40kakls-O_bJdiOtrEmvTaKebUSeK83oJbbb6_YSyq1WVJfH8SGzJfM8cKlW09uy0nW-vF3XBX97ja_-Amh86dk" id="36" name="Picture"/>
            <a:graphic>
              <a:graphicData uri="http://schemas.openxmlformats.org/drawingml/2006/picture">
                <pic:pic>
                  <pic:nvPicPr>
                    <pic:cNvPr descr="C:/Users/15919/Desktop/论文草稿/temp/manuscript_figures_rk6knr9a/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B5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t xml:space="preserve"> </w:t>
      </w:r>
      <w:r>
        <w:rPr>
          <w:rStyle w:val="MDFIGREF_eJyrrk7LTC9KTbMCUrq5qSUZ-Sm6ZSa1tQB3QQlZ"/>
        </w:rPr>
        <w:t xml:space="preserve">Fig. 2</w:t>
      </w:r>
      <w:r>
        <w:t xml:space="preserve"> </w:t>
      </w:r>
      <w:r>
        <w:t xml:space="preserve">shows the overall network architecture, with further details provided in Methods.</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 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240" w:lineRule="auto" w:before="0" w:after="0"/>
        <w:ind w:firstLine="0"/>
        <w:jc w:val="center"/>
      </w:pPr>
      <w:r>
        <w:drawing>
          <wp:inline>
            <wp:extent cx="3526416" cy="4165600"/>
            <wp:effectExtent b="0" l="0" r="0" t="0"/>
            <wp:docPr descr="Fig. 2 | Network architecture and data flow of LigandSeek’s Find–Match–Build framework. a, Shared inputs. Experimental cryo-electron microscopy density M_{\mathrm{exp}}, simulated receptor density M_{\mathrm{sim}}, difference density M_{\mathrm{diff}} and positive difference density M_{\mathrm{diff}}^{+} 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 b,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 c, Foreground classification and identity assignment in Match. The candidate encoder processes a 48³ grid centred on each blob with a U-Net to generate voxel summary h_j^{\mathrm{vox}}. Find-derived blob, pocket and pseudo atom features modulate h_j^{\mathrm{vox}} via dual pooling, cross-attention and FiLM, yielding candidate representation h_j. The identity encoder uses SMI-TED language embeddings to query GNN-encoded molecular graph features via graph attention, while context attention incorporates other ligand identities in the same PDB entry, yielding identity representation g_k. Finally, a foreground head predicts foreground probability p_j^{\mathrm{fg}} from h_j, and learned cosine scoring between h_j and g_k produces the assignment matrix s_{j,k}. d, Pose reconstruction in Build. The blob geometric centre p, Match-assigned ligand identity and pocket environment are supplied to docking tools to generate ligand poses. The default tool is PocketXMol fine-tuned with density guidance. Vina, DiffDock and EMERALD are also supported." title="MDPPTFIG_eJztG9FuG7nxVwg9tajWcpzYuAhJAF8cBynswIiTQ4GqCCju7C4rLsmSXMlKr0DeiqK4vrQoUPQH-nQvfesBPaCfcmju7jM6Q-7KcpyiiZ2LI1cG5N0lh8MZcmY4MyR_3bM8VL0h6333p69e_fWfg0MIlcm_fUkfG9aGk16f9Rx4o6aQE9z94Wj0zIPzo9GN7ds3bo9Ge-AnwdjR6Psv__Htn3_7_Re_--5vX49GCeFo9EaMmtdA2ApZZnUEyKa3qEJwG6TRz2vuJo1FkJ_37syGlp3USvvh7O6oV4Vgh4OBFxXU3G8YCxorC-NqHvDTlYOZcbl1RoD3Upe1Gmxtbu4Mai71qHePsB25-DgOcwVsNpxyhXgf1byE-6l7ght0EAQ7AbAHUoOP5Utfs6G3XGA3iEdhESLaurU56rWfTxpFRbwJpsXZglNLqXMEK6Tz4SA13WyBsCYRkChN_9r3faODx3bcCymxzasv_oCj_u-vvn715e9jv8B92PWSv6mu2tX-fKPYV0JMXYzj9zi-3k8cxycS_2IxXDc-6Rh6kZon8gLNVGSS-LEoOeCmgKD7stxgW-xz9hgCTtCEcScqGUCExgHjOBQ5D5wVysyYKdiBLLHsGGDyzcu_eLaPI_LNyz8e8iAqfH7aSJWzwqEUEa4NIiAkMq5gvC4xKuxqKf9BZpqv7Gz02XHFHeRMatugMWEPTiw4WYMOXDHh5iYDhRLrjGa1FM54Yeyc5YBkhfnKsn1WCOuhQTWrWotbv5XFNUUhBewZ0dBYdfY2VERHPfTHzZieQP9iD-He4Z1BHfuMJYO20ifACBOpxqIwZ3XLmI18xbLU8qjFBmewXQDByWUR2Nf5iawMOuYH7aiulmD0mZd1o3hAlXAgwAbj1tJ-5dLuLyus8rII6usp7bksCnCgBayl_MqlPL9yKS_eL4JroiZX7LJexjHFIMMaVGs5hbWuv5uuHzd2re4XUnd62Avh-8l5fHZhPo7b97UF-YCUk86wUAEbcw-skKByjBKfaU26pKRHP5mMzIsMA0MH2VKxg4gGA0nKL3nW6BxcaZiHKWiGXQWJIWZwXPukmATVx0BUqCan9NJD3njkGmFrY0KFRcv-SmaKrIPw7Ed75uGPkTwVMHrFtkRT579nGmRZjU3jKmNyhiJFhHnsrs-sM3kTk1mcbe9kouJag2IYAgSZTSXMOlOJ_OvJBjtyJoDUEb9uhAIpGBdyKVjgwdSeVRwN7vZmllMoTV0hqwVwyvx4huSbyCGZJymwitCVYGoIDhFKvRiQdZ7nY8rzjFd2Nvrsp0bqwKbmBJK4WfrOhDJNzpQRpLRR4lD6Yu5xg-2ym3vsWfYYAhOmHlP2d6ENZ_SLRP5UuoNBrYJcira3GVoDpmJyM3NQUheodWM-lgr9EkBr8ghLuONKgeqzo0jn084sgGOf3Uwag7hf07LIh4cmN22B57VVQHlSpKhCrc9Ou0IVRrZI7RIVydYYZ41DxrE4jc2S8qHdc6Ypq2QOPI4RdGymnrAVDpNmu8pWfN-o_GbmY4Yd6ZwLqmY1kE2RvmYSTRMnR0zNsb6Iw9kOVLSPnLJrno3R1LExso_GwZPBiRDw-nB3vJwZSsaRsoaML05CNMhM4BjJnIduCjrmWd5EQ4nsJnvaZ7NKIulwgiY5djhWZvyGMcYepzKHJDRMNNgtjhiLieq1ufqYzJVY2dnos30U3hK1D6VPKI6rNbrrSSlJIFH-dIh2CGtKTS482a0kg-xptSz3yXY41u6PkZawW5_86--sdLhuC2xK-W9EDFxUUejZTKIO8tb2oSqVoEl3oTURvqlr7tbR0ztGT9X_jJ7CvV--54BietkIx7zfPPv1CWk2opeQoWbhkpYWC3SnjZigyry2Zpz6BjV625RcX6vOWnX-f1VndbMBU8nRcUS3zxqjYkAenVZ0SQMtyO3qvC8PDvtsTrmCGOUuluKzKYGVHYWr2Gm4uAVY8eR7cucWDl_nzTXkyB0fPsqePthjiuuy4SX6evUYchK6GIb-qgE3Zw8fP85SqxzXHwUCVyCHzh-31enCRIKdihai3AVEApnAoOi0YilsxJYYriE5bXDVkkmhmNQxbYZxIrCjvU8Z-ZnzJa1YcLRWigsrRfkWSjG5nkqBzhdXCgWKU_TdhUoV8LxLKvjliqU0yFrC3s33OnfO5QP4XpfemDmnGWvX6ao3UpypV5b4tcfzQZNf5Eoo4E6jyyKMlxpiNpfchjGEGcDaTVhL0rW2lqgBK0v72hNei_hbUJ6OHtCGKYaJS_sYONFOnqwsW1ch_f6dDfwFXOr-mxBcU61a7-N-TPu4q7sU0nEOH49DGO2Da0R3wiReZ0upvbjjenr4KW3IrizHP7T5-29JiRU0Mv20X5-ltQ9DnbNJ1Hl7TCnuKIKeSmfSAkmHXOgQn5LpoEuOIBQaBWOUP7Nd3yK0KIM-CVsOBW9UiLBMehRPQv-zQ_yiEzlZaIiQuP_fHXUqG5lzLWCDfSY177M9WRQ4O5NI3oPDB092D_YiTVx5EwkzLkB-1oTif3uv94s-6y2u-fZubm_t3Lqxc4K_7Z3Nzc_vWCmG-Gulhb-VtOSOz85d-W0xIK6L4MBmlBRfoHEXFlsHKh3rrKT1JBzEoZ4eSUGiQR_i8fSILlh5Qb3cHw7iRetBvGc9aK9ZD5ZvWQ8C1BbZ1A02kTY8L2RJGfznbrIz0e42H6SC55v0t7VhdYmMyByxx0vKdA0b3486HnFqFnSckpQI5DSCBzjVnmlzv-K6hF3nzIyyrJ4EnvB1Fd6CCKkQcZ42XeogYR2cG4SxknZfKkU90ntsn144-iEOUEvotUCYJ9hLrD_zsQAanMVHX97iCI9nhyZfvpfNhyeFq-mJE8dO7sab2Gx-t7uRHcupmrY-BNW34opQgsBaqW2BESo-O6TW-fAQbTqjF4TGFSCkbvn0wCfY07cOmuq1SaQPTl_5UGlGF-Fvb29tJyxvhKJ5eRDvkS-982HgUnXFy-9Kt-Pl7WJe8Hev95v_AJ1WG4U" id="39" name="Picture"/>
            <a:graphic>
              <a:graphicData uri="http://schemas.openxmlformats.org/drawingml/2006/picture">
                <pic:pic>
                  <pic:nvPicPr>
                    <pic:cNvPr descr="C:/Users/15919/Desktop/论文草稿/temp/manuscript_figures_rk6knr9a/figure_000002.png" id="40" name="Picture"/>
                    <pic:cNvPicPr>
                      <a:picLocks noChangeArrowheads="1" noChangeAspect="1"/>
                    </pic:cNvPicPr>
                  </pic:nvPicPr>
                  <pic:blipFill>
                    <a:blip r:embed="rId38"/>
                    <a:stretch>
                      <a:fillRect/>
                    </a:stretch>
                  </pic:blipFill>
                  <pic:spPr bwMode="auto">
                    <a:xfrm>
                      <a:off x="0" y="0"/>
                      <a:ext cx="3526416" cy="41656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LigandSeek’s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Shared inputs. Experimental cryo-electron microscopy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w:t>
      </w:r>
      <w:r>
        <w:rPr>
          <w:rFonts w:ascii="华文仿宋" w:hAnsi="华文仿宋" w:eastAsia="华文仿宋"/>
          <w:sz w:val="18"/>
        </w:rPr>
        <w:t xml:space="preserve">form the base fields. Unnormalised and z-score-normalised representations undergo seven spatial transformations, including Gaussian smoothing, difference-of-Gaussians (DoG) filtering and receptor-neighbourhood suppression, producing a 56-channel multi-view density bank. Protein and nucleic acid receptor atoms have 50-dimensional features encoding chemical and geometric information.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Joint voxel and point-cloud localisation in Find. A 3D U-Net combines density and receptor-atom features to predict voxelwise ligand-region probabilities. In parallel, Point Transformer V3 encodes receptor atoms and pseudo atoms sampled from high-probability binding regions, incorporating voxel information through multiscale feature sampling. An AlphaFold3-style recycling mechanism iteratively refines predictions across both branches. Predicted receptor-atom binding probabilities are used to score candidate ligand regions during inference, while extracted blobs and pseudo atoms provide local cues for Match.</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Foreground classification and identity assignment in Match. The candidate encoder processes a 48³ grid centred on each blob with a U-Net to generate voxel summary</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pocket and pseudo atom features modulate</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via dual pooling, cross-attention and FiLM, yielding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SMI-TED language embeddings to query GNN-encoded molecular graph features via graph attention, while context attention incorporates other ligand identities in the same PDB entry, yielding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Finally, a foreground head predicts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and learned cosine scoring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produces the assignment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Pose reconstruction in Build. The blob geometric centre</w:t>
      </w:r>
      <w:r>
        <w:rPr>
          <w:rFonts w:ascii="华文仿宋" w:hAnsi="华文仿宋" w:eastAsia="华文仿宋"/>
          <w:sz w:val="18"/>
        </w:rPr>
        <w:t xml:space="preserve"> </w:t>
      </w:r>
      <m:oMath>
        <m:r>
          <m:t>p</m:t>
        </m:r>
      </m:oMath>
      <w:r>
        <w:rPr>
          <w:rFonts w:ascii="华文仿宋" w:hAnsi="华文仿宋" w:eastAsia="华文仿宋"/>
          <w:sz w:val="18"/>
        </w:rPr>
        <w:t xml:space="preserve">, Match-assigned ligand identity and pocket environment are supplied to docking tools to generate ligand poses. The default tool is PocketXMol fine-tuned with density guidance. Vina, DiffDock and EMERALD are also supported.</w:t>
      </w:r>
    </w:p>
    <w:bookmarkEnd w:id="41"/>
    <w:bookmarkStart w:id="104" w:name="results"/>
    <w:p>
      <w:pPr>
        <w:pStyle w:val="1"/>
        <w:keepNext/>
        <w:ind w:firstLine="0"/>
      </w:pPr>
      <w:r>
        <w:t xml:space="preserve">Results</w:t>
      </w:r>
    </w:p>
    <w:bookmarkStart w:id="54" w:name="stage-1"/>
    <w:p>
      <w:pPr>
        <w:pStyle w:val="2"/>
        <w:keepNext/>
        <w:ind w:firstLine="0"/>
      </w:pPr>
      <w:r>
        <w:t xml:space="preserve">Stage 1</w:t>
      </w:r>
    </w:p>
    <w:bookmarkStart w:id="42"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 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42"/>
    <w:bookmarkStart w:id="49" w:name="stage-1-results"/>
    <w:p>
      <w:pPr>
        <w:pStyle w:val="3"/>
        <w:keepNext/>
        <w:ind w:firstLine="0"/>
      </w:pPr>
      <w:r>
        <w:t xml:space="preserve">Stage 1: Results</w:t>
      </w:r>
    </w:p>
    <w:p>
      <w:pPr>
        <w:pStyle w:val="CaptionedFigure"/>
        <w:keepNext/>
        <w:spacing w:line="240" w:lineRule="auto" w:before="0" w:after="0"/>
        <w:ind w:firstLine="0"/>
        <w:jc w:val="center"/>
      </w:pPr>
      <w:r>
        <w:drawing>
          <wp:inline>
            <wp:extent cx="5731510" cy="6361300"/>
            <wp:effectExtent b="0" l="0" r="0" t="0"/>
            <wp:docPr descr="Fig. 3 | Ligand-region detection by LigandSeek-Find. LigandSeek-Find uses deposited or CryoAtom2-reconstructed receptor structures and is compared with the density-only baseline Emap2lig-Find. The left column shows all ligands (179 PDB entries, 2,502 instances); the right shows only small molecules (94 PDB entries, 821 instances). a, b, Per-PDB Dice scores and one-to-one PRAUC at thresholds of 0.3 and 0.5. Error bars show 95% intervals for the mean from 10,000 bootstrap resamples of PDB entries. c, d, Direct comparisons of LigandSeek-Find using CryoAtom2-reconstructed receptors with Emap2lig-Find. LigandSeek-Find performs better, comparably or worse on 112/40/27 PDB entries for all ligands and 40/36/18 for small molecules, respectively. e, f, One-to-one precision and recall at threshold of 0.3. Each point represents one PDB entry; open white circles and thick bars indicate the median and interquartile range, respectively." title="MDPPTFIG_eJztWF-PGzUQ_ypWJCSQkuxucrk2aal05HoI6YCopU8sOjleJ2vFaxvb-VfKM0KovIB4AfHMUz8AleiXoX8-BjP2JpfeVYDggQu6k3Jre2Z-M_Z4f5qdLxqG-rIxII2X3z99_uNvifN0yrOXT7978fNPbWP8qtEkDcudlgteoN5wkOcPHLcuz7NeP-vn-TF3M69Nnr968uuLH7569fjrl788y_MImOdvRFS04ogWha2KCtVyYmWo4hLljBovtDqrqJ3NDWh-2ri9HBiyqqRyg-W7eaP03gySxLGSV9S1teEKhBNtK-phaqfJUtvCWM24c0JNK5l00vQwQVd54w6ijWx43PdryclysKAScD-oIKJhdI96yUYDdWecm1OhuAvrO7PlwBnKwA3gSFgCoM5Bmjfq6b25xCU697rGrNXRUqgC1CbCOn8aTdNaCSQxgBhp_FePT7TyDuyoY0KAzfPH38Lh__702fMn3wS_nDp_5AR9k6w8Uu6yUfAVgdHFOMzHYTiMOw5PCP7h9riym5sNPYzmMTyPmQqbxP0YuEDcLjionohpm3TJI3IqplQVLcuncNCk4J4zPHIyXtei-5zPWidwBG3E9RH9PziGf7FZsreRX0gBmTvuIElGO-F5QbQlQ7vWR15XHUgh08p5O2coghk3HhTiyhwwCUAR4QjTlaEWdJbCl8SXHBBhG37d0kquyZg6ji8LuVtR05FiGrNPPgFFySce7OW8UsSVegmYUhIZonTk7exGn4yO3yNceSu4a5JOs5d2iICwqAICeOdWcGfFtPS1fXDpKoSptOQM3lAA6h-8jnOzk-2gXN_Eq0QldG-z0dzbyP-P92i8t9lokhG3LSSsY8E4cUxv2FYr3vIaeJWT0b2jB0NCPTAgSEstgTD1hKTtbtBM2702uWstMPaYWhfYkfR7bwHteXBDpSNQVAX6rDhVZGJ1RbK0maYpGWvtgeapAdZ3tDJIoQC9w6DXjHmVbjrb22xcM-ZVukfF3majCUwJFaqva1HhoHJFyrpc7-K33F_VuC5Wshfq1YtYhlv8LHVkzD1QarP2TcdQgAKzwmeq40DYJMs6yUGadG7sEmgg391aFzkbtLqHSXYzCC_UsE3kYoMfUwsu19f8e5XeG7632bjm36t0jyZ7m40m-fi8MoV1Jhw2fZDUYIJEtluo1nUq1KeUlcRoKElBLcDhHkN1W1Pl-hbBFiBZlsJzwoRlsi6FfSnYLNa2wMaCUZDHarYQNLoOpe7nc2q9kJxYqqb8z2gUO3J3Gp81SWPbnmz0bnSzXpauDruHWTdNH902gg3gV3cs6d_qWBaWLi-1KmsEwPonGGCGPZgtjP1bIHoygQ-KY83mFRxuRLJcUuzQuVIYh1nHHarFSDDMOU7YR4uRJQV3DL0MB0noEyehTZzUXeJkt0mceF4Z2Kaag4kw_mwiptgwOrOzw5myfZrEhbMU_7pto6awEVEA-kEPRthFhvFos0dIzTaO85BigBRP8FSzmSNKD0vM8RF89SxLTguHNxnxNoKQ-bgImOemOw4ianLpEMZSmBMhJXrEcbCPAzqACoJ7VuJwAjr3wEuQvzbZKiWv4-HMGTjh8fJDXez2k-lgNbEVPiFxZBU7yGS97SSHdRTzFVQ-KK-vK2gxVKtvba0MWuG5ATXW-fc5fPbhALSxgIpu6eLURd3z0UYb5UrH0JPzIR1IeEsBpd_r9CLKG7UwL3dD_3tnTAeeCrlZ3h1LVZ-XM9u8wO9O48s_AK9kfTE" id="44" name="Picture"/>
            <a:graphic>
              <a:graphicData uri="http://schemas.openxmlformats.org/drawingml/2006/picture">
                <pic:pic>
                  <pic:nvPicPr>
                    <pic:cNvPr descr="C:/Users/15919/Desktop/论文草稿/temp/manuscript_figures_rk6knr9a/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Ligand-region detection by LigandSeek-Find.</w:t>
      </w:r>
      <w:r>
        <w:rPr>
          <w:rFonts w:ascii="华文仿宋" w:hAnsi="华文仿宋" w:eastAsia="华文仿宋"/>
          <w:sz w:val="18"/>
        </w:rPr>
        <w:t xml:space="preserve"> </w:t>
      </w:r>
      <w:r>
        <w:rPr>
          <w:rFonts w:ascii="华文仿宋" w:hAnsi="华文仿宋" w:eastAsia="华文仿宋"/>
          <w:sz w:val="18"/>
        </w:rPr>
        <w:t xml:space="preserve">LigandSeek-Find uses deposited or CryoAtom2-reconstructed receptor structures and is compared with the density-only baseline Emap2lig-Find. The left column shows all ligands (179 PDB entries, 2,502 instances); the right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Per-PDB Dice scores and one-to-one PRAUC at thresholds of 0.3 and 0.5. Error bars show 95% intervals for the mean from 10,000 bootstrap resamples of PDB entries.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Direct comparisons of LigandSeek-Find using CryoAtom2-reconstructed receptors with Emap2lig-Find. LigandSeek-Find performs better, comparably or worse on 112/40/27 PDB entries for all ligands and 40/36/18 for small molecules, respectively.</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One-to-one precision and recall at threshold of 0.3. Each point represents one PDB entry; open white circles and thick bars indicate the median and interquartile range, respectively.</w:t>
      </w:r>
    </w:p>
    <w:p>
      <w:pPr>
        <w:pStyle w:val="BodyText"/>
        <w:spacing w:line="360" w:lineRule="auto" w:after="120"/>
        <w:ind w:firstLine="420"/>
      </w:pPr>
      <w:r>
        <w:t xml:space="preserve">Panels a, c and e of</w:t>
      </w:r>
      <w:r>
        <w:t xml:space="preserve"> </w:t>
      </w:r>
      <w:r>
        <w:rPr>
          <w:rStyle w:val="MDFIGREF_eJyrrk7LTC9KTbMqLklMTzXUzU3MzNMtzqwoSMxLzamtBQDDLQxG"/>
        </w:rPr>
        <w:t xml:space="preserve">Fig. 3</w:t>
      </w:r>
      <w:r>
        <w:t xml:space="preserve"> </w:t>
      </w:r>
      <w:r>
        <w:t xml:space="preserve">show predictions on the full test set. Panels b, d and f show evaluations restricted to small molecules.</w:t>
      </w:r>
    </w:p>
    <w:p>
      <w:pPr>
        <w:pStyle w:val="BodyText"/>
        <w:spacing w:line="360" w:lineRule="auto" w:after="120"/>
        <w:ind w:firstLine="420"/>
      </w:pPr>
      <w:r>
        <w:t xml:space="preserve">We compared LigandSeek-Find using either deposited or CryoAtom2-reconstructed receptors with the density-only method Emap2lig-Find</w:t>
      </w:r>
      <w:r>
        <w:t xml:space="preserve"> </w:t>
      </w:r>
      <w:r>
        <w:t xml:space="preserve">(</w:t>
      </w:r>
      <w:r>
        <w:rPr>
          <w:rStyle w:val="MDFIGREF_eJyrrk7LTC9KTbMqLklMTzXUzU3MzNMtzqwoSMxLzalJ1EmqrQUA9wANsQ"/>
        </w:rPr>
        <w:t xml:space="preserve">Fig. 3a, b</w:t>
      </w:r>
      <w:r>
        <w:t xml:space="preserve">).</w:t>
      </w:r>
      <w:r>
        <w:t xml:space="preserve"> </w:t>
      </w:r>
      <w:r>
        <w:t xml:space="preserve">Across the full test set, their mean Dice scores were 0.584, 0.477 and 0.050, respectively. Their mean</w:t>
      </w:r>
      <w:r>
        <w:t xml:space="preserve"> </w:t>
      </w:r>
      <m:oMath>
        <m:sSub>
          <m:e>
            <m:r>
              <m:rPr>
                <m:sty m:val="p"/>
              </m:rPr>
              <m:t>one-to-one PRAUC</m:t>
            </m:r>
          </m:e>
          <m:sub>
            <m:r>
              <m:t>0.3</m:t>
            </m:r>
          </m:sub>
        </m:sSub>
      </m:oMath>
      <w:r>
        <w:t xml:space="preserve"> </w:t>
      </w:r>
      <w:r>
        <w:t xml:space="preserve">scores were 0.663, 0.541 and 0.255, respectively</w:t>
      </w:r>
      <w:r>
        <w:t xml:space="preserve"> </w:t>
      </w:r>
      <w:r>
        <w:t xml:space="preserve">(</w:t>
      </w:r>
      <w:r>
        <w:rPr>
          <w:rStyle w:val="MDFIGREF_eJyrrk7LTC9KTbMqLklMTzXUzU3MzNMtzqwoSMxLzalJrK0FANzYDSM"/>
        </w:rPr>
        <w:t xml:space="preserve">Fig. 3a</w:t>
      </w:r>
      <w:r>
        <w:t xml:space="preserve">).</w:t>
      </w:r>
      <w:r>
        <w:t xml:space="preserve"> </w:t>
      </w:r>
      <w:r>
        <w:t xml:space="preserve">At the stricter matching threshold of 0.5, their mean</w:t>
      </w:r>
      <w:r>
        <w:t xml:space="preserve"> </w:t>
      </w:r>
      <m:oMath>
        <m:sSub>
          <m:e>
            <m:r>
              <m:rPr>
                <m:sty m:val="p"/>
              </m:rPr>
              <m:t>one-to-one PRAUC</m:t>
            </m:r>
          </m:e>
          <m:sub>
            <m:r>
              <m:t>0.5</m:t>
            </m:r>
          </m:sub>
        </m:sSub>
      </m:oMath>
      <w:r>
        <w:t xml:space="preserve"> </w:t>
      </w:r>
      <w:r>
        <w:t xml:space="preserve">scores were 0.558, 0.447 and 0.126, respectively. LigandSeek-Find outperformed Emap2lig-Find even without deposited receptor structures as input, and this trend persisted in the small-molecule test subset.</w:t>
      </w:r>
    </w:p>
    <w:p>
      <w:pPr>
        <w:pStyle w:val="BodyText"/>
        <w:spacing w:line="360" w:lineRule="auto" w:after="120"/>
        <w:ind w:firstLine="420"/>
      </w:pPr>
      <w:r>
        <w:t xml:space="preserve">Panels c and d compare LigandSeek-Find directly against Emap2lig-Find using</w:t>
      </w:r>
      <w:r>
        <w:t xml:space="preserve"> </w:t>
      </w:r>
      <m:oMath>
        <m:sSub>
          <m:e>
            <m:r>
              <m:rPr>
                <m:sty m:val="p"/>
              </m:rPr>
              <m:t>one-to-one PRAUC</m:t>
            </m:r>
          </m:e>
          <m:sub>
            <m:r>
              <m:t>0.3</m:t>
            </m:r>
          </m:sub>
        </m:sSub>
      </m:oMath>
      <w:r>
        <w:t xml:space="preserve"> </w:t>
      </w:r>
      <w:r>
        <w:t xml:space="preserve">(</w:t>
      </w:r>
      <w:r>
        <w:rPr>
          <w:rStyle w:val="MDFIGREF_eJyrrk7LTC9KTbMqLklMTzXUzU3MzNMtzqwoSMxLzalJ1kmprQUA9xANtQ"/>
        </w:rPr>
        <w:t xml:space="preserve">Fig. 3c, d</w:t>
      </w:r>
      <w:r>
        <w:t xml:space="preserve">).</w:t>
      </w:r>
      <w:r>
        <w:t xml:space="preserve"> </w:t>
      </w:r>
      <w:r>
        <w:t xml:space="preserve">With CryoAtom2-reconstructed receptors, LigandSeek-Find outperformed Emap2lig-Find on 112 structures, performed comparably on 40 and was inferior on only 27 across the full test set</w:t>
      </w:r>
      <w:r>
        <w:t xml:space="preserve"> </w:t>
      </w:r>
      <w:r>
        <w:t xml:space="preserve">(</w:t>
      </w:r>
      <w:r>
        <w:rPr>
          <w:rStyle w:val="MDFIGREF_eJyrrk7LTC9KTbMqLklMTzXUzU3MzNMtzqwoSMxLzalJrq0FANzeDSU"/>
        </w:rPr>
        <w:t xml:space="preserve">Fig. 3c</w:t>
      </w:r>
      <w:r>
        <w:t xml:space="preserve">),</w:t>
      </w:r>
      <w:r>
        <w:t xml:space="preserve"> </w:t>
      </w:r>
      <w:r>
        <w:t xml:space="preserve">demonstrating a substantial overall advantage. Emap2lig primarily targets small-molecule identification and modelling, and its detection performance was better for small molecules than across all ligand categories, as shown in</w:t>
      </w:r>
      <w:r>
        <w:t xml:space="preserve"> </w:t>
      </w:r>
      <w:r>
        <w:rPr>
          <w:rStyle w:val="MDFIGREF_eJyrrk7LTC9KTbMqLklMTzXUzU3MzNMtzqwoSMxLzalJ1EmqrQUA9wANsQ"/>
        </w:rPr>
        <w:t xml:space="preserve">Fig. 3a, b</w:t>
      </w:r>
      <w:r>
        <w:t xml:space="preserve">.</w:t>
      </w:r>
    </w:p>
    <w:p>
      <w:pPr>
        <w:pStyle w:val="CaptionedFigure"/>
        <w:keepNext/>
        <w:spacing w:line="240" w:lineRule="auto" w:before="0" w:after="0"/>
        <w:ind w:firstLine="0"/>
        <w:jc w:val="center"/>
      </w:pPr>
      <w:r>
        <w:drawing>
          <wp:inline>
            <wp:extent cx="5731510" cy="4358285"/>
            <wp:effectExtent b="0" l="0" r="0" t="0"/>
            <wp:docPr descr="Fig. 4 | Ligand-instance detection by LigandSeek-Find and Emap2lig-Find. a–c,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 title="MDPPTFIG_eJzVVs2KWzcUfhVhCCRg-9rOOJm5TQMTJxMCkzIk6aq3DLLusS2sK6mS_Jem0E0ppaSbhm76Al2UZNFVGmjepXSSPEbPka49nkwWoaWEDnjukfSd7_zp53zZsDxMGjlrvH7y4uTnP7IDqcvWXR7EpHVjJlV58s2vJ89_O3n2_NWzJ21rw7LRZA0H3qg5lKQ3yIviUw_OF0W3v9fdK4qb4KfB2KJ48_T3Vz99--bxd69_eVkUyUBRvJcFzSsg9hGBjVarltQ-cC2gJUxlFQRpNAEFtyQeV9xNZxZVPmtcW-SWLSulfb74uGhMQrB5lnkxgYr7trGgcXFkXMUDDt04WxhXWmcEeC_1uFJZr9O5klVc6qJxndiOXPzcDysFbJHPuULeOxUfwyCZJ1y2RhB2CmAPpQYf57dGi9xbLtAM8iicQqLeTqdo1MN7M0VTfBZMzVnDSRNzgbCRdD4cJtVODcKV5EDyNP2r5QOjg0c97oWUqHPy-Aesyl8vXp48_T7aBe7Dvpf8XWuTfe3PK0VbiZhMDON4GMVBijh-0fmHm3R1d9cBPUzqyb1AlYpBUjwWdxa4OSD0QI7bbIc9YodyzHETrOvPSgggKOlsuKoX7wNMW7SvGA7YrYrbnpLjONMmWyFZ_ACp-RcJYB_W8_-kqPzPr38U_9uKNNm-UkzFLefZxe7VPXZ084Zvsl6z3-mx9Q71l9qsxEBHTXa_4qhRGQUCD7ZndJOxi3s7td5ur3tG6xBGIW7hSpalgua57b2QYYIHwBovA5TMgQAbjENnbj-4FDUHbmX2g6l6LVw0yO1m4i3oYL93qYkT3tI5moNatdk9OZ6E5ltHhz2YAFu2-FJ65idm4VnACT2rhuCYGTGBBmXJAwYGS17hlUR2FCdSFkxEOxiBAzq3mwMszEwHZpEDs_AR63Y6FzAmbSLPFzOuEsIn-6u37aOiAB3w8iUfSumD1CKc5rG-IAD9v-0ANKN71cfkCOkElYHIIhc60EomK-C6GUFDNYMtnVLyylC9N0oV4JyO7CtmjaQdS8i5NKhWA5E5-ubkcEaXFULCaXI2matDpUj6nQvNmAzcT5QSoryMwtkbjC75643P8eXbvHiN_tXL3X63s9y53N_t7fYfXbNS5PirH0H-Xo9g6fji3OtXMyDXP-FAtTBzsKFx70ViRiMp4KYRswrLnJhS4jCLE2k9HVqKUM-PpKAjSwPxyfzIYem9ICuDPIs9SRZbkqzuSLLthiQLUFkMU89QRdpwPJJjdNYfu-mVqXZ7PEsTxx3622lbPcZAZInsO3hvMOpQUD5ax4il2fhx6lJykFMGD42YeqbNYML1GPadM4sJ8NLTRUR864V4LNMkcp6qbhlIrNm5JAyVtAdSKbJIctRPAs9xLwI2XSSOEHMPrcT1M4MNKDvLRyOP3QUbLu6acrtF4fly5Cr6YuHYMjUlbLVpTuI8LcMyMEHr9XZFlCBYvWtrMKLid01qsdm5DaZiJCAa77GQzPL5oU_YU2mNpnVtkuvZqchzpRn1hHv9Xj-xvBNFdbkVW6otmeeBS7We3paVrvPl7aYu-Lve-Opvf14npA" id="47" name="Picture"/>
            <a:graphic>
              <a:graphicData uri="http://schemas.openxmlformats.org/drawingml/2006/picture">
                <pic:pic>
                  <pic:nvPicPr>
                    <pic:cNvPr descr="C:/Users/15919/Desktop/论文草稿/temp/manuscript_figures_rk6knr9a/figure_000004.png" id="48" name="Picture"/>
                    <pic:cNvPicPr>
                      <a:picLocks noChangeArrowheads="1" noChangeAspect="1"/>
                    </pic:cNvPicPr>
                  </pic:nvPicPr>
                  <pic:blipFill>
                    <a:blip r:embed="rId46"/>
                    <a:stretch>
                      <a:fillRect/>
                    </a:stretch>
                  </pic:blipFill>
                  <pic:spPr bwMode="auto">
                    <a:xfrm>
                      <a:off x="0" y="0"/>
                      <a:ext cx="5731510" cy="435828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Ligand-instance detection by LigandSeek-Find and Emap2lig-Find.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All ligands (179 PDBs, 2,502 instances). d–f, Small molecules only (94 PDBs, 821 instances). Left and middle, LigandSeek-Find with deposited receptors (GT) and CryoAtom2-reconstructed receptors (CA2), respectively. Right, Emap2lig-Find. The x-axis shows the number of candidates examined relative to the reference instance count per PDB; 100% denotes equal counts. The y-axis shows the percentage of distinct instances detected. Green lines and circles show the PDB-equal mean, and blue lines and diamonds show the median. Grey points and violins show PDB distributions at relative candidate counts of 50%, 100%, 200% and 300%.</w:t>
      </w:r>
    </w:p>
    <w:p>
      <w:pPr>
        <w:pStyle w:val="BodyText"/>
        <w:spacing w:line="360" w:lineRule="auto" w:after="120"/>
        <w:ind w:firstLine="420"/>
      </w:pPr>
      <w:r>
        <w:rPr>
          <w:rStyle w:val="MDFIGREF_eJyrrk7LTC9KTbNKy8xL0c3Py6nUzcwrLknMS07VTc7PLchJLcnMz6utBQBF4BAX"/>
        </w:rPr>
        <w:t xml:space="preserve">Fig. 4</w:t>
      </w:r>
      <w:r>
        <w:t xml:space="preserve"> </w:t>
      </w:r>
      <w:r>
        <w:t xml:space="preserve">shows the number of ground-truth instances recovered at different candidate count thresholds. At equal candidate counts, LigandSeek2-Find recovered more ligand instances than Emap2lig-Find</w:t>
      </w:r>
      <w:r>
        <w:t xml:space="preserve"> </w:t>
      </w:r>
      <w:r>
        <w:t xml:space="preserve">(</w:t>
      </w:r>
      <w:r>
        <w:rPr>
          <w:rStyle w:val="MDFIGREF_eJyrrk7LTC9KTbNKy8xL0c3Py6nUzcwrLknMS07VTc7PLchJLcnMz6utBQBF4BAX"/>
        </w:rPr>
        <w:t xml:space="preserve">Fig. 4</w:t>
      </w:r>
      <w:r>
        <w:t xml:space="preserve">).</w:t>
      </w:r>
      <w:r>
        <w:t xml:space="preserve"> </w:t>
      </w:r>
      <w:r>
        <w:t xml:space="preserve">A relative candidate count of 100% limits the number of predicted candidates examined to the ground-truth instance count in that PDB. At 100%, mean detection completion across all ligands was 55.6% with CA2 and 66.4% with GT, compared with 25.9% for Emap2lig-Find. In the small-molecule subset, the corresponding values were 59.8% and 70.5%, compared with 44.2% for Emap2lig-Find. At 300%, the candidate count limit was three times the ground-truth instance count. Small-molecule completion reached 68.5% for CA2 and 73.3% for GT, whereas Emap2lig-Find reached 51.6%. LigandSeek2-Find therefore concentrated more true ligand instances among the highest-ranked candidates under both receptor conditions.</w:t>
      </w:r>
    </w:p>
    <w:p>
      <w:pPr>
        <w:pStyle w:val="BodyText"/>
        <w:spacing w:line="360" w:lineRule="auto" w:after="120"/>
        <w:ind w:firstLine="420"/>
      </w:pPr>
      <w:r>
        <w:t xml:space="preserve">Across the 179 test PDB entries, each complex contained an average of 14.0 ground-truth ligand instances, whereas Emap2lig-Find predicted an average of 353.9 candidate regions per entry. This flood of false positives severely undermined its precision despite acceptable recall</w:t>
      </w:r>
      <w:r>
        <w:t xml:space="preserve"> </w:t>
      </w:r>
      <w:r>
        <w:t xml:space="preserve">(</w:t>
      </w:r>
      <w:r>
        <w:rPr>
          <w:rStyle w:val="MDFIGREF_eJyrrk7LTC9KTbMqLklMTzXUzU3MzNMtzqwoSMxLzalJ1UmrrQUA9yANuQ"/>
        </w:rPr>
        <w:t xml:space="preserve">Fig. 3e, f</w:t>
      </w:r>
      <w:r>
        <w:t xml:space="preserve">).</w:t>
      </w:r>
      <w:r>
        <w:t xml:space="preserve"> </w:t>
      </w:r>
      <w:r>
        <w:t xml:space="preserve">Low precision directly depressed the semantic Dice score of Emap2lig-Find. However, true-positive instances generally ranked above false-positive instances among its predictions</w:t>
      </w:r>
      <w:r>
        <w:t xml:space="preserve"> </w:t>
      </w:r>
      <w:r>
        <w:t xml:space="preserve">(</w:t>
      </w:r>
      <w:r>
        <w:rPr>
          <w:rStyle w:val="MDFIGREF_eJyrrk7LTC9KTbNKy8xL0c3Py6nUzcwrLknMS07VTc7PLchJLcnMz6utBQBF4BAX"/>
        </w:rPr>
        <w:t xml:space="preserve">Fig. 4</w:t>
      </w:r>
      <w:r>
        <w:t xml:space="preserve">).</w:t>
      </w:r>
      <w:r>
        <w:t xml:space="preserve"> </w:t>
      </w:r>
      <w:r>
        <w:t xml:space="preserve">Both the detected instances ratio and one-to-one PRAUC are strongly influenced by candidate ranking quality, and their scores were somewhat higher than semantic Dice. Because downstream tasks cannot tolerate overwhelming candidate pools, inflating recall at the expense of precision is impractical. In contrast, LigandSeek-Find balanced precision and recall effectively</w:t>
      </w:r>
      <w:r>
        <w:t xml:space="preserve"> </w:t>
      </w:r>
      <w:r>
        <w:t xml:space="preserve">(</w:t>
      </w:r>
      <w:r>
        <w:rPr>
          <w:rStyle w:val="MDFIGREF_eJyrrk7LTC9KTbMqLklMTzXUzU3MzNMtzqwoSMxLzalJ1UmrrQUA9yANuQ"/>
        </w:rPr>
        <w:t xml:space="preserve">Fig. 3e, f</w:t>
      </w:r>
      <w:r>
        <w:t xml:space="preserve">).</w:t>
      </w:r>
    </w:p>
    <w:bookmarkEnd w:id="49"/>
    <w:bookmarkStart w:id="53" w:name="stage-1-representative-cases"/>
    <w:p>
      <w:pPr>
        <w:pStyle w:val="3"/>
        <w:keepNext/>
        <w:ind w:firstLine="0"/>
      </w:pPr>
      <w:r>
        <w:t xml:space="preserve">Stage 1: Representative cases</w:t>
      </w:r>
    </w:p>
    <w:p>
      <w:pPr>
        <w:pStyle w:val="FirstParagraph"/>
        <w:spacing w:line="360" w:lineRule="auto" w:after="120"/>
        <w:ind w:firstLine="420"/>
      </w:pPr>
      <w:r>
        <w:t xml:space="preserve">Four representative cases showed that LigandSeek-Find covered ligand regions more completely than the density-only method Emap2lig-Find and detected regions that it missed</w:t>
      </w:r>
      <w:r>
        <w:t xml:space="preserve"> </w:t>
      </w:r>
      <w:r>
        <w:t xml:space="preserve">(</w:t>
      </w:r>
      <w:r>
        <w:rPr>
          <w:rStyle w:val="MDFIGREF_eJyrrk7LTC9KTbMqLklMTzXUTcsvLUpOLE7VzU3MzKtJfNQwOaW2FgAZVg9w"/>
        </w:rPr>
        <w:t xml:space="preserve">Fig. 5a–d</w:t>
      </w:r>
      <w:r>
        <w:t xml:space="preserve">).</w:t>
      </w:r>
      <w:r>
        <w:t xml:space="preserve"> </w:t>
      </w:r>
      <w:r>
        <w:t xml:space="preserve">In the viral replication-associated protein complex 9PQM, both methods detected most of the region occupied by the ATP analogue ATPγS. LigandSeek-Find and Emap2lig-Find achieved Dice scores of 0.816 and 0.766 for this ligand instance, respectively</w:t>
      </w:r>
      <w:r>
        <w:t xml:space="preserve"> </w:t>
      </w:r>
      <w:r>
        <w:t xml:space="preserve">(</w:t>
      </w:r>
      <w:r>
        <w:rPr>
          <w:rStyle w:val="MDFIGREF_eJyrrk7LTC9KTbMqLklMTzXUTcsvLUpOLE7VzU3MzKtJrK0FAN2PDRc"/>
        </w:rPr>
        <w:t xml:space="preserve">Fig. 5a</w:t>
      </w:r>
      <w:r>
        <w:t xml:space="preserve">).</w:t>
      </w:r>
      <w:r>
        <w:t xml:space="preserve"> </w:t>
      </w:r>
      <w:r>
        <w:t xml:space="preserve">For cholesterol in 9UWI, Emap2lig-Find predictions were concentrated within the ground-truth ligand region, achieving a precision of 0.990 but covering only 0.300 of that region. LigandSeek-Find increased coverage to 0.812, recovering more of the missed ligand region</w:t>
      </w:r>
      <w:r>
        <w:t xml:space="preserve"> </w:t>
      </w:r>
      <w:r>
        <w:t xml:space="preserve">(</w:t>
      </w:r>
      <w:r>
        <w:rPr>
          <w:rStyle w:val="MDFIGREF_eJyrrk7LTC9KTbMqLklMTzXUTcsvLUpOLE7VzU3MzKtJqq0FAN2SDRg"/>
        </w:rPr>
        <w:t xml:space="preserve">Fig. 5b</w:t>
      </w:r>
      <w:r>
        <w:t xml:space="preserve">).</w:t>
      </w:r>
      <w:r>
        <w:t xml:space="preserve"> </w:t>
      </w:r>
      <w:r>
        <w:t xml:space="preserve">At the NADPH binding site in 9WUP, Emap2lig-Find produced no prediction overlapping the ground-truth ligand region. LigandSeek-Find covered 0.922 of that region in the same comparison</w:t>
      </w:r>
      <w:r>
        <w:t xml:space="preserve"> </w:t>
      </w:r>
      <w:r>
        <w:t xml:space="preserve">(</w:t>
      </w:r>
      <w:r>
        <w:rPr>
          <w:rStyle w:val="MDFIGREF_eJyrrk7LTC9KTbMqLklMTzXUTcsvLUpOLE7VzU3MzKtJrq0FAN2VDRk"/>
        </w:rPr>
        <w:t xml:space="preserve">Fig. 5c</w:t>
      </w:r>
      <w:r>
        <w:t xml:space="preserve">).</w:t>
      </w:r>
      <w:r>
        <w:t xml:space="preserve"> </w:t>
      </w:r>
      <w:r>
        <w:t xml:space="preserve">Similarly, at the ADP site in 9RMI, Emap2lig-Find covered only 0.103 of the ground-truth region, whereas LigandSeek-Find covered 0.883</w:t>
      </w:r>
      <w:r>
        <w:t xml:space="preserve"> </w:t>
      </w:r>
      <w:r>
        <w:t xml:space="preserve">(</w:t>
      </w:r>
      <w:r>
        <w:rPr>
          <w:rStyle w:val="MDFIGREF_eJyrrk7LTC9KTbMqLklMTzXUTcsvLUpOLE7VzU3MzKtJqa0FAN2YDRo"/>
        </w:rPr>
        <w:t xml:space="preserve">Fig. 5d</w:t>
      </w:r>
      <w:r>
        <w:t xml:space="preserve">).</w:t>
      </w:r>
      <w:r>
        <w:t xml:space="preserve"> </w:t>
      </w:r>
      <w:r>
        <w:t xml:space="preserve">These local comparisons demonstrated advantages in both detecting ligand regions and delineating their spatial boundaries more accurately.</w:t>
      </w:r>
    </w:p>
    <w:p>
      <w:pPr>
        <w:pStyle w:val="BodyText"/>
        <w:spacing w:line="360" w:lineRule="auto" w:after="120"/>
        <w:ind w:firstLine="420"/>
      </w:pPr>
      <w:r>
        <w:t xml:space="preserve">LigandSeek-Find retained its main detection and coverage advantages in these cases when deposited receptor structures were replaced with receptors automatically reconstructed by CryoAtom2. With reconstructed receptors, the instance Dice scores for 9PQM, 9UWI and 9WUP were 0.816, 0.848 and 0.715, respectively. These scores were close to those obtained with deposited receptors and exceeded those of Emap2lig-Find</w:t>
      </w:r>
      <w:r>
        <w:t xml:space="preserve"> </w:t>
      </w:r>
      <w:r>
        <w:t xml:space="preserve">(</w:t>
      </w:r>
      <w:r>
        <w:rPr>
          <w:rStyle w:val="MDFIGREF_eJyrrk7LTC9KTbMqLklMTzXUTcsvLUpOLE7VzU3MzKtJfNQwObm2FgAZUw9v"/>
        </w:rPr>
        <w:t xml:space="preserve">Fig. 5a–c</w:t>
      </w:r>
      <w:r>
        <w:t xml:space="preserve">).</w:t>
      </w:r>
      <w:r>
        <w:t xml:space="preserve"> </w:t>
      </w:r>
      <w:r>
        <w:t xml:space="preserve">The 9RMI case illustrated a loss of precision after receptor replacement. For this ligand instance, the predicted region extended beyond the ligand, reducing precision from 0.607 to 0.396 and the Dice score from 0.719 to 0.532</w:t>
      </w:r>
      <w:r>
        <w:t xml:space="preserve"> </w:t>
      </w:r>
      <w:r>
        <w:t xml:space="preserve">(</w:t>
      </w:r>
      <w:r>
        <w:rPr>
          <w:rStyle w:val="MDFIGREF_eJyrrk7LTC9KTbMqLklMTzXUTcsvLUpOLE7VzU3MzKtJqa0FAN2YDRo"/>
        </w:rPr>
        <w:t xml:space="preserve">Fig. 5d</w:t>
      </w:r>
      <w:r>
        <w:t xml:space="preserve">).</w:t>
      </w:r>
      <w:r>
        <w:t xml:space="preserve"> </w:t>
      </w:r>
      <w:r>
        <w:t xml:space="preserve">Nevertheless, the prediction still covered 0.810 of the ground-truth ligand region, and its Dice score exceeded the 0.131 achieved by Emap2lig-Find. Thus, across these four cases, LigandSeek-Find usually retained good detection performance with CryoAtom2-reconstructed receptors when deposited receptor structures were unavailable.</w:t>
      </w:r>
    </w:p>
    <w:p>
      <w:pPr>
        <w:pStyle w:val="CaptionedFigure"/>
        <w:keepNext/>
        <w:spacing w:line="240" w:lineRule="auto" w:before="0" w:after="0"/>
        <w:ind w:firstLine="0"/>
        <w:jc w:val="center"/>
      </w:pPr>
      <w:r>
        <w:drawing>
          <wp:inline>
            <wp:extent cx="5102437" cy="6303010"/>
            <wp:effectExtent b="0" l="0" r="0" t="0"/>
            <wp:docPr descr="Fig. 5 | Small-molecule region detection under different receptor conditions. a–d,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 title="MDPPTFIG_eJzVVs2OHDUQfhVrTom0Mz0z2UnYJkQadrMh0iYadhPlQKOVp7t62lp327I9fyFInEAIAgdQLjwAnMKBG5HIG_AQiCV5DKrsnp9kZqUIhCJWmm3bVfXVr8v1SUNzVzRi1njx_bPzH36LrOMj6Jx_-_PLHz8___pJS2s3a-ywhgGr5AQyYt2Pk-S-BWOTpNPb6-wlyQHYM6d0krx8-utfT754-fjLFz89T5KAmSQXgVa8BAIM9GauxiblFpolFxXRU66dUNVpyc3ZWCPnR43r01izWSkrG0_fSxqFczqOIpsWUHLbUhoqJObKlNzh1oyiqTKZNioFa0U1KmXUbbevRqQhadwgtIHxnxM3l8Cm8YRLxL1dokX7QT3xRQsO4j0D0EeiAuvP13bT2GqeohrEkXiEQN3ddtKot8djSUd87FSNWbOTpKgyZMuFse4oiLZrJqQEA4Kl4V-9PlSVsyjHbSoEypw__gbj_-ez5-dPv_J6gVvXt4JvoxX9ym4KeV0BmFQM_X7ol_vBY_9F4x8uw9V5Z-HQwyAezHOUKe8k-aOxhsBMAFkPxajFeuwROym5lM1SSUgxOMzACAPOMnCQUujZuMrAsEzkORioHDKkoJ0yLFVVJojFtkihC2rfQnz-RRTY27X8P8ks_-Oz77L_bUZ2WP_e4PdfTpio2N7gwzvsUv_WCR7Gu-3O5R2WFlio1oFR0nPcf3CbXdo_Ot5h78e9dhc57vYPBh942oP7A3bp7sGApDud9u5lxvGGI9lTj--QZA2L-jXV-wTkvMXuFcAk5I5NBEyZyhnwtGBGTZkt1NQyh_R8LCVegVJLmLGpcAWTYkT44QJZhj5lInWQseGcHXnaCcBZ85DazJg6ocfJQCsriG1xsVqsz4ZqxqjlBl0W8HISS61iiBAkT3IMO21gEjOWSoW9e6y94Zbh7SWKEaPCBa_whXjNj039O_5838xV36myu3ZOul-VqQ3y_gssqpFR2C-azoxfD8gOy40qQ1idWrdpqBzq8WZRPDnmYiNeXsFF5l7IfJEPN0uuu2idZ99uWB-z6woDsMgjtcIQVYpdiDi-nZuxoB_MNBhRYrvkEjnwxri6rPzrwtxUbeLyLLRTbMfzlZIVPgEvPWqiR1hlGOh0PRh2WylvqQwqGl_U9NhjNcLKIWUE2e0NI5U25RJa7HihgWGCyNfCYbYBMLHbvGUiBAoxUII456wEW7zLhnIMDCo0D0eFOprLAl9dmvoahYRpNMFjNLdJX1x0r71M9ILfaHyMY81ynGn0Ou3u7pVrs6tX2lfanfaj61qkMf7qCYe_0YSTGT7dGG1qBMT6Jxgo5sYGljDmjUBUnosUDlQ6pnQEJAPSZ9MWQltqxuRhNRmIlFoxbdK7kwE-8WBT0rIfR360jPxkGdWDZbQ-V0YOSo1uVmMUEdqd5mKExtpTc3b1rDJ7PAoHp23667V0NUJHRIbovS6uaOrE9WDhI6ZmacfKpGAgpwgeqRR7YaX2C16NoG-wWRTAM0sPDOEtCL70wyFirkTXFATUaCMIQyn0oZCSNNLay4cFj_GigUsLWubIg5fBeformyVT9Coe7SyOjmw4vaOy9fmTx7PclPTFxLFZmDjZfDl5-nMiw8yxlOh1uSJXSmx11dbMyOW_C1CNveYWYHOjBXJjl3BBLZ8c2cC7Wi24iV6pYHq0WvJYVowG_r1etxdQtnJRXm76eXltzWPHhVwcr69lVcfL6mVe8Hej8enfeZ3Jjg" id="51" name="Picture"/>
            <a:graphic>
              <a:graphicData uri="http://schemas.openxmlformats.org/drawingml/2006/picture">
                <pic:pic>
                  <pic:nvPicPr>
                    <pic:cNvPr descr="C:/Users/15919/Desktop/论文草稿/temp/manuscript_figures_rk6knr9a/figure_000005.png" id="52" name="Picture"/>
                    <pic:cNvPicPr>
                      <a:picLocks noChangeArrowheads="1" noChangeAspect="1"/>
                    </pic:cNvPicPr>
                  </pic:nvPicPr>
                  <pic:blipFill>
                    <a:blip r:embed="rId50"/>
                    <a:stretch>
                      <a:fillRect/>
                    </a:stretch>
                  </pic:blipFill>
                  <pic:spPr bwMode="auto">
                    <a:xfrm>
                      <a:off x="0" y="0"/>
                      <a:ext cx="5102437"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Small-molecule region detection under different receptor conditions.</w:t>
      </w:r>
      <w:r>
        <w:rPr>
          <w:rFonts w:ascii="华文仿宋" w:hAnsi="华文仿宋" w:eastAsia="华文仿宋"/>
          <w:sz w:val="18"/>
        </w:rPr>
        <w:t xml:space="preserve"> </w:t>
      </w:r>
      <w:r>
        <w:rPr>
          <w:rFonts w:ascii="华文仿宋" w:hAnsi="华文仿宋" w:eastAsia="华文仿宋"/>
          <w:b/>
          <w:bCs/>
          <w:sz w:val="18"/>
        </w:rPr>
        <w:t xml:space="preserve">a–d</w:t>
      </w:r>
      <w:r>
        <w:rPr>
          <w:rFonts w:ascii="华文仿宋" w:hAnsi="华文仿宋" w:eastAsia="华文仿宋"/>
          <w:sz w:val="18"/>
        </w:rPr>
        <w:t xml:space="preserve">, ATPγS in 9PQM (AGS, A:401), cholesterol in 9UWI (CLR, B:502), NADPH in 9WUP (NDP, A:1104) and ADP in 9RMI (C:401), respectively. The left view of each row shows the full complex with ligand regions predicted by LigandSeek-Find using the deposited receptor. A box marks the selected ligand binding site for the six close-up views on the right. The top row shows the deposited receptor, the CryoAtom2 receptor, and the deposited ligand with its ground-truth ligand region, from left to right. The bottom row compares LigandSeek-Find with the deposited receptor, LigandSeek-Find with the CryoAtom2 receptor, and Emap2lig-Find, from left to right. All three prediction views show the same deposited ligand and experimental density. The first two prediction views additionally show the deposited and CryoAtom2-reconstructed receptors, respectively. The six close-up views for each case use the same orientation and scale. Receptors are light green, experimental density is shown as a grey mesh; blue envelopes show selected predicted regions, and pale grey-blue envelopes show ground-truth ligand regions.</w:t>
      </w:r>
    </w:p>
    <w:bookmarkEnd w:id="53"/>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50253"/>
            <wp:effectExtent b="0" l="0" r="0" t="0"/>
            <wp:docPr descr="Fig. 6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ndvctdkqNUii4JqpSiKAXxwKLI8fpurezaxvbe3rXlFYSqIiQQLyBe4YV-ACqaL9M0_RjM7O79adPSij4gIl12bI9_M7-Z8dj3Wob5tDWE1uWPjy9-fhI4zyaie_n4h2e__nJycf7X89--7r7fffrkwcUf33eM8bNWG1pWOJ1NRUL7RsM4_tQJ6-I46u9EO3G8J9yZ1yaOnz_689lP3zx_-O3l7-dxXBuI47eyoFguCL1W3rAsYXbDMGlpkTPjpVYnObNnhUG1z1s3yqGBWZ4pNyw_jFup92YYBI6nImeuo41QuDjWNmceh3YSlNomxmounJNqkmdBNwwHQc6kils3Ce3IVp87fp4JKIdTliHurRzdGdXmSS9YaJDumRDmUCrhqvm1UTl0hnE0gzgZTiFQdzOMW83wuMhoihVeN5iNOu2UKkG1sbTOH9Zbw0YJV2oHak_rf418oJV3uI85LiXuuXj4HWbi6ePzi0cPKruCOb_rJHvVWrqr3NVNla0amEycVuPTShzVjKsvOn93Ga5oe0Hobr29ds9TpiqSxMdgNQk7Fah6ICcdGMB9ONBWTKwukPxBBAw_mZzQRyZCeenngInkKYWUcV5YxuegxyAYTyHXiciglD6FRBjtpBcJWMGF8do6eI9drwBHdq53vc6xuATXynlb8Jc0T693yGtf-_4fBPkdQgn_W89HmeZnpXQCxlbn4FMB2E3aleDkDNhMOHCpLkFPhWVZBndu3zrcv9MGl9Mo15ngeKQcThQTZvE7Xi-nNuTCswzwCLuqEgzmG-vKdeCYJRJX0O8CbVimJo0T3fAaOgFRGF7rwGevKa02RO1BPwKOoDJhniDEl4W0AnjGsM-MJWfUOSqriwJuU-GWqcTKjdrd3jYw1F853IFPUgwNcJ0bS0Hpbe9cJdrd3lyS7Q82X2YYLTg2zr-x9isqmzvvQiUahG-ksrn9CipbWysqvX-ictTkjVoA4nsyBVplcwg74fY1cmbRNZAiU9jrUarqaFygUeTFnPAf4IykbBM5pDrRdg4lc6C0B5Ykkniik3MQyiI3kbQxGK7IPLUfBGRAVwjeEo1ngOHyCOXQxz3Jcq0SMpxQyATs394_3j3c27i1t9a6KI6kIvCiog5Xh2VjEZYaEX1tA6Oan2CuKqJ0AoDKkPLjC6vIJSxfiVVtBVok37Gwj1YDKAUSrbURhnksnm6D8dqmSUHsRb11tTfW0Iu9ky6qm60v8PZe3tqt_lYv6kfhrL_VD7v93v0bRvIh_pqLnL3VRZ5YVl65wRsExPo3GLgNoyOWMPatQPQYD4XY07zIMYM1khVZdUxcKo2jNkgM1fRIcmqCNOAfT48sxtxxsjIaBtVbKqieUkHzkgrWH1KBF7lBmqrALdL4k7GcoLPuxJ4NzpTdYUE9cRLS36Bj1ASJyATR-9iJgV5WKB8tOGJqln6sXKodZBTBQ2zHdBhGKfXDXWt1mQqWOGrthLdYcEZwX08i5mrrmoEaNbgShNNMmgOZZWSR5Gp_LbAhVpbA_kLiGHWO0Uq1_sJgqRS8iEcjhy8kOC1v47tg7ZnFhrOxzemLiYNZ_bCC-fKBVc3TspjhYab1plxRi8-rYVW1jTJqVd8FqMEH20cCrw4SUBuPha_Nsumhq3VX0kKb1pWuXQ9WIhtmCuhdu9Pv9muUV2pRXvarZ-GazIaeyWwxvS5nqomXM8u84O9m66u_AWkFaIs" id="57" name="Picture"/>
            <a:graphic>
              <a:graphicData uri="http://schemas.openxmlformats.org/drawingml/2006/picture">
                <pic:pic>
                  <pic:nvPicPr>
                    <pic:cNvPr descr="C:/Users/15919/Desktop/论文草稿/temp/manuscript_figures_rk6knr9a/figure_000006.png" id="58" name="Picture"/>
                    <pic:cNvPicPr>
                      <a:picLocks noChangeArrowheads="1" noChangeAspect="1"/>
                    </pic:cNvPicPr>
                  </pic:nvPicPr>
                  <pic:blipFill>
                    <a:blip r:embed="rId56"/>
                    <a:stretch>
                      <a:fillRect/>
                    </a:stretch>
                  </pic:blipFill>
                  <pic:spPr bwMode="auto">
                    <a:xfrm>
                      <a:off x="0" y="0"/>
                      <a:ext cx="5731510" cy="57502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6a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6b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U3MzNMtzqwoSMxLzalJ1EmqrQUA9wANsQ"/>
        </w:rPr>
        <w:t xml:space="preserve">Fig. 3a,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7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93cDmcgbowIUcOJ-OBI6O3p3W22p7vp7v133r2eHMeJoPii-Cb64n0Ag5fvIpdLPoZV07N_cokY9EFc2Jnqrl_966rqmi8iQ_0oykh08e3p-fcvYufpkLcuTr959eMPJ-dnv1_-_Lj1Vuvli6fnv37dNMbPowaJLHdaTnmBcr0szz9x3Lo8T9vdtJvnB9yNvTZ5fvn8t1fffXn57MnFL2d5Hgzk-a0sKFpy1B7AW85brYbc-S1DhUUAo8YLrU5KascTA9DPonuzzJB5KZXLZm_n0ch7k8WxYyNeUtfUhitgDrQtqYelHcYzbQtjNePOCTUsZdxKkk5cUqHyaA-1Hdvq9bFfSE5m2ZRK0Pt-CS71gnnExUsEYsecmyOhuKv2N1azzBnKwAzokbAFilo7SR7Vy_sTiVt04nWts4ajpFAFwAbCOn8URJMaBJzgQPA0PGr6UCvvQI46JgTInD_7CrLx8vTs_PnTyi6nzu87QW_ijfaVuy5U2QqK0US_Wvcrshcirt7g_IPVcaV3lwE9COLBPY-ZqoLEeAxUFLdTDtBDMWySXfKQHIkhhcBFwZUXfkEgbWyEB0gZm1jKFkQPyKowyBRKcOKIH3GiJmWfW2Qz0CAK6jmRV7QJ7hpkJvyIFNxoJzwviOWMG6-tI2_SOwTBPbvQ-16XrS3gaQW2Juw1ZP9OE4PyIbT_IAf_4qTJ_9bzT_8icw0ytHpiXEht2iCtBtlukJ0qm388-alNmC4N91hF1woCeMpD75OdtAsybXikKUjfbVfiaadF0BwYAUcMZ15MuVw0SeXM35ZKo6pMpi0Ka6hKcKF2dm0Xfd2BRxdc72wHs-3kZrMfKb5R3usu4VRhF1BPqJQbCMuHcGE50ucSOgYgmlByfPAOAUG7WDqBbmklobfU6z2zaBCn180nHFHUAy0BnSbJG1cbAS-lvehzuKlXN3TU3t1O22kyb3eSTitJH94zgmXwry9teqtLu7B0du22rjWArn-iA8QgEL5SY2-lRA8GgvEDzSYlnE_QZLmkOBfcSBiHNY0RqumxYFjRuGAfTo8t1K5jaKWXxdXsjKvRGdeTM94cnLHnpYEw1QREhPEnAzEEZ92JHXfGynZpHDZOEvztNo0aQiCiAO2dFCicpEAfL2OE1Kz8WLsUHKR4gkeajSG3ujeicLPuW6tnI04Lh32K-paMqhjDJuhci24YCFrja4fQl8IcCinRItKVfCBoBr3D4aZHcgCY-2Cl4l9ZrEDxVX24cjANSX_2gS42RyrN5gNb4hsSR-ZhiJLFaphW-8jmc08Y8utyBRRDWF21NRhQ1Xup1MBwfo_rkiABaGh8H8zS6ZEL2DW1RCNf6eB6vCZpJhXBb5huu9UOWm5EYV7erT4BNmiaQSPL5fYmLVV9Xs6s8gL_vejRnwSKrL4" id="60" name="Picture"/>
            <a:graphic>
              <a:graphicData uri="http://schemas.openxmlformats.org/drawingml/2006/picture">
                <pic:pic>
                  <pic:nvPicPr>
                    <pic:cNvPr descr="C:/Users/15919/Desktop/论文草稿/temp/manuscript_figures_rk6knr9a/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7a,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In contrast, our model supports GPU acceleration through vectorised computation and required a mean of only 0.09 s to match each candidate blob, as measured on an NVIDIA H100 GPU.</w:t>
      </w:r>
    </w:p>
    <w:p>
      <w:pPr>
        <w:pStyle w:val="BodyText"/>
        <w:spacing w:line="360" w:lineRule="auto" w:after="120"/>
        <w:ind w:firstLine="420"/>
      </w:pPr>
      <w:r>
        <w:t xml:space="preserve">By contrast, EMERALD-ID cannot use GPU acceleration and required a mean of 64 min to dock one small-molecule identity at one site on a single CPU core. Its runtime was almost prohibitive for PDB entries in the high-cost tail, which required docking more small molecules. We therefore defined a separate evaluation subset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6a</w:t>
      </w:r>
      <w:r>
        <w:t xml:space="preserve"> </w:t>
      </w:r>
      <w:r>
        <w:t xml:space="preserve">and</w:t>
      </w:r>
      <w:r>
        <w:t xml:space="preserve"> </w:t>
      </w:r>
      <w:r>
        <w:rPr>
          <w:rStyle w:val="MDFIGREF_eJyrrk7LTC9KTbMqLklMTzXSLUpMSSzSLUjMLKpJqq0FALbBC9I"/>
        </w:rPr>
        <w:t xml:space="preserve">Fig. 6b</w:t>
      </w:r>
      <w:r>
        <w:t xml:space="preserve"> </w:t>
      </w:r>
      <w:r>
        <w:t xml:space="preserve">show its performance with deposited and CryoAtom2-reconstructed receptors, respectively.</w:t>
      </w:r>
    </w:p>
    <w:bookmarkEnd w:id="62"/>
    <w:bookmarkEnd w:id="63"/>
    <w:bookmarkStart w:id="76" w:name="stage-3"/>
    <w:p>
      <w:pPr>
        <w:pStyle w:val="2"/>
        <w:keepNext/>
        <w:ind w:firstLine="0"/>
      </w:pPr>
      <w:r>
        <w:t xml:space="preserve">Stage 3</w:t>
      </w:r>
    </w:p>
    <w:bookmarkStart w:id="67" w:name="X91e1e06dd91711c282eeed02d5c10f441569161"/>
    <w:p>
      <w:pPr>
        <w:pStyle w:val="3"/>
        <w:keepNext/>
        <w:ind w:firstLine="0"/>
      </w:pPr>
      <w:r>
        <w:t xml:space="preserve">Stage 3: Comparison of PocketXMol-official and PocketXMol-tuned</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from the 179 PDB entries. This test set comprised a total of 446 ligand instances.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PocketXMol-tuned achieved substantially greater pose accuracy than PocketXMol-official under every test condition</w:t>
      </w:r>
      <w:r>
        <w:t xml:space="preserve"> </w:t>
      </w:r>
      <w:r>
        <w:t xml:space="preserve">(</w:t>
      </w:r>
      <w:r>
        <w:rPr>
          <w:rStyle w:val="MDFIGREF_eJyrrk7LTC9KTbMqLklMTzXWzU9Ly0zOTMzRLSnNS02prQUAz88MnA"/>
        </w:rPr>
        <w:t xml:space="preserve">Fig. 8</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PocketXMol-tuned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8 | Comparison of PocketXMol-official and density-guided PocketXMol-tuned on 446 small-molecule docking task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9rG0cQ_yqLnlqwdJJjObaaBlw5KQWnGKeFQq-Y1d5It2hvd9nd08lpCnkppZT0JaVQWvrcp3yABpqHfpPQ_PkYndk9yUrth9BS0kANsnZ3fvOb2Zm5udHnHctD2RmxzvPvHj398bfMBz6DK88fPXj28089a8Oys8U6DrxRCygINx7l-ccenM_zwXB_sJ_nh-Dnwdg8f_Hw12fff_Xi_tfPf3mc54kwzy9l1LwCYkvCrplOpZBcdUOt0QwCBLdBGn1acTevLUI_7VxrRpYtK6X9qHk375Qh2FGWeVFCxX3PWNAonBpX8YBbN8sa4wrrjADvpZ5VKtvu93ezikudd64T27GLX7fDmQLWjBZcIe8HFbo0TuYJl60QhJ0D2COpwcfzjV0z8pYLNIM8Co-QaHunn3fa7Umt6IjXwbScLZw0pS4QNpXOh6Ok2m9BKEkOJE_Tv3Z90-jgUY97ISXqPL3_LUb_j0ePnz78JtoF7sOBl_wyWXmg_UWlaCsRk4lJ3E_icpxuHL_R-TvrcA32Vhe6k9STe4EyFS9J97FYQeAWgNCbctZje-wuG5vKcie90cxM2bERcwif3DJqXQyMY1wKQEfDWXdWywKKTVgsFYbaOzu7zFdcqW5lFAiMNCsQRrkI3M99j9wKybnXEMV_ECv2ej3_V_LP39hsbLFD6YOTk5paAxUtdr3ugJ3cun24xbgQ2G5i0RkGXJSsMgWoJ_d-8Mw0mnkUw_-l-F8qxckbm42LpTgBH9pK9IBdMGBv5J6FEpgyDQq7JGTWeGC8Mlimwz4T2GFlwQP4HjsBXyu8Mb5AmQAdHHQLmErqsYMh-_1L5m0JTgrsyzY2Yc_eGkdcu3-bcWuBO2rJ0SxMw8u0K70V7-SMcTboEznoBSh8hTPuTI1tX8kZdX8eTIV2bqykl1tyclaiqfdMKFtEMiEpOB4pgQHGueYUlEYiqgAMhIwxQitjd2YO0NJ214FAjeDqGD_cgQ3GYXRu0ANtjdQBT2MiqDqMhpWnEtW4FkBuLMFvpRhisOjt76OZppR-joMTYguMY4Do_PYwlE_uPbg6JOfBkZpURFBBIbmOmgmyfwGCflhMtcTonPXYR8i2ABdijvhSoiGPyZ_hSzaUlRTvMFMHJckDPjELoArA0LexpGJxaHCmyN0QfcP-lmjXr-TY09iUo_0i5pRCEKj2VgHAShS89uly61Js04LRDTzmXhuGKZEocSaA1CnVZI38XnE16BUsharp3T91pmISw47CgOUvxV9e7TQoXe98htPjemrsDK9eGQwH_eXOznb_Sn_v7jUrxQg_7SDJX2mQLBxvLkyQLQNy_R0OVAu1gzWNeyWSmAc4NKKusAgSkwPFY6GX0npqI3RDvTiWgpoIbcSHi2OHNe8FWRmPsji_Z3F8z9rpPdsc3rMAlcVr6hpVpA2nUzlDZ_2pm-_OtdvnWTo47dPfXs_qGV5EFsi-u4srmu5xfby6I6Zm7ce5S8lBThE8wvLwWBPjEgsQDpwzTQm88NQaiW8liOWeDpHzXHXDQGLNLgRhoqS9KZUii7SO-mnBR_jIQxAlLaeIOUErUf7SZg3KXuajnccJnU2aW_h4bIz5fLScuoq-MXFsmQZ7drYe8OM5iWGJzwbJ23JFlCBYW7UtGFHxe0Vq8QfD-4APBS0Qjf0qJLN8ceQT9ny1QpNcm-R6dr7kI6UZ_a7aH24PE8ulKMrLjfizZGPNR_hYq9Xx5lrpNl7ervOCn-udL_4EWrlk1w" id="65" name="Picture"/>
            <a:graphic>
              <a:graphicData uri="http://schemas.openxmlformats.org/drawingml/2006/picture">
                <pic:pic>
                  <pic:nvPicPr>
                    <pic:cNvPr descr="C:/Users/15919/Desktop/论文草稿/temp/manuscript_figures_rk6knr9a/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1"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(PocketXMol-tuned)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PocketXMol-tuned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237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231 pairs under the deposited-receptor condition and 228 pairs under the CryoAtom2 condition. These subsets served as the benchmarks for directly comparing PocketXMol-tuned against Emap2lig-Build.</w:t>
      </w:r>
    </w:p>
    <w:p>
      <w:pPr>
        <w:pStyle w:val="CaptionedFigure"/>
        <w:keepNext/>
        <w:spacing w:line="240" w:lineRule="auto" w:before="0" w:after="0"/>
        <w:ind w:firstLine="0"/>
        <w:jc w:val="center"/>
      </w:pPr>
      <w:r>
        <w:drawing>
          <wp:inline>
            <wp:extent cx="5731510" cy="4510150"/>
            <wp:effectExtent b="0" l="0" r="0" t="0"/>
            <wp:docPr descr="Fig. 9 | Docking performance of PocketXMol-tuned and Emap2lig-Build using predicted ligand regions. a,b,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LGzcQ_ypinxLwem1fnIu36cHVlwsFXzB3KRS65ZB3Za_qXUlIWv9JU-hLKKWkLw196RfoQ0ke-pQGmod-k1In-RidkdY-Xx1oaCkhNbZ3pJn5zT_taD4PFLV5EJPg5aNnqx9-jY65yMITatM8_KDiRbZ68NPq6c-rJ09fPHnUVMouggYJNDOymLEM9fpxknxkmDZJ0u722r0kOWJmaqVKklePf3nx_VevHn798sfnSeINJMkbWRC0ZIhuLJ2wvVBplvHUsizUbMKlCHNGs9BK90T5lCoL--cl1dNKgeYnwc15rMiiLISJ5-8nQW6tiqPIpDkrqWlKxQQwx1KX1MJST6K51JnSMmXGcDEpi6jTal2PSspFEhwg2lC7x5ldFozM4xktAPfDEjzse_MoF60lUHbKmBpwwYzb31rNY6NoCmYAp4AtAOpcayVBvTytCtyilZU1Zi2OmpA_EBtzbezAq7ZqIeB4B7yn_q-mj6WwBvSoSTkHndXDb6E4fzx7vnr8jbPLqLGHhtPX8fJDYXaVnC0PjCZGbj1yZN9H7J7g_L1Nuto31gHd8-rePYuVckFiPFBuOFEzBqLHfNIkPXKfHMl0ivlSTLuiiZQROSZD2Gb24xNZhLYSLCMUsnOrpKpT8Ik_YKQyTnF9hghwUMofJdNEN6x35i1k7V_khrxdz_-TetN3thqN_2E1Ru9uNcgRU9JwfN81S5myUpMrt-9eJaksFdXcSEHg29lrEy7gmoF-YshnkgtbLEnGLHOtYrQkA9ctzhibhnh1XW4wuNMkaSNrkL5eykMryw7cUSn0Faur9LL1_mFnx3znxt-YH0mbk5LZXGamudvuKgN6Nmc7bo4KOSIpE1ZLnhErAXQMtwWhpN0lvz3wLEaUA3xvt2XWsJci3eqhDp4awuEITCqeYYf1DbVJBmxsyRXaSK82wLAK2-T05OyoSU75JAfGqJEBY8SMDeU47LZq7hCDNwDiqijsuk1v0gM6cgFuQbWF863TtfnvX363Dw-8FjAiXqBcHRvepCCeyzkkMONUGFe8ec7NFAaWCyCP0_sLTpPcBd4ypAsOcRpSyAkUzuYlT5vkiJrcXSVoAqcO0sGsIv4eEJcvFbySD4JPYU7ZzCdBd3-v3W23Ftfgr91t3b-peBrDrx5Z6BuNLJmm851ZpUYArH-CAWq20mwDo98IRI7HPGVwR1clZM8jaVZQnIpMzpXBtxcjFLMhT_HdxUV6ZzbUcDBNilb6ceQGycjNkVE9RkbbU2RkWakgTFGBClf2fMwn4Kw519PrU6F7NPIb5y389JpKTCAQngH6Pk5XOFYCPVzHCKXZ-HHhkneQYgYH8HoYImQ_p2LCDrWWcxw5DXYkxFszjIIX1m8C5oXqlgGPGu0kYVRwdcyLAi0i7fQ9QWPoIgwmZSTHIHMKVhz_0mIjFF3Gw5WBWZCM5icy2x4oabwY6xKfUDiy8CMkWW5GSbePbLawJEV-fVxBKkWx-tTWwiDlnmtQBaPpbSZLggRIQwu03iydDYyXvaDW0sgX0rseXZA0LgTBCb7X7XQ9ymulsC633AC8RdPYUl6st7fpQtT5MmpTF_gdBF_8CQ3e10w" id="69" name="Picture"/>
            <a:graphic>
              <a:graphicData uri="http://schemas.openxmlformats.org/drawingml/2006/picture">
                <pic:pic>
                  <pic:nvPicPr>
                    <pic:cNvPr descr="C:/Users/15919/Desktop/论文草稿/temp/manuscript_figures_rk6knr9a/figure_000009.png" id="70" name="Picture"/>
                    <pic:cNvPicPr>
                      <a:picLocks noChangeArrowheads="1" noChangeAspect="1"/>
                    </pic:cNvPicPr>
                  </pic:nvPicPr>
                  <pic:blipFill>
                    <a:blip r:embed="rId68"/>
                    <a:stretch>
                      <a:fillRect/>
                    </a:stretch>
                  </pic:blipFill>
                  <pic:spPr bwMode="auto">
                    <a:xfrm>
                      <a:off x="0" y="0"/>
                      <a:ext cx="5731510" cy="45101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Docking performance of PocketXMol-tuned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231 instances jointly detected by LigandSeek-Find and Emap2lig-Find. c,d, CryoAtom2-reconstructed receptor (CA2) comparison on 228 instances jointly detected by both methods. PocketXMol-tuned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9</w:t>
      </w:r>
      <w:r>
        <w:t xml:space="preserve"> </w:t>
      </w:r>
      <w:r>
        <w:t xml:space="preserve">compares the LigandSeek and Emap2lig docking modules. Our model maintained higher accuracy across all tested conditions. Among the shared GT instances, median top-1 RMSD was 0.85 Å for PocketXMol-tuned and 1.83 Å for Emap2lig-Build. Median best RMSD was 0.63 Å and 1.32 Å, respectively. This advantage was maintained with CryoAtom2-reconstructed receptors</w:t>
      </w:r>
      <w:r>
        <w:t xml:space="preserve"> </w:t>
      </w:r>
      <w:r>
        <w:t xml:space="preserve">(</w:t>
      </w:r>
      <w:r>
        <w:rPr>
          <w:rStyle w:val="MDFIGREF_eJyrrk7LTC9KTbMqLklMTzXWLShKTclMLklN0S1KTc_Mz9PNSE1M0S3JB9O1tQC1BBIF"/>
        </w:rPr>
        <w:t xml:space="preserve">Fig. 9</w:t>
      </w:r>
      <w:r>
        <w:t xml:space="preserve">).</w:t>
      </w:r>
    </w:p>
    <w:bookmarkEnd w:id="71"/>
    <w:bookmarkStart w:id="75"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10</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10a–c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PocketXMol-tuned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10d–f</w:t>
      </w:r>
      <w:r>
        <w:t xml:space="preserve">).</w:t>
      </w:r>
      <w:r>
        <w:t xml:space="preserve"> </w:t>
      </w:r>
      <w:r>
        <w:t xml:space="preserve">In 9U7J, 9WUP and 9WQ3, Emap2lig-Build’s top-1 poses produced 10, 15 and 11 clashing pairs with surrounding receptor atoms, respectively. Its pose in 9WQ3 also deviated markedly from the deposited position, with an RMSD of 9.30 Å. By combining receptor geometry with density information, PocketXMol-tuned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PocketXMol-tuned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0 | Complementary constraints from receptor pockets and experimental density. a–c, Three instances in which PocketXMol-official top-1 poses deviate from experimental density: 9Q16–XG4, 9UB7–Y01 and 9R3D–IHP. d–f,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1uHDUUfhVrr1ppd2c3v91VqZQmTQGlKE2J2opBkTPj2bHiGVu2ZzdbisQNIASFC1BveAC4KvdUohe8CSK0j8F3xrObTZuiCoRKJaIk45_j7_x9to8_ahnu89aQtZ5-9_jk-18i5_lILJ9889OzHz47-eph1xh_3GqzlhVOq7FISXRzGMf7TlgXx_3VQX8Qx1vCHXlt4vjZo5__ePj5swdfPP3xSRwHzDh-GWjJC0GAYb6TcCdcp-CypMmEGy91eVBwe1QZiH3QujwZGnZcqNINJ2_Frdx7M4wil-Si4K6rjSgxmWlbcI-uHUUTbVNjdSKck-WoUNFSr7cWkYa4dYXQdm39ueWnSrDJcMwVcN8pYM5mUE9y0UyCZI-EMDuyFK4eX-hNhs7wBGqAozAEoKWVXtxqunuVoiFeed1gNuK0UpYpxDJpnd8JS3uNEGaCAcHS8K9pb-vSO6zjLpESa04efI3g__74ycmjL2u9gju_4SQ_by7fKN2Li2pdAZhUHNb9w7q5GTyuvzD-3jxc_Uszh-6F5cE8T5mqnSR_DAgk7FhAdFuOuqzfY_fZpi6MEoUoPbdTlujSeYvcwKnM6oJZkQjjtWVGJ0cCoxxhEsdGWFmvUSwVcMJPu6TWB-WvIUr_IBbs9Vr-r-SX__bJt8kbm5E2ez-3QjAJMvISJwdabJLLJGe7NQ3v3NCqo7NMJhIMxKnX6YOgOLnAxrHkXgTynsfTIRvc7K8hPHeur7TZYP_qOtp3e_2a2IO95S1033l79386_5fonCIp2Rubkb-g87WCmyUlR52rlVTpGSYnirucTaTPmc_F_CAGf_fX30U8rm_tg7-393fR3t7YCvy9fXMZ3f6tu112VfvF7cIKnQrlWOUEtgJUSC_SOWo41xPsFCs6qchwAaazI7_LrnGYavWEuVxP3Ll78IK2vByJi-3FWV8RzIVDVYmLtYLn3L1gKovLB4uCmwveO6FEQhYeToPlzCXaii7bmtsOHGDCciuYF1y1F73BmFZyLNgIkS9femsxbozgtAC_JAttwuVdtgcFKRJQ60FtUSPML0PudeEYVUUhTVRx4Or0PKFwbRG69lhEicssRlHFMJ0xkCKVtVu54ONpgzPJ4TLzVpImbtUU_PDCGq04ic5MtQJpaEBhiS7gSop56bSrbAbaYQqsy7VKu2yzpk-iK9oYIVRgBhEw5TbtzF2pDemQIcxwFD-IvOGWN6FHMQB7YZFC-QZ4XrJed32VecQxWOKqgjxDU1o2xnwqLLvNOahmeSplF-QXdVAb9tCiBZMp89gOS-zXTwknfS69i4Hqsg2lah8J0OcayXd5nX4yBIUsS6Uzik9rZo8Q9DYbSzGh9ICdKC8J0SVcgUi36MMOkfw2W4V25BwMh7oU4gA2IpEZKqIc1VCTfSfTCsYjIV5mEsX32VuCSsQrrQ9RN8_r5dbKpUG_11s-XlvuLff6vfuXjUyG-GtKaP5KJXRq-eSF2rlBANbfwcAyX1kxh7GvBFJvd7Glk4q2UUCyAjRFqLELjKODkTwsx7syoWOROsl7412LzLqEtGwOo_rhEtXvlqh5tkSLr5bIi8LAzbLCEmn8QSZHMNYd2KO1o9IOeBQGDnr46fe6phzBEZkCfX0FLXrToL078xGpmdtxalIwkFMEd3BmOVbqzZwOsQ2Ls46I4OiwJ7zZBJHCh0Fgni5dUBBQoxeCcKik2ZZKkUZq1-tDgw-xzYRPcmpmkNmDlnr-TGcuFJ3Fo57D24QdTm7gpFx44PDhcWYL-iJx7Dg8adh0_rSpx2laHHuW0HxDV0glJNawthGGVP2dgRo8la4LOjjQgDTOFB_U8vGOC7KnrZk0zZc6mB6dNvlQ4VIEymB1aTWgnCtFeblWP8gW2nzouVSz4cW2Kpt4OTPPC_6utD7-E7qJxAA" id="73" name="Picture"/>
            <a:graphic>
              <a:graphicData uri="http://schemas.openxmlformats.org/drawingml/2006/picture">
                <pic:pic>
                  <pic:nvPicPr>
                    <pic:cNvPr descr="C:/Users/15919/Desktop/论文草稿/temp/manuscript_figures_rk6knr9a/figure_000010.png" id="74" name="Picture"/>
                    <pic:cNvPicPr>
                      <a:picLocks noChangeArrowheads="1" noChangeAspect="1"/>
                    </pic:cNvPicPr>
                  </pic:nvPicPr>
                  <pic:blipFill>
                    <a:blip r:embed="rId72"/>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9U7J–GDU, 9WUP–FAD and 9WQ3–1SY. Both PocketXMol models use deposited receptors and centre-defined pockets. Each row shows PocketXMol-official (orange), PocketXMol-tuned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5"/>
    <w:bookmarkEnd w:id="76"/>
    <w:bookmarkStart w:id="103" w:name="end-to-end"/>
    <w:p>
      <w:pPr>
        <w:pStyle w:val="2"/>
        <w:keepNext/>
        <w:ind w:firstLine="0"/>
      </w:pPr>
      <w:r>
        <w:t xml:space="preserve">End-to-end</w:t>
      </w:r>
    </w:p>
    <w:bookmarkStart w:id="80" w:name="evaluation-protocol-completion-ratio"/>
    <w:p>
      <w:pPr>
        <w:pStyle w:val="3"/>
        <w:keepNext/>
        <w:ind w:firstLine="0"/>
      </w:pPr>
      <w:r>
        <w:t xml:space="preserve">Evaluation protocol (completion ratio)</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organic small molecules with no missing atoms.</w:t>
      </w:r>
    </w:p>
    <w:p>
      <w:pPr>
        <w:pStyle w:val="CaptionedFigure"/>
        <w:keepNext/>
        <w:spacing w:line="240" w:lineRule="auto" w:before="0" w:after="0"/>
        <w:ind w:firstLine="0"/>
        <w:jc w:val="center"/>
      </w:pPr>
      <w:r>
        <w:drawing>
          <wp:inline>
            <wp:extent cx="5731510" cy="3827532"/>
            <wp:effectExtent b="0" l="0" r="0" t="0"/>
            <wp:docPr descr="Fig. 11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A “+1” indicates that the charged attempt increases by one; the algorithm stops once the attempt limit is reached or no further candidates are generated by the LigandSeek2-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XEUU_1eGfTW7d3fjts21BkI-RIgSWnzySpide_busPfODDNzd5O2Qh8KKlKfRBD1wSd9ii-CaMD-L6Wx-2d4zszdzbaJUiwSAg0kdz7O-Z0zc77m5H7LcD9upaz1_OvTs-_-THb7u_NfHj07_W1-8uP819_nPz06-_zbjjH-qLXGWhacLqeQE8N2mmUfObAuy3qDjd5Glu2Am3htsmx-8sdf33w2f_zF85-fZFlEzrJ_h1a8AoKFPrS5ELpWXqqibesSXDu3fOSJSnDjpVaHFbeT2iD9x63bs9Swo6pULp29m7XG3ps0SZwYQ8VdRxtQuDnStuIep7ZIZtrmxmoBzqGEqkz63e6NpOJSZa1NQjuw4XPXH5fAZumUl4j7fsUL2I7iiS5ZUBDtBMDsSwUurK_MZqkzXKAYxClxCYH6b3ezVjO9g6fDJV573WA25MQpVY5kI2md34-s3YYId6ICUdP4pxnvaeUd8nEnpESes8dfoS2enT45O_kyyAXu_JaT_LK98ZZyF5mCrAhMIoZhPgzD7Xji8EXl7y2vq3drcaB7kT2q58lS4ZB0HoP-BHYKSLoniw7r9dgDtj3mtqAbC6ZnaDnmZ5qByttet_HDAEXUnAzBHHhyE9chGT5KuoIreY2Ds6vV_H8xJr-21lhj-7Lg6GoWCvKvHDyI4Gm4yGQOmJX8McNcIsbko1xY7RzjZcnKwMhEyZ0D12HDf8RauwwIWY12wCwIrZy3dRRL7g8ILYeYi1xFgipdgqDYWEPIEWaGnHHHKJeVgLKczGtgmOi4kuJlFjaTfsyUZtzryrFKhhzYYVvX1mJXHD-vofnTh9-_1Xv68Idre4Dre_VYQKXgHuPBj7nHP8AElR0KJe-hMp5JJSyqiCTDY6YVvBOoeFloiyFUMYcvHYcbAuJGw1bKSiKzwzjm-ATJMRAp3Ea1RSrLBMa5zINkboEVoMDiLCchBBMzxl2ASb-9h1q-qWtXEpd7FjDbTqR5E55XoXkFXLlw_4ZqYwjP2lqsmecBFCqZrkOg4l6soYznuaS6ycsmoDtsB4R0VEqVzjHspJpiC0PkTcEeS4-VtJn4Y0OhuVrrhUbJwuNzPsbsyutTYCoAKzkbYqLAUFdBVQsjQF0xMXCltA-kEZPYcYVh9zFFfBSnA0eFmpVUxKUytX_pMUvv_M3WJ9j8LJue1uDmem_Q6x6t3-rfHKz3H9w2UqT42_RB_JX6IGyqZhcaoAYBsf4LBrL52sISxr4SiB6NpIAdLeoK7zwiWSjjxY2lceQ9dEI1PZCCfIcm4sPpgcUXkBMkZTtNQjOahF40aVrRZLUTTShD4zFVjSzS-MORLFBZd2gnNybKbvAkLhx28afX6xhV4EFkjug3N3BEHSqODxZnRNMs9ThXKSrI6Qb3tZg4NDh2NKqALWv1bAw8dxQRhLfYcAb9Ky4i5jnrioCImly4hGEpzZ4sS5JI48AfBzzFVyTg85KGI6S5g1LC_guTJVHyIh7NHDaYbDj7AN1zpUvl6dHIVvRFw7Gj2Jey42V_GtZpG44wXmm_cVekEkTWeG1DjFThuwA12O--B7piNEBqCr4olk_3XaQ9Hy2oaV_pqHpyPuRpqRj9W2Bj0B9ElEupyC67oateGfPUc1kullfHpWruy5mlXfB3s_Xp39OEoCg" id="78" name="Picture"/>
            <a:graphic>
              <a:graphicData uri="http://schemas.openxmlformats.org/drawingml/2006/picture">
                <pic:pic>
                  <pic:nvPicPr>
                    <pic:cNvPr descr="C:/Users/15919/Desktop/论文草稿/temp/manuscript_figures_rk6knr9a/figure_000011.png" id="79" name="Picture"/>
                    <pic:cNvPicPr>
                      <a:picLocks noChangeArrowheads="1" noChangeAspect="1"/>
                    </pic:cNvPicPr>
                  </pic:nvPicPr>
                  <pic:blipFill>
                    <a:blip r:embed="rId77"/>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LigandSeek2-Find.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within a specified relative attempt budget. End-to-end region detection and identity matching across all ligand categories require both Find and Match to succeed. Full pose reconstruction for organic small molecules with no missing atoms requires Find, Match and Build to succeed.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ground-truth ligand instances successfully processed within this budget, termed the completion ratio. The attempt-accounting rules are summarised in</w:t>
      </w:r>
      <w:r>
        <w:t xml:space="preserve"> </w:t>
      </w:r>
      <w:r>
        <w:rPr>
          <w:rStyle w:val="MDFIGREF_eJyrrk7LTC9KTbNKNUrVTUxOzi_NK8nMS9ctKs1JLdZNKUpMK6mtBQAQ2w6I"/>
        </w:rPr>
        <w:t xml:space="preserve">Fig. 11</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corresponds to a ground-truth ligand with at least 30% coverage in both directions,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single-residue small molecules with no missing atoms,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charged.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charge. Otherwise, PocketXMol-tuned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single-residue, complete organic small-molecule subset is correctly detected and matched, we still skip docking and charge no attempt. This ensures that all evaluated docking tasks use the same downstream tool, PocketXMol-tuned. However, a region corresponding to a true non-small-molecule ligand is charged if it is misidentified as a small molecule. In this case, it is actually an unmatched distractor and counts as a failed attempt.</w:t>
      </w:r>
    </w:p>
    <w:bookmarkEnd w:id="80"/>
    <w:bookmarkStart w:id="84" w:name="Xbdcaae8a136983a9d1999feee734ec1bc4e6108"/>
    <w:p>
      <w:pPr>
        <w:pStyle w:val="3"/>
        <w:keepNext/>
        <w:ind w:firstLine="0"/>
      </w:pPr>
      <w:r>
        <w:t xml:space="preserve">Fair Find–correct Match–Build comparison with Emap2lig</w:t>
      </w:r>
    </w:p>
    <w:p>
      <w:pPr>
        <w:pStyle w:val="FirstParagraph"/>
        <w:spacing w:line="360" w:lineRule="auto" w:after="120"/>
        <w:ind w:firstLine="420"/>
      </w:pPr>
      <w:r>
        <w:t xml:space="preserve">To compare the combined detection and modelling capabilities directly, we supplied both LigandSeek and Emap2lig with the correct ligand SMILES</w:t>
      </w:r>
      <w:r>
        <w:t xml:space="preserve"> </w:t>
      </w:r>
      <w:r>
        <w:t xml:space="preserve">(</w:t>
      </w:r>
      <w:r>
        <w:rPr>
          <w:rStyle w:val="MDFIGREF_eJyrrk7LTC9KTbMqLi0o0E3LzEvRTc4vKkpNLtHNTSxJztBNKs3MSamtBQBErw_K"/>
        </w:rPr>
        <w:t xml:space="preserve">Fig. 12</w:t>
      </w:r>
      <w:r>
        <w:t xml:space="preserve">).</w:t>
      </w:r>
      <w:r>
        <w:t xml:space="preserve"> </w:t>
      </w:r>
      <w:r>
        <w:t xml:space="preserve">We evaluated Find–correct Match–Build completion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charge.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The gap between best-of-50 and top-1 completion showed that some correct poses had been generated but were not ranked first. With either receptor input, the combination of LigandSeek-Find and PocketXMol-tuned recovered more small-molecule instances within the same attempt budget.</w:t>
      </w:r>
    </w:p>
    <w:p>
      <w:pPr>
        <w:pStyle w:val="CaptionedFigure"/>
        <w:keepNext/>
        <w:spacing w:line="240" w:lineRule="auto" w:before="0" w:after="0"/>
        <w:ind w:firstLine="0"/>
        <w:jc w:val="center"/>
      </w:pPr>
      <w:r>
        <w:drawing>
          <wp:inline>
            <wp:extent cx="5029200" cy="6429509"/>
            <wp:effectExtent b="0" l="0" r="0" t="0"/>
            <wp:docPr descr="Fig. 12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l9vUzcU_ypWpO0pyU1DAzRAJWgpQmpRRYU2aZkqx9fJteJrG9s3aRiT2AOaGGMvQ3vZF9jDBA97YkjjYR9g3wGtwMfYOfZNmtIOGEhjYamUXtvnj8_x-fmeE8dfVAz1WaVNKs_vP97_8bdkQ6i0tkU9y2oXCiHT_ds_7z_6Zf_ho2cP79eN8XuVKqlY7rQc8hTl1tqdzjXHret0llorSyudzjp3A69Np_Piwa_Pfvj6xb07z3960unECTqdN5pB0ZyjdlcYU-uhBNPWcuZreZDsoiQypsIZSce7I5FGP1r1llBIYdR4odVuTu2gMED6rHJ21DZkL5fKtUfnOpXMe9NOEscynlNX14YrIPa0hTmga_vJSNvUWM24c0L1c5k0G42TSU6F6lRWUdu2DY8dP5acjNpDKkHv5Zz2-VqcHvmSCQfyDjg3V_ien3I3SpYJYcK0KRR3U0rZG7WdoQxsAXEJQyDfXAYNZfdqIXGIFl6XWkt2lIRVBLaesM5vRtHJ1ECJVkZ34r-yvaGVdyBHHRMCZPbvfQdB_fPxk_0Hd8O8nDp_3gl6HC07r9xRoTBXVIxTdEO_G5pr0ePwBONvTFdp6fTEoRtRPJrnMZzBSfTHADC5HXJg3RD9OllqkpsE8fb01vcBa4Tp3EiOgSG6RzCoktdASqQFJxBxqgQjLqdSklxLzmA9wXnhM6I0yUWAAaFe565KqHNFjv0SmkQKkE-JSLnywgvu6mipj_a-h4V9h-Ujc2v5xSG3Y2Ko4hICozzsVUd8xomDVwo5dYpsr19wBOO0vHySANFTBfu7TiiAJK2Sizk1TYno4TCQVclmiOoO54MIhDU71ucBAU0CQefGawvCAnjlUd6UG-2E5-ks7ydAEYpwyjLSt7owVQKvy2BSV3vQTKweOeIyPUJCbSmSuPM13au1GgR0cneGSN7zgWRFP_PgrCxy8NXy64WwnGScDsc1xCq5urWzTpy3gnk5ntvIHsZk3taQRLLydZ6_0etc93qC8XXNihy26ORl7jO0I49KgxF52_kxyUs7TTAzjIVnyeJXP5b-DA74ODzV4Vebxw8_vXXnOMI_mfP324c0JOUyzHMk58ly2G5za_sc7Z8Ti_3zqkjWScxyXam7sfpwRqsUaxGvISUQDglMdKEkPVzKhCwkhjwmxEnZsrN1efPiTn02eRWQYCbVkYE6h2xrNuD-0y0ta75QkM8YAACSTArjwFYlo4xbWJJp-owqBKyhoh6mJP1CBAPR5jq5QNkAcx8mNhiAhAzKWEZtn0MOxqSmi5DuHAMcEgAhP8LuBsIYntbJNZVyD56AWSjZo0JCc5rawWus2GEguA3VmYayDRKjrZMNbRf7-VX72a9e-QA2zPwmHI9bws-A2XCLJWwVUC3jzuoWKbDMrYf_Eoz_-GqB4_dZOEkJX2rm1vz_XO309Ntvjq-RXsL537zG32rGu4sd9B4tL6sjQr3nuQFUkbWDwywRSzpV5F3ID7pHUuG8UFDduYLh8WWvkDNJJBVDkYKu7uI04H9Q_dTJJcu5InhCHI--mLAMTzbjGRMAByqKGr9eUPiuwKmKFXhXFnxGJhU0hy8ZM0I5hzEVtI-J0QKXADmHQks8dQuMoDmA0YpugVAFlkWt8hrQtRrv-rL-6AOAbXUBk1fDZKmxwMkCJ6_HSXOBk_ku_Ranzq_F-IkFxucb4_EU66WfzOG_Wa18XiWV6S2OSqvRXAEM7J1cbq60Gis3zxrB2vApMUXfCFOppaMjNzpKDaDrbXSAmC8sn6qxbw3ueLIHpXImjMNVRA_VcFswXEPssCvDbUtS7hjOstZOwg2cJFzAScr7N8ns9ZsEvzOCm6oAEWH8bk_0wVi3awcnB8qu0CQO7Dbgb6lZN6oPjogUtJ8-AS28jwPt7YmPEJqpHQcmRQMpruCmZgNHlF7LqOrz89bqUcZp6hAZqG9CcIYzHwdB54HozARRa3JkEbpSmA0hJc6I7SAfGxR2t-WeZdjsAc9VmCXQD3WmTMlhfdhzBla4O9rS6eyNGtre69kcnxA4sncu3KEh43OTuzRhHMl4w4chvYQrcDFkK1FbMofrPsmBUmOdv8R1TrAB3Pj7TJyWDjdd5D1oTbiRrnQ0PTlo0rZUBO85rbSarajlWC6My8VwA2imTdueCjkZnm1LVa6XM9O4wGe18uVfrZl9iw" id="82" name="Picture"/>
            <a:graphic>
              <a:graphicData uri="http://schemas.openxmlformats.org/drawingml/2006/picture">
                <pic:pic>
                  <pic:nvPicPr>
                    <pic:cNvPr descr="C:/Users/15919/Desktop/论文草稿/temp/manuscript_figures_rk6knr9a/figure_000012.png" id="83" name="Picture"/>
                    <pic:cNvPicPr>
                      <a:picLocks noChangeArrowheads="1" noChangeAspect="1"/>
                    </pic:cNvPicPr>
                  </pic:nvPicPr>
                  <pic:blipFill>
                    <a:blip r:embed="rId81"/>
                    <a:stretch>
                      <a:fillRect/>
                    </a:stretch>
                  </pic:blipFill>
                  <pic:spPr bwMode="auto">
                    <a:xfrm>
                      <a:off x="0" y="0"/>
                      <a:ext cx="5029200" cy="6429509"/>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12 | Find–Build completion of single-residue organic small molecules with no missing atoms, assuming correct ligand identities.</w:t>
      </w:r>
      <w:r>
        <w:rPr>
          <w:rFonts w:ascii="华文仿宋" w:hAnsi="华文仿宋" w:eastAsia="华文仿宋"/>
          <w:sz w:val="18"/>
        </w:rPr>
        <w:t xml:space="preserve"> </w:t>
      </w:r>
      <w:r>
        <w:rPr>
          <w:rFonts w:ascii="华文仿宋" w:hAnsi="华文仿宋" w:eastAsia="华文仿宋"/>
          <w:sz w:val="18"/>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84"/>
    <w:bookmarkStart w:id="88"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w:t>
      </w:r>
      <w:r>
        <w:t xml:space="preserve"> </w:t>
      </w:r>
      <w:r>
        <w:t xml:space="preserve">GT(</w:t>
      </w:r>
      <w:r>
        <w:rPr>
          <w:rStyle w:val="MDFIGREF_eJyrrk7LTC9KTbMqLi0o0E01StVNzs8tyEktyczP003MyamtBQDpjA1c"/>
        </w:rPr>
        <w:t xml:space="preserve">Fig. 13</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w:t>
      </w:r>
      <w:r>
        <w:t xml:space="preserve"> </w:t>
      </w:r>
      <w:r>
        <w:t xml:space="preserve">instances(</w:t>
      </w:r>
      <w:r>
        <w:rPr>
          <w:rStyle w:val="MDFIGREF_eJyrrk7LTC9KTbMqLi0o0E01StVNzs8tyEktyczP003MyamtBQDpjA1c"/>
        </w:rPr>
        <w:t xml:space="preserve">Fig. 13</w:t>
      </w:r>
      <w:r>
        <w:t xml:space="preserve">).</w:t>
      </w:r>
    </w:p>
    <w:p>
      <w:pPr>
        <w:pStyle w:val="CaptionedFigure"/>
        <w:keepNext/>
        <w:spacing w:line="240" w:lineRule="auto" w:before="0" w:after="0"/>
        <w:ind w:firstLine="0"/>
        <w:jc w:val="center"/>
      </w:pPr>
      <w:r>
        <w:drawing>
          <wp:inline>
            <wp:extent cx="5731510" cy="4375453"/>
            <wp:effectExtent b="0" l="0" r="0" t="0"/>
            <wp:docPr descr="Fig. 13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M1uGzcQfhVigQAtIGklOYrjRWrAkZ2ggGMYaXrqFgbFHWkJc0mW5EpWkh566k-SooeilwI9Fj35ARIgeYS-QxEneYwOubuynKRBmqB1XVjAaofDjzNDzpA7nDuRpi6PEhI9__HR0c-P463-1tHhL08f3zs6vP_smx-OHv7a0dodRC0SGbBKTCHz6GGSpp9aMDZNe4O13lqaboLdd0qn6YvDh89--vrFg2-f__YkTSuxafoGuZIW4GXaUus29KHNVKEFOK5kmwrhIYxq39wrqNkvNYI_i67MEk0OCiFtMvsojXLndBLHluVQUNtRGiR2jpUpqMOmmcQzZTJtFANruZwUIu53u5fignKZRute2q4Jr0_cXACZJVMqUO7HBZ3AsFLvcXGD8Nh9AL3NJdjAX2rNEqspQzUoRyALBfUvdtOobt4shWfR0qlaZg33I7nMEDbmxrrtami3BmFPZUBlafVX09eUdBbHUcs4xzFHD75HLzx99OTo8F7QC9S6Dcvp6_ryDWlfHRR0VYK9ilFojwI5rGYc3mj87cVy9S43E7pdDa_Mc95TYZJ-PhojCcwUEHqNTzqkt0Luki2ZtZ1qA87-2P9EjYngE4rMDBywwPMtnoF03M0JupflfqEpM8paggHTjGCCWgu24-1wlTWnsGzvsTjkdC3_RxxOz6w3WmQTtLLcQUYMMNBOGUs-uH7rww4ZtcjQzNWGU0W_jZ1KWmdK9hJ0uNFH7FXlcgxxmXEfzZZwyUSZAemtrpHdzasEA9twsCHM-61Bt9_EM0ehVOL51SEbjozKbALuzK7mydguEnUDv0P1eV681XmuxmPOYFOxssAla05zl3s7ikqoW__9qytxEfQEVlwrOltr1SJAWR6Cg4cTTs0gO_f8mzwfjCgS678QtZ06mBl4VTjs1jHyx_3vTgTJXwXPgr_zOvbf03jvfxCWp_x5eg_LWU7NBM9m6hwU2tkWmeVg4MzO5186THfOg_YULcej3-VAZFmMwPjEGDAv4CO8q7ycHyCFUOr8F6NDbuUNot0gljNsQ_FFauFjQ1mTd2Pbnm-J8y3xH7b8OOJDuFMDxJbM3_DHpRDz-s7oD_pwqzSYiztR3xkh65DrBkASfyO3MeOGiTrtHokSanbGaYG5uiU2V7OwR3BTteGLkgpSAK1uowUgTLYw17faX1KnIOZB-pxoxf0CetSUK5RZS_LJXMbxlsBHZXUPwAkMuhdapNf1_xhuF8KoFU9Uyf5LV1lfCViPPm-RaFEWiQarK71Br3twcWV1cHGwcveK5izBp458-laRnxk6e6VEUktAWe8iA4e50sBCjHnnLWhA0LBgOdfWh4ufoZzucuaDxTfYznTXoO8t81qGSRwKVXGoU8V1mSperlLFPgvAacoSh3Dt9sZ8gsbaPbN_aV-aNRpXjL0u_norHS0nOBGeofTLq0j5AhbSu80c0TULO45NqgykfgW3Fdu3RKphTuUENoxRmH_QzPot4OU1HSGaKibKPB66pKCSGr-yCCPB9TUuhNfo6TC-IigmpAZwC3hyjJibqCX0n2gsQPFJeb5lNa7waHZDZct1LJocjE3h3-g4clBVrsh8UcEKfN8NB44w31-HK6KYh9VRW4MRFd6NUG2suw6qIJ5AtN_NlVo63bYV9phq0L5fqsr0-JikiZDEFw7XBv1BJeW1KO-XrVB3W6Jp4igXDXuZFrJeL6sXfsFnPfryT52oFPw" id="86" name="Picture"/>
            <a:graphic>
              <a:graphicData uri="http://schemas.openxmlformats.org/drawingml/2006/picture">
                <pic:pic>
                  <pic:nvPicPr>
                    <pic:cNvPr descr="C:/Users/15919/Desktop/论文草稿/temp/manuscript_figures_rk6knr9a/figure_000013.png" id="87" name="Picture"/>
                    <pic:cNvPicPr>
                      <a:picLocks noChangeArrowheads="1" noChangeAspect="1"/>
                    </pic:cNvPicPr>
                  </pic:nvPicPr>
                  <pic:blipFill>
                    <a:blip r:embed="rId85"/>
                    <a:stretch>
                      <a:fillRect/>
                    </a:stretch>
                  </pic:blipFill>
                  <pic:spPr bwMode="auto">
                    <a:xfrm>
                      <a:off x="0" y="0"/>
                      <a:ext cx="5731510" cy="437545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keepLines/>
        <w:spacing w:line="240" w:lineRule="auto" w:after="120"/>
        <w:ind w:firstLine="0"/>
      </w:pPr>
      <w:r>
        <w:rPr>
          <w:rFonts w:ascii="华文仿宋" w:hAnsi="华文仿宋" w:eastAsia="华文仿宋"/>
          <w:sz w:val="18"/>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4"/>
        <w:gridCol w:w="1895"/>
        <w:gridCol w:w="1895"/>
        <w:gridCol w:w="1895"/>
        <w:gridCol w:w="1895"/>
      </w:tblGrid>
      <w:tr>
        <w:trPr>
          <w:tblHeader w:val="on"/>
          <w:cantSplit/>
        </w:trPr>
        <w:tc>
          <w:tcPr>
            <w:tcW w:type="dxa" w:w="1444"/>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b w:val="0"/>
                <w:sz w:val="20"/>
              </w:rPr>
              <w:t xml:space="preserve">Receptor</w:t>
            </w:r>
          </w:p>
        </w:tc>
        <w:tc>
          <w:tcPr>
            <w:tcW w:type="dxa" w:w="3791"/>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3791"/>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444"/>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1895"/>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GT</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67.5</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71.4</w:t>
            </w:r>
          </w:p>
        </w:tc>
      </w:tr>
      <w:tr>
        <w:trPr>
          <w:cantSplit/>
        </w:trPr>
        <w:tc>
          <w:tcPr>
            <w:tcW w:type="dxa" w:w="144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CA2</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51.1</w:t>
            </w:r>
          </w:p>
        </w:tc>
        <w:tc>
          <w:tcPr>
            <w:tcW w:type="dxa" w:w="189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58.8</w:t>
            </w:r>
          </w:p>
        </w:tc>
        <w:tc>
          <w:tcPr>
            <w:tcW w:type="dxa" w:w="1895"/>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60.2</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are PDB-equal macro means; medians were calculated across the same 179 PDBs.</w:t>
      </w:r>
    </w:p>
    <w:bookmarkEnd w:id="88"/>
    <w:bookmarkStart w:id="92" w:name="Xbc527d2baf04e5fbd153d8c9fd2910acde48dc6"/>
    <w:p>
      <w:pPr>
        <w:pStyle w:val="3"/>
        <w:keepNext/>
        <w:ind w:firstLine="0"/>
      </w:pPr>
      <w:r>
        <w:t xml:space="preserve">Modelling organic small molecules with one residue and no missing atoms</w:t>
      </w:r>
    </w:p>
    <w:p>
      <w:pPr>
        <w:pStyle w:val="FirstParagraph"/>
        <w:spacing w:line="360" w:lineRule="auto" w:after="120"/>
        <w:ind w:firstLine="420"/>
      </w:pPr>
      <w: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14</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4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N2KGzcUfpWDIaUB22M76009SRc2-xMKu8EkKRQ6ZZFnjj3CM5Iqaex1mkJ7UfqTpBRaelPoZenVPkACyUUfoO8Qskkeo0easdebTUpIocEQg60j6fzpnE_ykb6oKWbTWgi1Z788OP7tYbDT2Tk--v3JwzvHR3effvfT8f0_mkrZw1odahqNzCaYOO6tMIo-NqhNFLW7vXYvirbRjK1UUfT86P7TX799fu_7Z38-iqJSbRT9i17BcnQ6TaFUAzvYiGWuMrRciobJWZY5ppgpN3CQMz0uFLF_Wrs8DRUc5pkw4fTDqJZaq8IgMHGKOTNNqVDQ5FDqnFnq6lEwlTpRWsZoDBejPAs6rdZ6kDMuotqG09bXvrlhZxnCNJywjPR-lLMRbpXmHV8w53C8Y0S1xwUaP77Um4ZGsZjMkJ6MhkhRZ60V1aru9SJzQ6ywstJZsTtJLhJiG3Jt7F4p2qqYaKZ0oPS0_KnoXSmsITlmYs5J5vjej5SHJw8eHR_d8XaRGbtpOHvZXLopzFkhb6tU7EwMfH_gya1yxb4l528twtX-YL6gW6V46Z51mfKLdOtRhCXUEyTWXT5qQnsNbsOOSBpWNpBWf4IAkENw2cqwQTI8KRAolUzwGDw2IJcZxhRNWjq3KQgJOff5BWZlbprOB1t68hZC9h8CAyvr-dWbdUhQScMtJqAxRmWlNvB-hkN7_hJsbXbqsKVncpMy1KG8xlIYq4v4BXbNR6k93wRWH9SBzpZGG67v39iG9zJ7CTrw1zeXIK4nZ6cu-CmsD-swQGMbctjots6IjurpK-adfBP2OMEsuYE4hl3ad4-_-nmf2Til9krBswQUV-i2MkyZAaRIFcz5T5C9eBH621cAhdWccOnArLmH5NraOmReL3BaMhN0FtWh8HN9GY_RfrIvs4YtBGmiowsoiAhLAaId0YRdqVcWG6dRnYeSgppWp3j-Wqe4HA55jNsyLnKK8PwMt6nzIy-V2o1rl4Pcm_EjQWVnlUO1Sp7TvhjxAf2HLkBOFCCL08XGmNHeK5IR2pVd5P-E5L-_fgflt-g5lRhyalbW_f8FpN6JPDR2Bnnlp_Ju-rESuf0Kzo_v_nAKz6_C-StO8jeyeOfdDnqLnscp0yMqZ5i1mCtCFdxMcbnC14wa4AYsjYsiH6D2VX8Ru5vasMiW_kYSPuEJKRvMVjYe7yqg1w5VE65qRAGuzDZBzHXs7nmueh5kdBEshxPOcikSAyaVU48hqjEa-HnB6HKITHj-HIlN1KmUNgqpjJ5gNqMrgMYZldjchcBxTbgknUuaEk5lNx8UDqfEYqHbOleHdsv9UtjPeakLjiiLmReum-6mvlH7rA61xbNFrXvxQrvbbh2u9Vrr3Xbv9mXF45C-FQLYayEg0Wx65gmj0kC63kQHidlC40KNfmMoasyYD1jKlXEJdysUkz6PXbpdJ7426Wu6IprYWdkKA_-UFPiXpKB6SAqW35ECd3TQMkVBIlzZgyEfkbPmQI_Xx0L3WFAOHLTo015rKjGihfCEtPfaRLknJqL78zVSahZ-nLhUOshcBPfoMmZAyK2UiRFuai2nKbLEOBA7ffMJj6ZykHSeiC4ZKLUGZ4IwyLja5VnmLDray5cEo38xjXTZdOSQeK6TFT9_qrNgCk7rcz2jKMKD6b5Mlt-ZWHg41LlrKXFwWL4swWzxwuTH3TQeWojdfAVX4oodW4Xaipm4fDtXqrSxV1Hm4AjipourLc2yyZ4peU-oObebF7J0PTghWZgJcA97vW6nW2p5KZfLy45_F1uiWWgZz-bDy3QmqngZtcgLfTdqX_4Dku_plQ" id="90" name="Picture"/>
            <a:graphic>
              <a:graphicData uri="http://schemas.openxmlformats.org/drawingml/2006/picture">
                <pic:pic>
                  <pic:nvPicPr>
                    <pic:cNvPr descr="C:/Users/15919/Desktop/论文草稿/temp/manuscript_figures_rk6knr9a/figure_000014.png" id="91" name="Picture"/>
                    <pic:cNvPicPr>
                      <a:picLocks noChangeArrowheads="1" noChangeAspect="1"/>
                    </pic:cNvPicPr>
                  </pic:nvPicPr>
                  <pic:blipFill>
                    <a:blip r:embed="rId89"/>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End-to-end completion of single-residue organic small molecules with no missing atoms.</w:t>
      </w:r>
      <w:r>
        <w:rPr>
          <w:rFonts w:ascii="华文仿宋" w:hAnsi="华文仿宋" w:eastAsia="华文仿宋"/>
          <w:sz w:val="18"/>
        </w:rPr>
        <w:t xml:space="preserve"> </w:t>
      </w:r>
      <w:r>
        <w:rPr>
          <w:rFonts w:ascii="华文仿宋" w:hAnsi="华文仿宋" w:eastAsia="华文仿宋"/>
          <w:sz w:val="18"/>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p>
      <w:pPr>
        <w:pStyle w:val="TableCaption"/>
        <w:keepNext/>
        <w:keepLines/>
        <w:pageBreakBefore/>
        <w:spacing w:line="240" w:lineRule="auto" w:after="120"/>
        <w:ind w:firstLine="0"/>
      </w:pPr>
      <w:r>
        <w:rPr>
          <w:rFonts w:ascii="华文仿宋" w:hAnsi="华文仿宋" w:eastAsia="华文仿宋"/>
          <w:sz w:val="18"/>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7"/>
        <w:gridCol w:w="857"/>
        <w:gridCol w:w="857"/>
        <w:gridCol w:w="857"/>
        <w:gridCol w:w="857"/>
        <w:gridCol w:w="857"/>
        <w:gridCol w:w="857"/>
        <w:gridCol w:w="857"/>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RMSD</w:t>
            </w:r>
          </w:p>
        </w:tc>
        <w:tc>
          <w:tcPr>
            <w:tcW w:type="dxa" w:w="3430"/>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w:t>
            </w:r>
          </w:p>
        </w:tc>
        <w:tc>
          <w:tcPr>
            <w:tcW w:type="dxa" w:w="3430"/>
            <w:gridSpan w:val="4"/>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100%</w:t>
            </w:r>
          </w:p>
        </w:tc>
        <w:tc>
          <w:tcPr>
            <w:tcW w:type="dxa" w:w="1715"/>
            <w:gridSpan w:val="2"/>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Mean</w:t>
            </w:r>
          </w:p>
        </w:tc>
        <w:tc>
          <w:tcPr>
            <w:tcW w:type="dxa" w:w="857"/>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44.9</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25.0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55.1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47.7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33.3</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53.0</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60.1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61.1</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&lt;2 Å</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49.1</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55.9</w:t>
            </w:r>
          </w:p>
        </w:tc>
        <w:tc>
          <w:tcPr>
            <w:tcW w:type="dxa" w:w="857"/>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83.3</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63.5</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64.4</w:t>
            </w:r>
          </w:p>
        </w:tc>
        <w:tc>
          <w:tcPr>
            <w:tcW w:type="dxa" w:w="85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&lt;3 Å</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54.7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66.7</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62.8</w:t>
            </w:r>
          </w:p>
        </w:tc>
        <w:tc>
          <w:tcPr>
            <w:tcW w:type="dxa" w:w="857"/>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66.9</w:t>
            </w:r>
          </w:p>
        </w:tc>
        <w:tc>
          <w:tcPr>
            <w:tcW w:type="dxa" w:w="85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100.0</w:t>
            </w:r>
          </w:p>
        </w:tc>
      </w:tr>
    </w:tbl>
    <w:p>
      <w:pPr>
        <w:pStyle w:val="MDTableNote"/>
        <w:keepNext w:val="0"/>
        <w:keepLines/>
        <w:pageBreakBefore w:val="0"/>
        <w:spacing w:line="240" w:lineRule="auto" w:before="80" w:after="120"/>
        <w:ind w:firstLine="0"/>
      </w:pPr>
      <w:r>
        <w:rPr>
          <w:rFonts w:ascii="Times New Roman" w:hAnsi="Times New Roman"/>
          <w:sz w:val="18"/>
        </w:rPr>
        <w:t xml:space="preserve">Means and medians were calculated across the same 77 PDBs.</w:t>
      </w:r>
    </w:p>
    <w:bookmarkEnd w:id="92"/>
    <w:bookmarkStart w:id="102" w:name="representative-cases"/>
    <w:p>
      <w:pPr>
        <w:pStyle w:val="3"/>
        <w:keepNext/>
        <w:ind w:firstLine="0"/>
      </w:pPr>
      <w:r>
        <w:t xml:space="preserve">Representative cases</w:t>
      </w:r>
    </w:p>
    <w:p>
      <w:pPr>
        <w:pStyle w:val="FirstParagraph"/>
        <w:spacing w:line="360" w:lineRule="auto" w:after="120"/>
        <w:ind w:firstLine="420"/>
      </w:pPr>
      <w:r>
        <w:t xml:space="preserve">We selected three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0HwkrKyEDxjg_TE2loA7FISMg"/>
        </w:rPr>
        <w:t xml:space="preserve">Figs. 15–17</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15</w:t>
      </w:r>
      <w:r>
        <w:t xml:space="preserve">),</w:t>
      </w:r>
      <w:r>
        <w:t xml:space="preserve"> </w:t>
      </w:r>
      <w:r>
        <w:t xml:space="preserve">Find’s Rank 1 candidate hit the ground-truth ligand region of A1EKL (R:602). Match correctly identified A1EKL among the three candidate identities PLM, A1EKL and CLR. PocketXMol-tuned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5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1rHDfwr4h7SmDPe-fEpnekAedim9JLMUlaCr1i5N3ZPfV0kpC095GmkL60CWnah5ZA6VOfGigkfelLA8l_CXGcn9GZ1d5HEhfS9qG-YsN5pfmWZjTSzOc1w32_1ma1ox8eH_70JN5e337x8-3nT-4efvfo5S9fHX5zv37066PD27_h_xe_f3n04O7Rndv7o3NrxvhJLWI1C07LEaQko9Pu9T50YF2v19xoNVu93mVwA69Nr_fy4R8v7n_98t6dowdPe72grNf729oUHwJpgnWoZ1KP6y0pc0Ik3Hih1f6Q20FhkOST2oVx27DJUCrXHr_bq_W9N-04dkkfhtytaQMKkZm2Q-5xavN4rG1qrE7AOaHyoYzXG43NeMiF6tUukrQ9W36u-akENm6PuES57w15Dp2gnujiGQXRDgBMVyhwJXxpNm47wxNUg3IkglDQ-vlGr1ZNrxaSQLzwupJZkROnUCmSZcI63w2sjYoIMcGAYGn4V413tPIO-bhLhECew3vfokeeP356-PBuqRe481tO8ONw_S3l3mQqdQXBpOKgnB-Uw05YcflF42_Mt6v5zmxBNwJ7MM-Tp8pF0noMRhXYESDpjsjXWHOD3WTbKq17XQdcvdEOmIVEK-dtkdDWM52xreb2-1125mp7s7F-lgnFWt3u7hpp8UHXf7Ap_2LpbGUt38FAjNgV7pM-4-ivS4WQKUtBaQ-sK3KEXQMY1APdEmDBsgQsuSP0tzOAvh6BnJ469SSdUf7s1vfJynokYtsTA1YMQXkuKUqd8NOI-T6wjp3qLa-H6_WlbAMp5R4wXlt2prOFqYYClshTwMwkXiXYvX72NFpPUrSmK-uNiHUw0kTKPd1-Od56jiE6FWVMHkxZyKdj4fvsQE_AMXxLDOiR4XUZn1InGOEjAWPH8MokkBV5358G6EkKUFhZb0Qra_n_MY6ylfVGxHatLui9bwsf3oOLPCfLl-EsAUbM9fVYMe7LdOawQGTaCrrLy7KASB1mPTjNcScpNvOV9UbEtqRk1EUQdJkKfC964QVetpnVw0UQ7l2-xBBlp9WFTIiqvHFO5Iqem0wXnsr9lIrVA1mcBumJCtI-1jWfraxHIvZReOhlZezt6WQA_uMrWtZ9QSHntak3QyuF51xgcRMehLPKxRU2Q6ERg2PKozKvLsodkvJahc6uo7AlHcIxy9UAicvOFT1XSd1QpyCf3foR7cQs7hJtYY1drWxwjFtguQVQ0VwzCkJIVaB5bnPw1WVAKI1KcrRlcV-Q9iCITtgxhgekBy6D0cdUcSi4cAjQSk5ZhgALGVhQCVILZyQPG5IJhVsE6K-ivH2iEorMCkZAO2qMFCiGu7BuPPameO31Te27i7VPI1ab9zJrG-dbmxvrG5PNzVZz81zj5gUjkjb-qvYmf6v2Zmr5-I2-ZiUBZf0TGcjmCwtzMfathOgsEwlc1klBMRUkWZDljrm-MI7inFaoRnsioSinSfLBaM-ib1xCWjrtuOw0x2WjOa76zPFymzn2MDS4TFUgizB-PxM5Guv27WBzoGyLxwGw38C_5saaUTkuRKQovbWBI-o143hvtkZ0zdyOhUnBQE472MUThq7WnT6F4Ja1etwHnjo6uyRvhigPSQCizAXrkoIgNX5jEw6kMDtCStJI45I_DHjbeQt4v9AwQxo8RL7EvzKZE8WvyqOZM7jDB-MrGJpLzWfenmR2SF90HJuEdjObztvOJZzQMPEsIXwVrkiVEFkVtRUxUpXfmVCDyWAX8OakAVLjmfNBLR91XaBdjGbUhFc6mB4vhrwtFRuXHiT9f0lFftkum-VLY972XMgZeHksVbVfzsz9gr-LtS_-BK8CuUU" id="94" name="Picture"/>
            <a:graphic>
              <a:graphicData uri="http://schemas.openxmlformats.org/drawingml/2006/picture">
                <pic:pic>
                  <pic:nvPicPr>
                    <pic:cNvPr descr="C:/Users/15919/Desktop/论文草稿/temp/manuscript_figures_rk6knr9a/figure_000015.png" id="95" name="Picture"/>
                    <pic:cNvPicPr>
                      <a:picLocks noChangeArrowheads="1" noChangeAspect="1"/>
                    </pic:cNvPicPr>
                  </pic:nvPicPr>
                  <pic:blipFill>
                    <a:blip r:embed="rId93"/>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9BJJ</w:t>
      </w:r>
      <w:r>
        <w:t xml:space="preserve"> </w:t>
      </w:r>
      <w:r>
        <w:t xml:space="preserve">(</w:t>
      </w:r>
      <w:r>
        <w:rPr>
          <w:rStyle w:val="MDFIGREF_eJyrrk7LTC9KTbNKNUrVTcvJL9e1TMrKqq0FAHMFCRs"/>
        </w:rPr>
        <w:t xml:space="preserve">Fig. 16</w:t>
      </w:r>
      <w:r>
        <w:t xml:space="preserve">),</w:t>
      </w:r>
      <w:r>
        <w:t xml:space="preserve"> </w:t>
      </w:r>
      <w:r>
        <w:t xml:space="preserve">Find’s Rank 1 candidate hit the ground-truth ligand region of ATP (B:901). Match correctly identified ATP among the three candidate identities ATP, A1AP0 and Mg²⁺. PocketXMol-tuned then generated a top-1 pose with subångström accuracy, achieving a heavy-atom RMSD of 0.80 Å.</w:t>
      </w:r>
    </w:p>
    <w:p>
      <w:pPr>
        <w:pStyle w:val="CaptionedFigure"/>
        <w:keepNext/>
        <w:spacing w:line="240" w:lineRule="auto" w:before="0" w:after="0"/>
        <w:ind w:firstLine="0"/>
        <w:jc w:val="center"/>
      </w:pPr>
      <w:r>
        <w:drawing>
          <wp:inline>
            <wp:extent cx="5496525" cy="6691630"/>
            <wp:effectExtent b="0" l="0" r="0" t="0"/>
            <wp:docPr descr="Fig. 16 | End-to-end pose reconstruction of ATP (B:901) in 9BJJ.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Whla8kujkFaSyZGDsJ2QiAbRO9MzWx7Z7ub7p59OA44l8TGcXJIMISccoohYOeSSwz2fzGW5Z-Rqu7Zhx8BJzlEGyRYTXc9vqruqn7V5zXNXb_WZrWjHx4f_vQk3tnYefHz7edP7h5-9-jlL18dfnO_fvTro8Pbv-H_F79_efTg7tGd2wejM2tau0ktYjUDVhUjSAmj0-52P7JgbLfb2Gw1Wt3uBbADp3S3-_LhHy_uf_3y3p2jB0-73WCs2_3b1iQfAlmCDahnhRrXW73r14mRcO2EkgdDbgalRpFPa-fGbc0mw0La9vj9bq3vnG7HsU36MOR2TWmQyMyUGXKHXZPHY2VSbVQC1gqZD4t4Y329GQ-5kN3aeULbN_5z1U0LYOP2iBeI-8GQ59AJ5kkunkmQ7ABA7wkJ1tOXeuO21TxBM4hTIAmBNs6ud2tV90pZEImXTlWYlThpCpmiWCaMdXtBdb0SQk5wIHga_lXtXSWdRT1uEyFQ5_DetxiR54-fHj686-0Ct27LCv42Xn9L2jeVvK0ATCZ6vt_zzU4Ysf-i8zfm09V4bzagG0E9uOcoUn6QNB6NWQVmBCi6K_I11miym2xHpnWn6oCj18oCM5AoaZ0pE5p6pjK2dW2fndput9Ybp5mQrLV96dIa2XDB0n8wJf9i4GxlPd_FNIzYZe6SPuMYre1SFClLQSoHbE_kSLsKMKgHuSXCQmWJ6LUjjLbVgJEeQTE9CepxWqH82a3vk5WNSMR2JhqMGIJ0vKAstcJNI-b6wDpmqracGm7Ul_YaSGnnAe2UYac6WxunfcKSeAq4L4lXBS5eO32SrccpW9OVjUbEOphpIuWOzr4czzzLkJ0Kn5O9KQv76Vi4PuupCViGN4kBXTGc8vlZqAQzfCRgbBkemEQyIu-7kwQ9TgkKKxuNaGU9_z_mUbay0YjYRaNKuu2b0oX74GKfK_zNcLYBRsz21Vgy7vx2ZvF5yJQRdJb7RwGJWtz14GSPO065ma9sNCK2VRSMagiCDlOB90UnnMDDNjNquEjC_QvbDFlmWh3IxKieN9aKXNJ1k6nS0WM_pcdqryhPkvRYJWkf3zXXVzYiEfs4XPQyn3v7KhmA--SyKuqupJRzStcboZDCcy7wcRMuhLOXiy1NhqARg7c8j_y-unjuEMprL3R2DcGWbAjLDJcDFPZ1K7qukrmhSqF4dutH9BN3cZsoA2vsSuWDZdwAyw2AjOaWEQgp1QPNcZODqw4DYik0kqMvi_OCrAcgWmFvcTwwHfAiOP2WVxwClxYJShZTliHBQAYGZILSwuqChwnJhMQpAoxX6U-fyFNRWcIIaEa1LgTCcBvGjctel6_dvql4d772WcRq80pmbfNsq7m5sTlpNluN5pn1m-e0SNr4q4qb_J2Km6nh4zeqmhUCYv0TDFRzpYE5jHknEJVlIoELKikppwKSgcLPmO0LbSnPaYRytC8SynLqJB-O9g3GxiZkpdOOfZ059mXmuKoyx8tF5tjBUOMwZYkqQruDTOTorD0wg-ZAmhaPA-FgHf8azTUtcxyISBG9hUuNUaUZ2_uzMWJo5n4sXAoOcprBPVxhGGrV6VMKbhmjxn3gqaW1S3gzhl8kgYiYC9UlAwE1fmMSeoXQu6IoyCK1vX5o8LZ1BvB8oWaGMriInOe_0pkLxa_iUc9qnOHe-DKm5lLpmbcnmRnSFwPHJqHYzKbzorOnExsmjiXEr9IVpRISq7K2EkYp_52BatwMLgKenNRAaVxzLpjloz0bZBetmTTxpQqux4smbxeSUa2_5e3_pRTFZceXypfavO24KGbk5XYhq_myeh4X_J2vffEneCC4wQ" id="97" name="Picture"/>
            <a:graphic>
              <a:graphicData uri="http://schemas.openxmlformats.org/drawingml/2006/picture">
                <pic:pic>
                  <pic:nvPicPr>
                    <pic:cNvPr descr="C:/Users/15919/Desktop/论文草稿/temp/manuscript_figures_rk6knr9a/figure_000016.png" id="98" name="Picture"/>
                    <pic:cNvPicPr>
                      <a:picLocks noChangeArrowheads="1" noChangeAspect="1"/>
                    </pic:cNvPicPr>
                  </pic:nvPicPr>
                  <pic:blipFill>
                    <a:blip r:embed="rId96"/>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End-to-end pose reconstruction of ATP (B:901) in 9BJJ.</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17</w:t>
      </w:r>
      <w:r>
        <w:t xml:space="preserve">),</w:t>
      </w:r>
      <w:r>
        <w:t xml:space="preserve"> </w:t>
      </w:r>
      <w:r>
        <w:t xml:space="preserve">Find’s Rank 1 candidate was a background false positive and consumed one search attempt. The Rank 2 candidate then hit ATP (N:401), and Match correctly identified ATP. PocketXMol-tuned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7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EtrHEcQ_ivNnmyY1exKlhwtjmG9lkRANsJ2QiAbRGumZrazs91Nd88-HAecS2LjODkkGEJOOcUQsHPJJQb7vxjL8s9IVffsw7YCTnKINkiwmu56fFXdVf2qz2uau16txWpHPzw5_OlpvLW69fLnOy-e3jv87vGrX746_OZB_ejXx4d3fsP_L3__8ujhvaO7d_aHaytau3EtYjUDVhVDSAmj0-p2P7RgbLfbXN9sbna7l8H2ndLd7qtHf7x88PWr-3ePHj7rdoOxbvdvW5N8AGQJVqGeFWpUX2vknBgJ104ouT_gpl9qFPmkdmHU0mw8KKRtjd7v1nrO6VYc26QHA25XlAaJzEyZAXfYNXk8UibVRiVgrZD5oIhXG42NeMCF7NYuEtqe8Z_rblIAG7WGvEDcDwY8h04wT3LxVIJk-wB6V0iwnr7QG7Ws5gmaQZwCSQi0eq7RrVXda2VBJF46VWFW4qQpZIpimTDW7QbVRiWEnOBA8DT8q9rbSjqLetwmQqDO4f1vMSIvnjw7fHTP2wVuXdsKfhyv15b2bSVvKwCTiQPfP_DNThix_6LzN2fT1XxvOqCbQT245yhSfpA0Ho1ZBWYIKLot8hXWPM9usS2Z1p2qA45eKwvMQKKkdaZMaOqZylj7xh47c7V1rtE8y4Rka42d9grZcMHSfzAl_2LgbGk938Y0jNgV7pIe4xitS6UoUpaCVA7YrsiRdh2gXw9yC4S5ygLRa0cYbasBIz2EYnIa1JO0Qvnz298nSxuRiG2NNRgxAOl4QVlqhZtEzPWAdcxEtZ0arNYX9hpIaecB7ZRhZzrt1bM-YUk8BdyXxOsCOzfOnmbrScrWdGmjEbEOZppIuaOzL8czzzJkp8Ln5MGEhf10JFyPHagxWIY3iT5dMZzy-VmoBDN8KGBkGR6YRDIi77nTBD1JCQpLG41oaT3_P-ZRtrTRiNiOUSXd9k3pwn1wvs8V_mY43QAjZntqJBl3fjuz-Dxkygg6y_2jgEQt7npwusedpNzMlzYaEWsXBaMagqDDVOB90Qkn8LDNjBrMk3Dv8iWGLDOpDmRiVM8ba0Uu6brJVOnosZ_SY_WgKE-T9EQlaQ_fNZ8tbUQi9lG46GU-9_ZU0gf38RVV1F1JKeeUrjdDIYXnXODjJlwIpy8XW5oMQSMGxzyP_L46f-4QyhsvdHYDwRZsCMsMl30U9nUruq6SuYFKoXh--0f0E3dxmygDK-xa5YNl3ADLDYCMZpYRCCnVA81xk4OrDgNiKTSSoy_z84KsByBaYcc4HpgOeBGcPuYVh8ClRYKSxYRlSDCQgQGZoLSwuuBhQjIhcYoA41X60yfyVFSWMASaUa0LgTDchnHjstflG7dvKt5drH0asdqskllbP7e5sb66Pt7Y2GxurDVuXdAiaeGvKm7ydypupoaP3qpqVgiI9U8wUM2VBmYw5p1AVJaJBC6rpKScCkgGCj9jtie0pTynEcrhnkgoy6mTXB3uGYyNTchKpxX7OnPsy8xxVWWOF4vMsYOBxmHKElWEdvuZyNFZu2_6G31pNnkcCPsN_GueX9Eyx4GIlJZao4lNKjVjZ286SIzNzJG5T8FDTlO4i0sMY606PcrBtjFq1AOeWkIkvCnDr5JARMy56oKBgBq_NQsHhdDboijIIrW9fmjwlnUG8IChZoYyuIqc57_WmQnFr-NRz2qc4oPRFczNhdozb40zM6AvRo6NQ7WZTWZVZ08nNowdS4hf5StKJSRWpW0ljFL-OwXVuBvsAB6d1EBpXHQumOXDXRtk562pNPGlCq7H8yZvFZJRsX_T2_9LKYrLlq-VL7R5y3FRTMmL7UJW82X1LC74u1j74k_OjriD" id="100" name="Picture"/>
            <a:graphic>
              <a:graphicData uri="http://schemas.openxmlformats.org/drawingml/2006/picture">
                <pic:pic>
                  <pic:nvPicPr>
                    <pic:cNvPr descr="C:/Users/15919/Desktop/论文草稿/temp/manuscript_figures_rk6knr9a/figure_000017.png" id="101" name="Picture"/>
                    <pic:cNvPicPr>
                      <a:picLocks noChangeArrowheads="1" noChangeAspect="1"/>
                    </pic:cNvPicPr>
                  </pic:nvPicPr>
                  <pic:blipFill>
                    <a:blip r:embed="rId99"/>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102"/>
    <w:bookmarkEnd w:id="103"/>
    <w:bookmarkEnd w:id="104"/>
    <w:bookmarkStart w:id="136" w:name="methods"/>
    <w:p>
      <w:pPr>
        <w:pStyle w:val="1"/>
        <w:keepNext/>
        <w:ind w:firstLine="0"/>
      </w:pPr>
      <w:r>
        <w:t xml:space="preserve">Methods</w:t>
      </w:r>
    </w:p>
    <w:p>
      <w:pPr>
        <w:pStyle w:val="FirstParagraph"/>
        <w:spacing w:line="360" w:lineRule="auto" w:after="120"/>
        <w:ind w:firstLine="420"/>
      </w:pPr>
      <w:r>
        <w:rPr>
          <w:rStyle w:val="MDFIGREF_eJyrrk7LTC9KTbMCUrq5qSUZ-Sm6ZSa1tQB3QQlZ"/>
        </w:rPr>
        <w:t xml:space="preserve">Fig. 2</w:t>
      </w:r>
      <w:r>
        <w:t xml:space="preserve"> </w:t>
      </w:r>
      <w:r>
        <w:t xml:space="preserve">shows the network architecture and information flow of the Find–Match–Build framework. The three stages share density and receptor-atom input representations</w:t>
      </w:r>
      <w:r>
        <w:t xml:space="preserve"> </w:t>
      </w:r>
      <w:r>
        <w:t xml:space="preserve">(</w:t>
      </w:r>
      <w:r>
        <w:rPr>
          <w:rStyle w:val="MDFIGREF_eJyrrk7LTC9KTbMCUrq5qSUZ-Sm6ZSY1ibW1AIsSCjY"/>
        </w:rPr>
        <w:t xml:space="preserve">Fig. 2a</w:t>
      </w:r>
      <w:r>
        <w:t xml:space="preserve">).</w:t>
      </w:r>
      <w:r>
        <w:t xml:space="preserve"> </w:t>
      </w:r>
      <w:r>
        <w:t xml:space="preserve">They sequentially localise ligand regions</w:t>
      </w:r>
      <w:r>
        <w:t xml:space="preserve"> </w:t>
      </w:r>
      <w:r>
        <w:t xml:space="preserve">(</w:t>
      </w:r>
      <w:r>
        <w:rPr>
          <w:rStyle w:val="MDFIGREF_eJyrrk7LTC9KTbMCUrq5qSUZ-Sm6ZSY1SbW1AIsVCjc"/>
        </w:rPr>
        <w:t xml:space="preserve">Fig. 2b</w:t>
      </w:r>
      <w:r>
        <w:t xml:space="preserve">),</w:t>
      </w:r>
      <w:r>
        <w:t xml:space="preserve"> </w:t>
      </w:r>
      <w:r>
        <w:t xml:space="preserve">match candidate regions to ligand identities</w:t>
      </w:r>
      <w:r>
        <w:t xml:space="preserve"> </w:t>
      </w:r>
      <w:r>
        <w:t xml:space="preserve">(</w:t>
      </w:r>
      <w:r>
        <w:rPr>
          <w:rStyle w:val="MDFIGREF_eJyrrk7LTC9KTbMCUrq5qSUZ-Sm6ZSY1ybW1AIsYCjg"/>
        </w:rPr>
        <w:t xml:space="preserve">Fig. 2c</w:t>
      </w:r>
      <w:r>
        <w:t xml:space="preserve">)</w:t>
      </w:r>
      <w:r>
        <w:t xml:space="preserve"> </w:t>
      </w:r>
      <w:r>
        <w:t xml:space="preserve">and reconstruct all-atom ligand poses</w:t>
      </w:r>
      <w:r>
        <w:t xml:space="preserve"> </w:t>
      </w:r>
      <w:r>
        <w:t xml:space="preserve">(</w:t>
      </w:r>
      <w:r>
        <w:rPr>
          <w:rStyle w:val="MDFIGREF_eJyrrk7LTC9KTbMCUrq5qSUZ-Sm6ZSY1KbW1AIsbCjk"/>
        </w:rPr>
        <w:t xml:space="preserve">Fig. 2d</w:t>
      </w:r>
      <w:r>
        <w:t xml:space="preserve">).</w:t>
      </w:r>
    </w:p>
    <w:bookmarkStart w:id="105"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 and their corresponding PDB structures from the RCSB database. We selected samples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 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single-residue organic small molecules without missing atoms from its corresponding original partition. End-to-end testing was restricted to the original 179 PDB entries, as were Find, Match and Build testing. This shared test scope prevented data leakage between training and testing.</w:t>
      </w:r>
    </w:p>
    <w:bookmarkEnd w:id="105"/>
    <w:bookmarkStart w:id="108"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6"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6"/>
    <w:bookmarkStart w:id="107"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7"/>
    <w:bookmarkEnd w:id="108"/>
    <w:bookmarkStart w:id="113" w:name="stage-1-find"/>
    <w:p>
      <w:pPr>
        <w:pStyle w:val="2"/>
        <w:keepNext/>
        <w:ind w:firstLine="0"/>
      </w:pPr>
      <w:r>
        <w:t xml:space="preserve">Stage 1: Find</w:t>
      </w:r>
    </w:p>
    <w:bookmarkStart w:id="109"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9"/>
    <w:bookmarkStart w:id="110"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 and softly scatters the encoded features onto the voxel grid. The projected features are concatenated with the 56 density channels as input to a 3D U-Net. Before the point-cloud branch, Point Transformer V3 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10"/>
    <w:bookmarkStart w:id="111"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 and Dice loss with weights of 0.7 and 0.3, respectively.</w:t>
      </w:r>
    </w:p>
    <w:bookmarkEnd w:id="111"/>
    <w:bookmarkStart w:id="112"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12"/>
    <w:bookmarkEnd w:id="113"/>
    <w:bookmarkStart w:id="119" w:name="stage-2-match"/>
    <w:p>
      <w:pPr>
        <w:pStyle w:val="2"/>
        <w:keepNext/>
        <w:ind w:firstLine="0"/>
      </w:pPr>
      <w:r>
        <w:t xml:space="preserve">Stage 2: Match</w:t>
      </w:r>
    </w:p>
    <w:bookmarkStart w:id="114" w:name="overview-1"/>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4"/>
    <w:bookmarkStart w:id="115"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 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t xml:space="preserve"> </w:t>
      </w:r>
      <w:r>
        <w:t xml:space="preserve">(</w:t>
      </w:r>
      <w:r>
        <w:rPr>
          <w:rStyle w:val="MDFIGREF_eJyrrk7LTC9KTbMCUrq5qSUZ-Sm6ZSY1ybW1AIsYCjg"/>
        </w:rPr>
        <w:t xml:space="preserve">Fig. 2c</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5"/>
    <w:bookmarkStart w:id="116"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 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6"/>
    <w:bookmarkStart w:id="117"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7"/>
    <w:bookmarkStart w:id="118"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8"/>
    <w:bookmarkEnd w:id="119"/>
    <w:bookmarkStart w:id="135" w:name="stage-3-build"/>
    <w:p>
      <w:pPr>
        <w:pStyle w:val="2"/>
        <w:keepNext/>
        <w:ind w:firstLine="0"/>
      </w:pPr>
      <w:r>
        <w:t xml:space="preserve">Stage 3: Build</w:t>
      </w:r>
    </w:p>
    <w:bookmarkStart w:id="120" w:name="overview-2"/>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PocketXMol-tuned as our default Build engine. Specifically, we extended PocketXMol, a unified generative model for small molecules, to incorporate local cryo-EM density as an explicit conditioning signal, initialising it with official weights and fine-tuning it on single-residue organic small molecules.</w:t>
      </w:r>
    </w:p>
    <w:bookmarkEnd w:id="120"/>
    <w:bookmarkStart w:id="134"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single-residue small molecules without missing atoms.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bookmarkEnd w:id="134"/>
    <w:bookmarkEnd w:id="135"/>
    <w:bookmarkEnd w:id="136"/>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paragraph" w:customStyle="1" w:styleId="MDTableNote">
    <w:name w:val="MDTableNote"/>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q5qSUZ-Sm6ZSY1ibW1AIsSCjY">
    <w:name w:val="MDFIGREF_eJyrrk7LTC9KTbMCUrq5qSUZ-Sm6ZSY1ibW1AIsSCjY"/>
    <w:basedOn w:val="BodyTextChar"/>
  </w:style>
  <w:style w:type="character" w:customStyle="1" w:styleId="MDFIGREF_eJyrrk7LTC9KTbMCUrq5qSUZ-Sm6ZSY1KbW1AIsbCjk">
    <w:name w:val="MDFIGREF_eJyrrk7LTC9KTbMCUrq5qSUZ-Sm6ZSY1KbW1AIsbCjk"/>
    <w:basedOn w:val="BodyTextChar"/>
  </w:style>
  <w:style w:type="character" w:customStyle="1" w:styleId="MDFIGREF_eJyrrk7LTC9KTbMCUrq5qSUZ-Sm6ZSY1SbW1AIsVCjc">
    <w:name w:val="MDFIGREF_eJyrrk7LTC9KTbMCUrq5qSUZ-Sm6ZSY1SbW1AIsVCjc"/>
    <w:basedOn w:val="BodyTextChar"/>
  </w:style>
  <w:style w:type="character" w:customStyle="1" w:styleId="MDFIGREF_eJyrrk7LTC9KTbMCUrq5qSUZ-Sm6ZSY1ybW1AIsYCjg">
    <w:name w:val="MDFIGREF_eJyrrk7LTC9KTbMCUrq5qSUZ-Sm6ZSY1ybW1AIsYCjg"/>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TcsvLUpOLE7VzU3MzKtJfNQwOaW2FgAZVg9w">
    <w:name w:val="MDFIGREF_eJyrrk7LTC9KTbMqLklMTzXUTcsvLUpOLE7VzU3MzKtJfNQwOaW2FgAZVg9w"/>
    <w:basedOn w:val="BodyTextChar"/>
  </w:style>
  <w:style w:type="character" w:customStyle="1" w:styleId="MDFIGREF_eJyrrk7LTC9KTbMqLklMTzXUTcsvLUpOLE7VzU3MzKtJfNQwObm2FgAZUw9v">
    <w:name w:val="MDFIGREF_eJyrrk7LTC9KTbMqLklMTzXUTcsvLUpOLE7VzU3MzKtJfNQwObm2FgAZUw9v"/>
    <w:basedOn w:val="BodyTextChar"/>
  </w:style>
  <w:style w:type="character" w:customStyle="1" w:styleId="MDFIGREF_eJyrrk7LTC9KTbMqLklMTzXUTcsvLUpOLE7VzU3MzKtJqa0FAN2YDRo">
    <w:name w:val="MDFIGREF_eJyrrk7LTC9KTbMqLklMTzXUTcsvLUpOLE7VzU3MzKtJqa0FAN2YDRo"/>
    <w:basedOn w:val="BodyTextChar"/>
  </w:style>
  <w:style w:type="character" w:customStyle="1" w:styleId="MDFIGREF_eJyrrk7LTC9KTbMqLklMTzXUTcsvLUpOLE7VzU3MzKtJqq0FAN2SDRg">
    <w:name w:val="MDFIGREF_eJyrrk7LTC9KTbMqLklMTzXUTcsvLUpOLE7VzU3MzKtJqq0FAN2SDRg"/>
    <w:basedOn w:val="BodyTextChar"/>
  </w:style>
  <w:style w:type="character" w:customStyle="1" w:styleId="MDFIGREF_eJyrrk7LTC9KTbMqLklMTzXUTcsvLUpOLE7VzU3MzKtJrK0FAN2PDRc">
    <w:name w:val="MDFIGREF_eJyrrk7LTC9KTbMqLklMTzXUTcsvLUpOLE7VzU3MzKtJrK0FAN2PDRc"/>
    <w:basedOn w:val="BodyTextChar"/>
  </w:style>
  <w:style w:type="character" w:customStyle="1" w:styleId="MDFIGREF_eJyrrk7LTC9KTbMqLklMTzXUTcsvLUpOLE7VzU3MzKtJrq0FAN2VDRk">
    <w:name w:val="MDFIGREF_eJyrrk7LTC9KTbMqLklMTzXUTcsvLUpOLE7VzU3MzKtJrq0FAN2VDRk"/>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TMrKqq0FAHMFCRs">
    <w:name w:val="MDFIGREF_eJyrrk7LTC9KTbNKNUrVTcvJL9e1TMrKqq0FAHMFCRs"/>
    <w:basedOn w:val="BodyTextChar"/>
  </w:style>
  <w:style w:type="character" w:customStyle="1" w:styleId="MDFIGREF_eJyrrk7LTC9KTbNKNUrVTcvJL9e1zMlJ10HwkrKyEDxjg_TE2loA7FISMg">
    <w:name w:val="MDFIGREF_eJyrrk7LTC9KTbNKNUrVTcvJL9e1zMlJ10HwkrKyEDxjg_TE2loA7FISMg"/>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7" Type="http://schemas.openxmlformats.org/officeDocument/2006/relationships/image" Target="media/rId77.png"/><Relationship Id="rId81" Type="http://schemas.openxmlformats.org/officeDocument/2006/relationships/image" Target="media/rId81.png"/><Relationship Id="rId85" Type="http://schemas.openxmlformats.org/officeDocument/2006/relationships/image" Target="media/rId85.png"/><Relationship Id="rId89" Type="http://schemas.openxmlformats.org/officeDocument/2006/relationships/image" Target="media/rId89.png"/><Relationship Id="rId93" Type="http://schemas.openxmlformats.org/officeDocument/2006/relationships/image" Target="media/rId93.png"/><Relationship Id="rId96" Type="http://schemas.openxmlformats.org/officeDocument/2006/relationships/image" Target="media/rId96.png"/><Relationship Id="rId99" Type="http://schemas.openxmlformats.org/officeDocument/2006/relationships/image" Target="media/rId99.png"/><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21" Type="http://schemas.openxmlformats.org/officeDocument/2006/relationships/hyperlink" Target="https://doi.org/10.1038/d41586-020-00341-9"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25" Type="http://schemas.openxmlformats.org/officeDocument/2006/relationships/hyperlink" Target="https://doi.org/10.1038/s41594-025-01723-1" TargetMode="External"/><Relationship Id="rId126" Type="http://schemas.openxmlformats.org/officeDocument/2006/relationships/hyperlink" Target="https://doi.org/10.1126/science.aat4346"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2026-10-19T13:25:13Z</dcterms:created>
  <dcterms:modified xsi:type="dcterms:W3CDTF">2026-10-19T13:25:13Z</dcterms:modified>
</cp:coreProperties>
</file>

<file path=docProps/custom.xml><?xml version="1.0" encoding="utf-8"?>
<Properties xmlns="http://schemas.openxmlformats.org/officeDocument/2006/custom-properties" xmlns:vt="http://schemas.openxmlformats.org/officeDocument/2006/docPropsVTypes"/>
</file>