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upplementary-information"/>
    <w:p>
      <w:pPr>
        <w:pStyle w:val="1"/>
        <w:keepNext/>
        <w:ind w:firstLine="0"/>
      </w:pPr>
      <w:r>
        <w:t xml:space="preserve">Supplementary Information</w:t>
      </w:r>
    </w:p>
    <w:bookmarkStart w:id="36" w:name="Xc2290110b7f4c0597479abdf7dc370b81e4e2da"/>
    <w:p>
      <w:pPr>
        <w:pStyle w:val="2"/>
        <w:keepNext/>
        <w:ind w:firstLine="0"/>
      </w:pPr>
      <w:r>
        <w:t xml:space="preserve">Stage 1: Comparison of LigandSeek2-Find with LigandSeek</w:t>
      </w:r>
    </w:p>
    <w:p>
      <w:pPr>
        <w:pStyle w:val="FirstParagraph"/>
        <w:spacing w:line="360" w:lineRule="auto" w:after="120"/>
        <w:ind w:firstLine="420"/>
      </w:pPr>
      <w:r>
        <w:t xml:space="preserve">Our first-generation model, LigandSeek, localised ligands in cryo-electron microscopy (cryo-EM) density maps without the Match and Build stages for identity matching and pose reconstruction. We compared its strongest version (LigandSeek-PV) with LigandSeek2-Find on the same full test set and small-molecule test subset. The evaluation definitions and presentation followed those used for the comparison with Emap2lig-Find.</w:t>
      </w:r>
    </w:p>
    <w:p>
      <w:pPr>
        <w:pStyle w:val="BodyText"/>
        <w:spacing w:line="360" w:lineRule="auto" w:after="120"/>
        <w:ind w:firstLine="420"/>
      </w:pPr>
      <w:r>
        <w:t xml:space="preserve">On the full test set, LigandSeek2-Find outperformed LigandSeek across all three detection metrics</w:t>
      </w:r>
      <w:r>
        <w:t xml:space="preserve"> </w:t>
      </w:r>
      <w:r>
        <w:t xml:space="preserve">(</w:t>
      </w:r>
      <w:r>
        <w:rPr>
          <w:rStyle w:val="MDFIGREF_eJyrrk7LTC9KTbPKyUxPzEspTk3NNtItK9ZFcA1rEmtrATN3D08"/>
        </w:rPr>
        <w:t xml:space="preserve">Fig. 1a</w:t>
      </w:r>
      <w:r>
        <w:t xml:space="preserve">).</w:t>
      </w:r>
      <w:r>
        <w:t xml:space="preserve"> </w:t>
      </w:r>
      <w:r>
        <w:t xml:space="preserve">These comprised semantic Dice and one-to-one PRAUC at coverage thresholds of 0.3 and 0.5. When using the deposited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was 0.517 for LigandSeek and 0.663 for LigandSeek2-Find. When using CryoAtom2-reconstructed (CA2) receptors, it increased from 0.440 to 0.541. Paired comparisons using CA2 receptors showed higher values for LigandSeek2-Find in 79 PDBs, equal values in 69, and higher values for LigandSeek in 31</w:t>
      </w:r>
      <w:r>
        <w:t xml:space="preserve"> </w:t>
      </w:r>
      <w:r>
        <w:t xml:space="preserve">(</w:t>
      </w:r>
      <w:r>
        <w:rPr>
          <w:rStyle w:val="MDFIGREF_eJyrrk7LTC9KTbPKyUxPzEspTk3NNtItK9ZFcA1rkmtrATN9D1E"/>
        </w:rPr>
        <w:t xml:space="preserve">Fig. 1c</w:t>
      </w:r>
      <w:r>
        <w:t xml:space="preserve">).</w:t>
      </w:r>
    </w:p>
    <w:p>
      <w:pPr>
        <w:pStyle w:val="BodyText"/>
        <w:spacing w:line="360" w:lineRule="auto" w:after="120"/>
        <w:ind w:firstLine="420"/>
      </w:pPr>
      <w:r>
        <w:t xml:space="preserve">LigandSeek2-Find also showed an overall advantage in the small-molecule test subset. For deposited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increased from 0.621 to 0.701. For CA2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increased from 0.568 to 0.573</w:t>
      </w:r>
      <w:r>
        <w:t xml:space="preserve"> </w:t>
      </w:r>
      <w:r>
        <w:t xml:space="preserve">(</w:t>
      </w:r>
      <w:r>
        <w:rPr>
          <w:rStyle w:val="MDFIGREF_eJyrrk7LTC9KTbPKyUxPzEspTk3NNtItK9ZFcA1rkmprATN6D1A"/>
        </w:rPr>
        <w:t xml:space="preserve">Fig. 1b</w:t>
      </w:r>
      <w:r>
        <w:t xml:space="preserve">).</w:t>
      </w:r>
      <w:r>
        <w:t xml:space="preserve"> </w:t>
      </w:r>
      <w:r>
        <w:t xml:space="preserve">In paired CA2 comparisons, LigandSeek2-Find performed better than, as well as, or worse than LigandSeek in 27, 46 and 21 PDBs, respectively</w:t>
      </w:r>
      <w:r>
        <w:t xml:space="preserve"> </w:t>
      </w:r>
      <w:r>
        <w:t xml:space="preserve">(</w:t>
      </w:r>
      <w:r>
        <w:rPr>
          <w:rStyle w:val="MDFIGREF_eJyrrk7LTC9KTbPKyUxPzEspTk3NNtItK9ZFcA1rUmprATOAD1I"/>
        </w:rPr>
        <w:t xml:space="preserve">Fig. 1d</w:t>
      </w:r>
      <w:r>
        <w:t xml:space="preserve">).</w:t>
      </w:r>
      <w:r>
        <w:t xml:space="preserve"> </w:t>
      </w:r>
      <w:r>
        <w:t xml:space="preserve">Per-PDB precision and recall distributions are shown in</w:t>
      </w:r>
      <w:r>
        <w:t xml:space="preserve"> </w:t>
      </w:r>
      <w:r>
        <w:rPr>
          <w:rStyle w:val="MDFIGREF_eJyrrk7LTC9KTbPKyUxPzEspTk3NNtItK9ZFcA1rUnXSamsBUhcP5Q"/>
        </w:rPr>
        <w:t xml:space="preserve">Fig. 1e, f</w:t>
      </w:r>
      <w:r>
        <w:t xml:space="preserve">.</w:t>
      </w:r>
    </w:p>
    <w:p>
      <w:pPr>
        <w:pStyle w:val="BodyText"/>
        <w:spacing w:line="360" w:lineRule="auto" w:after="120"/>
        <w:ind w:firstLine="420"/>
      </w:pPr>
      <w:r>
        <w:t xml:space="preserve">LigandSeek2-Find showed a much larger average advantage over LigandSeek across all ligands than within the small-molecule category alone. We attribute this difference mainly to the change in foreground block sampling during training. LigandSeek sampled ligands in a way resembling weighting by heavy-atom count. LigandSeek2-Find sampled all ligand instances within each PDB equally, regardless of heavy-atom count. Across all preprocessed data, small molecules contained 38.49 heavy atoms on average, compared with 17.02 across all ligand instances. The first-generation model therefore placed greater emphasis on small molecules during training.</w:t>
      </w:r>
    </w:p>
    <w:p>
      <w:pPr>
        <w:pStyle w:val="CaptionedFigure"/>
        <w:keepNext/>
        <w:spacing w:line="240" w:lineRule="auto" w:before="0" w:after="0"/>
        <w:ind w:firstLine="0"/>
        <w:jc w:val="center"/>
      </w:pPr>
      <w:r>
        <w:drawing>
          <wp:inline>
            <wp:extent cx="5120640" cy="5927466"/>
            <wp:effectExtent b="0" l="0" r="0" t="0"/>
            <wp:docPr descr="Fig. 1 | Ligand-region detection by LigandSeek2-Find and LigandSeek. LigandSeek2-Find and the first-generation LigandSeek are compared using deposited (GT) or CryoAtom2-reconstructed (CA2) receptor structures. The left column shows all ligands (179 PDB entries, 2,502 instances); the right shows only small molecules (94 PDB entries, 821 instances)." title="MDPPTFIG_eJztWN2OGzUUfhUrElIrJZlJusk2aam0ZLsV0lKi_lwxKHI8TsZaj21s56-Ua4RQuULc8AJc9QGoRF-G0j4G59iTn2UXseJHVUpXyo7tc_ydYx_787G_rBnqi1qf1F5__-LVj78kp2JKVf6Q87P2aO5G22qraYxf1uqkZrnTcs5z7DXoZ9ljx63Lslan1-pl2TF3Z16bLHvz_Offfvj6zbNvXv_0MssifJZdAV_RkiO2DDKHqo25a2yrLdTKhTOSrkYLkccBdJpdoVDCqPFCq1FJ7dnMgOiz2u1F35BlKZXrLz7MaoX3pp8kjhW8pK6pDVcgnGhbUg9VO00W2ubGasadE2payqSdpt2kpEJltTuINrTh89CvJCeL_pxKwP24pFM-iOZRL1lroO4Z5-Y-X_rQvK3E8qlQ3G0kVW3Rd4YysA8GJDSBhfZBmtWq6oOZxCY687oyVqljT6FyUJsI6_xp7JpWSiCJnsUhxH9V-UQr76AfdUwI6PPq2XcQw19fvHz1_Ntgl1Pnj5ygl8mKI-Uudgq2IjCaGIf6OBQHccThC84_2cxj6-Z6QE9i9-iexxCGQeJ4DKxDbuccVE_EtEla5CmJy6lh-RQiQHLuOcNYkPGK7Cy8xgnODtR2GptoJ8bmbUzLPxg82VvPLw2JLzgJy7Yx5YpbGuK31STUcsJ0aeCbkxnuToiz0U54qF-79-g60ZYM7EofeV22YSkwrZy3Mxbkg6P2dQJt3HhQi-0z8KhJHoFdyScewOWsVMQVeuEIlZJUxEOutQ57ZHj8EeHKW8FdnbTrnbRNBOBTBVRx_Vbw3opp4av-WskVcSXClFpyBlsWgHoH53Futls7KOeXIu7UO0hr7znsneYwurfbuL63nr9l6vxP1tF4b6NRJ0NuG0iMx4Jx4pgGWTgTtOINrxvwIcMHR48HhHpgWpAWWgIx6wlJmzeCZtrsNMlda4Hcx9S6wMKk1_kA6NWDGSodAYoMNF1yqsjE6pK00nqapmSstYcTgRo4IBwtDVI1QO8w9Xtm_j8yM9vfHbW3nr-LzJzvbTTqwMiQNPsq8RYOUmqkxgsJ_EL4YjdZj_n5n2Xj6zwcsu8LSIZbZExHxtwDc9cr03QM-TQQODCo43AukMNe0u0lN1q7NB0ofjdzx5OhfZgcdBNItFH4h4y8joxv8K4453K1Byy_0V7T7nvG_zd3Kt_fnbq3nr-LjD_Z22jUyafbnBvamXD4DoNEChUkT0jB6TYJX-fgVyb8u5QVxGhIy6E1GMbZCBl-ReSrWwRJlSwK4TlhwjJZXQd8IdhZzO-BfASjII8ZfS5odDKk-1_MqPUCuNVSNeV_TfKfA8tvHo1rnVY77R6ky06vfXjQ7T69bQTrw686A-iVzoDc0sUF8q8QAOvvYEA3fLLawNgrgejJBC5Vx5rNSpjciGS5DM9rrhDG4frAEar5UDBcHVhh9-dDS3LuGFoZ9JPw1p-Ep_6keulPdh_6E89LA8NUM-gijB9NxBTf10aOd5SdL20SG0Yp_rWaRk1hICIH9BsdKOHbP5SH6zFCaDZ-bF2KDlKcwVPNzhxRelBgjI_g5rcoOM0drnnEWwtC5GMjYG677hiIqMmFSRhLYU6ElGgRy6F_LNA-rG3uWYHFCeg8ACtBfq6yUUrO42HNwblJxotPdL57-NL-cmJL_ELgyDIet2S1OXZDO4oxGWAor5YraDFUq1ZtpRwvhltQA8f4PQ5XXyyANiZ30Sydn7qouy2ttVGudHQ92RZpX8IuBZRep92JKJdqYVzuhmRhp0z7ngq5bt4tS1XNlzObuMDvTu2r3wHr1Pxa" id="34" name="Picture"/>
            <a:graphic>
              <a:graphicData uri="http://schemas.openxmlformats.org/drawingml/2006/picture">
                <pic:pic>
                  <pic:nvPicPr>
                    <pic:cNvPr descr="C:/Users/15919/Desktop/论文草稿/temp/manuscript_figures_se5nrvxr/figure_000001.png" id="35" name="Picture"/>
                    <pic:cNvPicPr>
                      <a:picLocks noChangeArrowheads="1" noChangeAspect="1"/>
                    </pic:cNvPicPr>
                  </pic:nvPicPr>
                  <pic:blipFill>
                    <a:blip r:embed="rId33"/>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华文仿宋" w:hAnsi="华文仿宋" w:eastAsia="华文仿宋"/>
          <w:b/>
          <w:bCs/>
          <w:sz w:val="18"/>
        </w:rPr>
        <w:t xml:space="preserve">Fig. 1 | Ligand-region detection by LigandSeek2-Find and LigandSeek.</w:t>
      </w:r>
      <w:r>
        <w:rPr>
          <w:rFonts w:ascii="华文仿宋" w:hAnsi="华文仿宋" w:eastAsia="华文仿宋"/>
          <w:sz w:val="18"/>
        </w:rPr>
        <w:t xml:space="preserve"> </w:t>
      </w:r>
      <w:r>
        <w:rPr>
          <w:rFonts w:ascii="华文仿宋" w:hAnsi="华文仿宋" w:eastAsia="华文仿宋"/>
          <w:sz w:val="18"/>
        </w:rPr>
        <w:t xml:space="preserve">LigandSeek2-Find and the first-generation LigandSeek are compared using deposited (GT) or CryoAtom2-reconstructed (CA2) receptor structures. The left column shows all ligands (179 PDB entries, 2,502 instances); the right shows only small molecules (94 PDB entries, 821 instances).</w:t>
      </w:r>
    </w:p>
    <w:p>
      <w:pPr>
        <w:pStyle w:val="ImageCaption"/>
        <w:keepNext/>
        <w:keepLines/>
        <w:spacing w:line="240" w:lineRule="auto"/>
        <w:ind w:firstLine="0"/>
      </w:pP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p>
    <w:p>
      <w:pPr>
        <w:pStyle w:val="ImageCaption"/>
        <w:keepNext/>
        <w:keepLines/>
        <w:spacing w:line="240" w:lineRule="auto"/>
        <w:ind w:firstLine="0"/>
      </w:pP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LigandSeek2-Find with LigandSeek using CryoAtom2-reconstructed receptors. LigandSeek2-Find performs better, comparably or worse on 79/69/31 PDB entries for all ligands and 27/46/21 for small molecules, respectively.</w:t>
      </w:r>
    </w:p>
    <w:p>
      <w:pPr>
        <w:pStyle w:val="ImageCaption"/>
        <w:keepNext w:val="0"/>
        <w:keepLines/>
        <w:spacing w:line="240" w:lineRule="auto"/>
        <w:ind w:firstLine="0"/>
      </w:pP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a threshold of 0.3 using CryoAtom2-reconstructed receptors. Each point represents one PDB entry; open white circles and thick bars indicate the median and interquartile range, respectively.</w:t>
      </w:r>
    </w:p>
    <w:p>
      <w:pPr>
        <w:pStyle w:val="TableCaption"/>
        <w:keepNext/>
        <w:keepLines/>
        <w:spacing w:line="240" w:lineRule="auto" w:after="120"/>
        <w:ind w:firstLine="0"/>
      </w:pPr>
      <w:r>
        <w:rPr>
          <w:rFonts w:ascii="华文仿宋" w:hAnsi="华文仿宋" w:eastAsia="华文仿宋"/>
          <w:sz w:val="18"/>
        </w:rPr>
        <w:t xml:space="preserve">Table 3 | Stage 1 detection performance of two LigandSeek generations on the full test set and small-molecule test subset.</w:t>
      </w:r>
    </w:p>
    <w:tbl>
      <w:tblPr>
        <w:tblW w:type="pct" w:w="5000"/>
        <w:tblLayout w:type="fixed"/>
        <w:tblCaption w:val="Table 3 | Stage 1 detection performance of two LigandSeek generations on the full test set and small-molecule test subset."/>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6"/>
            <w:gridSpan w:val="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i/>
                <w:iCs/>
                <w:sz w:val="20"/>
              </w:rPr>
              <w:t xml:space="preserve">All ligands</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0.315</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0.558</w:t>
            </w:r>
          </w:p>
        </w:tc>
      </w:tr>
      <w:tr>
        <w:trPr>
          <w:cantSplit/>
        </w:trPr>
        <w:tc>
          <w:tcPr>
            <w:tcW w:type="dxa" w:w="9026"/>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i/>
                <w:iCs/>
                <w:sz w:val="20"/>
              </w:rPr>
              <w:t xml:space="preserve">Small molecules</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0.605</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values indicate the higher score in each column within each ligand group.</w:t>
      </w:r>
    </w:p>
    <w:bookmarkEnd w:id="36"/>
    <w:bookmarkStart w:id="37" w:name="stage-1-ablation-of-ligandseek2-find"/>
    <w:p>
      <w:pPr>
        <w:pStyle w:val="2"/>
        <w:keepNext/>
        <w:ind w:firstLine="0"/>
      </w:pPr>
      <w:r>
        <w:t xml:space="preserve">Stage 1: Ablation of LigandSeek2-Find</w:t>
      </w:r>
    </w:p>
    <w:p>
      <w:pPr>
        <w:pStyle w:val="FirstParagraph"/>
        <w:spacing w:line="360" w:lineRule="auto" w:after="120"/>
        <w:ind w:firstLine="420"/>
      </w:pPr>
      <w: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LigandSeek2-Find model. The final model used receptor-atom binding probabilities predicted by the point-cloud branch for Gaussian candidate scoring, while other models used conventional inference without Gaussian candidate scoring.</w:t>
      </w:r>
    </w:p>
    <w:p>
      <w:pPr>
        <w:pStyle w:val="BodyText"/>
        <w:spacing w:line="360" w:lineRule="auto" w:after="120"/>
        <w:ind w:firstLine="420"/>
      </w:pPr>
      <w: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360" w:lineRule="auto" w:after="120"/>
        <w:ind w:firstLine="420"/>
      </w:pPr>
      <w: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LigandSeek2-Find, which has the best overall performance.</w:t>
      </w:r>
    </w:p>
    <w:p>
      <w:pPr>
        <w:pStyle w:val="TableCaption"/>
        <w:keepNext/>
        <w:keepLines/>
        <w:spacing w:line="240" w:lineRule="auto" w:after="120"/>
        <w:ind w:firstLine="0"/>
      </w:pPr>
      <w:r>
        <w:rPr>
          <w:rFonts w:ascii="华文仿宋" w:hAnsi="华文仿宋" w:eastAsia="华文仿宋"/>
          <w:sz w:val="18"/>
        </w:rPr>
        <w:t xml:space="preserve">Table 4 | Internal ablation of LigandSeek2-Find on the full test set.</w:t>
      </w:r>
    </w:p>
    <w:tbl>
      <w:tblPr>
        <w:tblW w:type="pct" w:w="5000"/>
        <w:tblLayout w:type="fixed"/>
        <w:tblCaption w:val="Table 4 | Internal ablation of LigandSeek2-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37"/>
    <w:bookmarkStart w:id="47" w:name="stage-3-end-to-end-top-k-success"/>
    <w:p>
      <w:pPr>
        <w:pStyle w:val="2"/>
        <w:keepNext/>
        <w:ind w:firstLine="0"/>
      </w:pPr>
      <w:r>
        <w:t xml:space="preserve">Stage 3: End-to-end top-k success</w:t>
      </w:r>
    </w:p>
    <w:bookmarkStart w:id="38" w:name="evaluation-protocol-top-k-success"/>
    <w:p>
      <w:pPr>
        <w:pStyle w:val="3"/>
        <w:keepNext/>
        <w:ind w:firstLine="0"/>
      </w:pPr>
      <w:r>
        <w:t xml:space="preserve">Evaluation protocol (top-k success)</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Top-k success evaluates two basic end-to-end capabilities of our pipeline. These comprise detection and identity matching across all ligand categories, and detection, identity matching and modelling of single-residue organic small molecules with no missing atoms.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38"/>
    <w:bookmarkStart w:id="42"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3018917"/>
            <wp:effectExtent b="0" l="0" r="0" t="0"/>
            <wp:docPr descr="Fig. 2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khLV8cIR4Mp2UNQuhCQ9dQuD5o60hHeXLMnVT5oCvQVBkV5S9NKi557yADXQvEtRx3mMzpArWaodIEgOhQ3YOxx-880PyfF8F2nu8ihh0eXP5xe__hUf9A4uz1---f23ttZuHm2xyIBVxRQyAg2TNP3KgrFp2u3vdHfSdB_smVM6Td---vPNL8_evnh--cfrNA1saXqdruIlEBX0oMWLojWWVdYquRM57QqunVTVScnNWa0R93W0O0s0m5dFZZPZ_TTKndNJHFuRQ8ltW2mocHOsDHLg0kzimTKZNkqAtbKalEXc63Q-jUsuqzQaENvI-M8jtyiAzZIpL5D385JPYBjcEy5eIgh7BqCPZAXW69dWs8RqLtAN8hSoQqLe3U4aNcuHdUEqXjvVcDZwssTEETaWxrqjYNppQLgTAgiRhj-NfKgqZ9GOWyEl2ly8-Anr_s_564tXP3q_wK3bs5LftJfvVfa6kfcViMnFqV-fenEYMvZfDP7Jqlzde8uEngTzEJ6jk_JJUj4a7w6YKSD0UE7arMeesgM8bqdagMkXcsJxZWCCNWcZOBBUfYZKJjOonHQL5q8GVqxNXlzw9T8U5SNSZ7c28sc5MFGjbJnN1Yw5XGswAo8GHwtTY6_pbu8wB9ax0f5nDLeMRPxMupzZWtArHNcFQ9ZM-uMNe5KOmXHnoNSOndbZBBwS3tpSbR5ymahj7KtN2yrfq22p8VgK2FeiLrGIy6blcoqjDKRu8MVuXHo3jSb8GfmPpdfShK999F4XwKOG4P5NBG7Q_Vjev394-Q7mzoY-bkpzu063zQ6xJ39yTL1o-SIMfFtLA3jjVw1NKGOwh7EbO1rodtcb2xab5WAwO-_DQw9KrnuIb3nNf_ypqli801P7iiQEi96UA3bknT8COGutAGs6j91CNquJZwrFos0ePG6sLX61stJBhhAB2inDrDO1cDWabHm24V5vBR-ahdpzquxhbxf44j30ZuPNtk7_8wbRNzgIrAaAqL99p9vvduZ3Ot17O93tp7taigR_m8fF3-txZYbPrg0DDQNyfQgHmlEGKxrzwa_cQMF9Z8yltnQxKcNqOpKCriUtxJfTkcHyWkFehknsh7DYz2BxM4LF6xNYTH0V06xqNJHanYzlhMp9YqFfmencxEFx0qGfXltXE0xEZsh-t4sSTWkoj5Y54tGs4rgKKQTIqYJHSpxZVqlhzqsJ7Bmj8FbzzNJjI77lhr9gQYmcV6ZrDgJrfK0Ip4XUh7IoyCPJ3j4IHBuSAbzDJI4R8xC9-P2NxQoUb_LRyuKwxU5nxypbn9h4Mh-bkr54cGweZjS2WM1qXk_bMHdM0H5zXRElCNbc2gaMKP9dkmqc_R6AKhkJiKY3Hdzy6ZEN2Ctpiab9SoXQ4yuRJ0XFaETe6ff6geVGFJ3LgZ8w12SeOC6LpXpdLqqmXlavzgV_B9H3_wIPtn1E" id="40" name="Picture"/>
            <a:graphic>
              <a:graphicData uri="http://schemas.openxmlformats.org/drawingml/2006/picture">
                <pic:pic>
                  <pic:nvPicPr>
                    <pic:cNvPr descr="C:/Users/15919/Desktop/论文草稿/temp/manuscript_figures_se5nrvxr/figure_000002.png" id="41" name="Picture"/>
                    <pic:cNvPicPr>
                      <a:picLocks noChangeArrowheads="1" noChangeAspect="1"/>
                    </pic:cNvPicPr>
                  </pic:nvPicPr>
                  <pic:blipFill>
                    <a:blip r:embed="rId39"/>
                    <a:stretch>
                      <a:fillRect/>
                    </a:stretch>
                  </pic:blipFill>
                  <pic:spPr bwMode="auto">
                    <a:xfrm>
                      <a:off x="0" y="0"/>
                      <a:ext cx="5731510" cy="301891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2</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t xml:space="preserve"> </w:t>
      </w:r>
      <m:oMath>
        <m:r>
          <m:t>K</m:t>
        </m:r>
        <m:r>
          <m:rPr>
            <m:sty m:val="p"/>
          </m:rPr>
          <m:t>=</m:t>
        </m:r>
        <m:r>
          <m:t>1</m:t>
        </m:r>
      </m:oMath>
      <w:r>
        <w:t xml:space="preserve"> </w:t>
      </w:r>
      <w:r>
        <w:t xml:space="preserve">and 93 entries (52.0%) within</w:t>
      </w:r>
      <w:r>
        <w:t xml:space="preserve"> </w:t>
      </w:r>
      <m:oMath>
        <m:r>
          <m:t>K</m:t>
        </m:r>
        <m:r>
          <m:rPr>
            <m:sty m:val="p"/>
          </m:rPr>
          <m:t>≤</m:t>
        </m:r>
        <m:r>
          <m:t>10</m:t>
        </m:r>
      </m:oMath>
      <w:r>
        <w:t xml:space="preserve">.</w:t>
      </w:r>
    </w:p>
    <w:bookmarkEnd w:id="42"/>
    <w:bookmarkStart w:id="46"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3462407"/>
            <wp:effectExtent b="0" l="0" r="0" t="0"/>
            <wp:docPr descr="Fig. 3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hVCpwSVtJJsxY2aGHBlOwhqF0KcAgW6hUFxR1rCXJIlufpJU6CXoCiK9JKilxY995QHaIDmkDcpmp_H6JBcyXLsFEFySBXU8Ip_Mx-HM8PhkF_XNHV5rUdqz3969PSXP5O9zt7zRw-e_fZrU2s3q9VJzYBVYgKZJ-r30vQzC8amabt7tX01TXfBnjil0_TFwz-e_fzdi_vfP__9cZpGtDQ9DydpAR4KOtCwBRWiobkGwSX4UUa140oeF9SclBrpvqhdm_Y0mRVC2t70elrLndO9JLEsh4LaptIgcXCkTEEdNs04mSqTaaMYWMvluBBJp9W6khSUy7S27dEGJhRHbi6ATHsTKhD3ZkHH0I_Te7pkQeFpTwD0AYpoQ_9Ka9qzmjKcBnH8GhCos9lKa1XzVil8Fy2dqjArcs_JZYZkI26sO4isrYoIR6IAUdL4U9X3lXQW-ahlnCPP0_s_ot7_fvT46cMfwrxArduxnF40lu9Ie54pzBWB_RTD0B6Gaj-uOJQo_J2lutofLhZ0J7JH8Zy3VFikX49G3wEzASTd5-Mm2SB3yZ7MGk41ABdfqAyE8MpTI-JtJaCBHDwrgaAhqeSMBBdBSgEMdYkL5y4nUpGCB-sS6lRhm14CF-V4Bwp7C7WQtZW8X2Jpic3VlLgciAbDQDrcRN6avmdriziwjgx2PyY4YvjCfLZkfnOOSkEQMOPM77k4xiWh-O8cFNqRYZmNwSHe2mrprH2LnjrEcFtFs-K1opkajTiDXcXKApW4iGUu93IUEdRtf3ItKcI0VU_8GYTCujkpKvF1kD70ReJBBXD9IgC33X5b3L--ffAK5NaZ_qRSzXpZt0n2fRCn-KHwLCcZSOWAHHAMXtkRwEljSbDSF2jrBHE0oO9PQMyb5MbtQNbf6SxQMtDKcgeRv2_mageDXQdDJMPt4kzJ_Bi2QDtlSOwpEfUl6Pdk87wf5yBdW2vUg7N_EB2dxehv4KuSG8DwvjzUmTLokg6HxhjV0YkdhPgenFiETUA4erjjPn54MDzG62Sag8HVnW6ovYLqDtLHHfTSfEqK-Stn-t_h_0sOP1xba9TXVvL30Y_Y2lqjTo5iwksMxYSYYHa3GjDxkAeycqb7WBbS5IFiJ-A-P1Si4UqJR30ZbjynacGlG7frZHj5X9ODS5hQ1Am7fFGeQCgzCsViOTVjn2bEtNuurabfSba9rqnr0injmWrJrcOjXTIEgRe6DnlyD6_geGF_cg8pleD-7JZIVOWmTulGO7guXgEBL-fe14bzeKUnFo9m-Ihk1ObwEuMQb4QNNWp0W5H77GHt3zy2a1_WSW35AFTrbm20u-3WbGPzSmeztXX3muash19lV_pads0MnZ57DKoQEOtNMJDN76IljHljBzMgaLgC51xbb0a_QjkZcOaN6Bvs08nAoAot87P0e0l4hEvCG1xSPcElqy9wid_JuExZIgvX7njEx37LH1voSjOZmSR2HLf830ZTyzEuhGeIvtnFmn-lw_pgsUY0zVKOU5GigNRr8ACDlSVS9XMqx7BjjMKMjmbWu6bHWwyEe0nsRMxT1pUJImpyTglDwfU-F8LP6OuBP1Yo3jwNYC7pqyOkuYWzhPEzjSVRchbPt6xGDQ-nh-jAKy92tDcbmcKXaDgyi290ZL58qwv9fhhmjjA_XrkrUjFPVnltRYxUoVyAamPdDVAF8RWk9vlsnJZODmykPa0tqP24VFH05LRKewJPDkS52u10I8qFVN4ue-GFcaVOe45yseherQtZ6cvqpV3w26598w_H_WZB" id="44" name="Picture"/>
            <a:graphic>
              <a:graphicData uri="http://schemas.openxmlformats.org/drawingml/2006/picture">
                <pic:pic>
                  <pic:nvPicPr>
                    <pic:cNvPr descr="C:/Users/15919/Desktop/论文草稿/temp/manuscript_figures_se5nrvxr/figure_000003.png" id="45" name="Picture"/>
                    <pic:cNvPicPr>
                      <a:picLocks noChangeArrowheads="1" noChangeAspect="1"/>
                    </pic:cNvPicPr>
                  </pic:nvPicPr>
                  <pic:blipFill>
                    <a:blip r:embed="rId43"/>
                    <a:stretch>
                      <a:fillRect/>
                    </a:stretch>
                  </pic:blipFill>
                  <pic:spPr bwMode="auto">
                    <a:xfrm>
                      <a:off x="0" y="0"/>
                      <a:ext cx="5731510" cy="346240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End-to-end modelling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PocketXMol-tuned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single-residue organic small molecules with no missing atoms across 77 PDB entries which contain at least one of them</w:t>
      </w:r>
      <w:r>
        <w:t xml:space="preserve"> </w:t>
      </w:r>
      <w:r>
        <w:t xml:space="preserve">(</w:t>
      </w:r>
      <w:r>
        <w:rPr>
          <w:rStyle w:val="MDFIGREF_eJyrrk7LTC9KTbNKNUrVLc5NzMnRLcgsSM3JzEutSdJJrq0FANjnDNA"/>
        </w:rPr>
        <w:t xml:space="preserve">Fig. 3b, c</w:t>
      </w:r>
      <w:r>
        <w:t xml:space="preserve">).</w:t>
      </w:r>
      <w:r>
        <w:t xml:space="preserve"> </w:t>
      </w:r>
      <w:r>
        <w:t xml:space="preserve">In all evaluations, PocketXMol-tuned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3b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3c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3a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46"/>
    <w:bookmarkEnd w:id="47"/>
    <w:bookmarkEnd w:id="4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9" Type="http://schemas.openxmlformats.org/officeDocument/2006/relationships/image" Target="media/rId39.png"/><Relationship Id="rId43" Type="http://schemas.openxmlformats.org/officeDocument/2006/relationships/image" Target="media/rId4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2026-10-19T13:25:34Z</dcterms:created>
  <dcterms:modified xsi:type="dcterms:W3CDTF">2026-10-19T13:25:34Z</dcterms:modified>
</cp:coreProperties>
</file>

<file path=docProps/custom.xml><?xml version="1.0" encoding="utf-8"?>
<Properties xmlns="http://schemas.openxmlformats.org/officeDocument/2006/custom-properties" xmlns:vt="http://schemas.openxmlformats.org/officeDocument/2006/docPropsVTypes"/>
</file>