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supplementary-information"/>
    <w:p>
      <w:pPr>
        <w:pStyle w:val="Heading1"/>
        <w:keepNext/>
        <w:spacing w:line="480" w:lineRule="auto"/>
        <w:ind w:firstLine="0"/>
      </w:pPr>
      <w:r>
        <w:rPr>
          <w:rFonts w:ascii="Times New Roman" w:hAnsi="Times New Roman"/>
          <w:sz w:val="24"/>
        </w:rPr>
        <w:t xml:space="preserve">Supplementary Information</w:t>
      </w:r>
    </w:p>
    <w:bookmarkStart w:id="12" w:name="Xc2290110b7f4c0597479abdf7dc370b81e4e2da"/>
    <w:p>
      <w:pPr>
        <w:pStyle w:val="Heading2"/>
        <w:keepNext/>
        <w:spacing w:line="480" w:lineRule="auto"/>
        <w:ind w:firstLine="0"/>
      </w:pPr>
      <w:r>
        <w:rPr>
          <w:rFonts w:ascii="Times New Roman" w:hAnsi="Times New Roman"/>
          <w:sz w:val="24"/>
        </w:rPr>
        <w:t xml:space="preserve">Stage 1: Comparison of LigandSeek2-Find with LigandSeek</w:t>
      </w:r>
    </w:p>
    <w:p>
      <w:pPr>
        <w:pStyle w:val="FirstParagraph"/>
        <w:spacing w:line="480" w:lineRule="auto" w:after="120"/>
        <w:ind w:firstLine="480"/>
      </w:pPr>
      <w:r>
        <w:rPr>
          <w:rFonts w:ascii="Times New Roman" w:hAnsi="Times New Roman"/>
          <w:sz w:val="24"/>
        </w:rPr>
        <w:t xml:space="preserve">Our first-generation model, LigandSeek, localised ligands in cryo-electron microscopy (cryo-EM) density maps without the Match and Build stages for identity matching and pose reconstruction. We compared its strongest version (LigandSeek-PV) with LigandSeek2-Find on the same full test set and small-molecule test subset. The evaluation definitions and presentation followed those used for the comparison with Emap2lig-Find.</w:t>
      </w:r>
    </w:p>
    <w:p>
      <w:pPr>
        <w:pStyle w:val="BodyText"/>
        <w:spacing w:line="480" w:lineRule="auto" w:after="120"/>
        <w:ind w:firstLine="480"/>
      </w:pPr>
      <w:r>
        <w:rPr>
          <w:rFonts w:ascii="Times New Roman" w:hAnsi="Times New Roman"/>
          <w:sz w:val="24"/>
        </w:rPr>
        <w:t xml:space="preserve">On the full test set, LigandSeek2-Find outperformed LigandSeek across all three detection metrics</w:t>
      </w:r>
      <w:r>
        <w:rPr>
          <w:rFonts w:ascii="Times New Roman" w:hAnsi="Times New Roman"/>
          <w:sz w:val="24"/>
        </w:rPr>
        <w:t xml:space="preserve"> </w:t>
      </w:r>
      <w:r>
        <w:rPr>
          <w:rFonts w:ascii="Times New Roman" w:hAnsi="Times New Roman"/>
          <w:sz w:val="24"/>
        </w:rPr>
        <w:t xml:space="preserve">(</w:t>
      </w:r>
      <w:r>
        <w:rPr>
          <w:rStyle w:val="MDFIGREF_eJyrrk7LTC9KTbPKyUxPzEspTk3NNtItK9ZFcA1rEmtrATN3D08"/>
          <w:rFonts w:ascii="Times New Roman" w:hAnsi="Times New Roman"/>
          <w:sz w:val="24"/>
        </w:rPr>
        <w:t xml:space="preserve">Fig. 1a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comprised semantic Dice and one-to-one PRAUC at coverage thresholds of 0.3 and 0.5. When using the deposited receptors, one-to-one</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was 0.517 for LigandSeek and 0.663 for LigandSeek2-Find. When using CryoAtom2-reconstructed (CA2) receptors, it increased from 0.440 to 0.541. Paired comparisons using CA2 receptors showed higher values for LigandSeek2-Find in 79 PDBs, equal values in 69, and higher values for LigandSeek in 31</w:t>
      </w:r>
      <w:r>
        <w:rPr>
          <w:rFonts w:ascii="Times New Roman" w:hAnsi="Times New Roman"/>
          <w:sz w:val="24"/>
        </w:rPr>
        <w:t xml:space="preserve"> </w:t>
      </w:r>
      <w:r>
        <w:rPr>
          <w:rFonts w:ascii="Times New Roman" w:hAnsi="Times New Roman"/>
          <w:sz w:val="24"/>
        </w:rPr>
        <w:t xml:space="preserve">(</w:t>
      </w:r>
      <w:r>
        <w:rPr>
          <w:rStyle w:val="MDFIGREF_eJyrrk7LTC9KTbPKyUxPzEspTk3NNtItK9ZFcA1rkmtrATN9D1E"/>
          <w:rFonts w:ascii="Times New Roman" w:hAnsi="Times New Roman"/>
          <w:sz w:val="24"/>
        </w:rPr>
        <w:t xml:space="preserve">Fig. 1c</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LigandSeek2-Find also showed an overall advantage in the small-molecule test subset. For deposited receptors, one-to-one</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increased from 0.621 to 0.701. For CA2 receptors, one-to-one</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increased from 0.568 to 0.573</w:t>
      </w:r>
      <w:r>
        <w:rPr>
          <w:rFonts w:ascii="Times New Roman" w:hAnsi="Times New Roman"/>
          <w:sz w:val="24"/>
        </w:rPr>
        <w:t xml:space="preserve"> </w:t>
      </w:r>
      <w:r>
        <w:rPr>
          <w:rFonts w:ascii="Times New Roman" w:hAnsi="Times New Roman"/>
          <w:sz w:val="24"/>
        </w:rPr>
        <w:t xml:space="preserve">(</w:t>
      </w:r>
      <w:r>
        <w:rPr>
          <w:rStyle w:val="MDFIGREF_eJyrrk7LTC9KTbPKyUxPzEspTk3NNtItK9ZFcA1rkmprATN6D1A"/>
          <w:rFonts w:ascii="Times New Roman" w:hAnsi="Times New Roman"/>
          <w:sz w:val="24"/>
        </w:rPr>
        <w:t xml:space="preserve">Fig. 1b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paired CA2 comparisons, LigandSeek2-Find performed better than, as well as, or worse than LigandSeek in 27, 46 and 21 PDBs, respectively</w:t>
      </w:r>
      <w:r>
        <w:rPr>
          <w:rFonts w:ascii="Times New Roman" w:hAnsi="Times New Roman"/>
          <w:sz w:val="24"/>
        </w:rPr>
        <w:t xml:space="preserve"> </w:t>
      </w:r>
      <w:r>
        <w:rPr>
          <w:rFonts w:ascii="Times New Roman" w:hAnsi="Times New Roman"/>
          <w:sz w:val="24"/>
        </w:rPr>
        <w:t xml:space="preserve">(</w:t>
      </w:r>
      <w:r>
        <w:rPr>
          <w:rStyle w:val="MDFIGREF_eJyrrk7LTC9KTbPKyUxPzEspTk3NNtItK9ZFcA1rUmprATOAD1I"/>
          <w:rFonts w:ascii="Times New Roman" w:hAnsi="Times New Roman"/>
          <w:sz w:val="24"/>
        </w:rPr>
        <w:t xml:space="preserve">Fig. 1d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Per-PDB precision and recall distributions are shown in</w:t>
      </w:r>
      <w:r>
        <w:rPr>
          <w:rFonts w:ascii="Times New Roman" w:hAnsi="Times New Roman"/>
          <w:sz w:val="24"/>
        </w:rPr>
        <w:t xml:space="preserve"> </w:t>
      </w:r>
      <w:r>
        <w:rPr>
          <w:rStyle w:val="MDFIGREF_eJyrrk7LTC9KTbPKyUxPzEspTk3NNtItK9ZFcA1rUnXSamsBUhcP5Q"/>
          <w:rFonts w:ascii="Times New Roman" w:hAnsi="Times New Roman"/>
          <w:sz w:val="24"/>
        </w:rPr>
        <w:t xml:space="preserve">Fig. 1e, f</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LigandSeek2-Find showed a much larger average advantage over LigandSeek across all ligands than within the small-molecule category alone. We attribute this difference mainly to the change in foreground block sampling during training. LigandSeek sampled ligands in a way resembling weighting by heavy-atom count. LigandSeek2-Find sampled all ligand instances within each PDB equally, regardless of heavy-atom count. Across all preprocessed data, small molecules contained 38.49 heavy atoms on average, compared with 17.02 across all ligand instances. The first-generation model therefore placed greater emphasis on small molecules during training.</w:t>
      </w:r>
    </w:p>
    <w:p>
      <w:pPr>
        <w:pStyle w:val="CaptionedFigure"/>
        <w:keepNext/>
        <w:spacing w:line="240" w:lineRule="auto" w:before="0" w:after="0"/>
        <w:ind w:firstLine="0"/>
        <w:jc w:val="center"/>
      </w:pPr>
      <w:r>
        <w:rPr>
          <w:rFonts w:ascii="Times New Roman" w:hAnsi="Times New Roman"/>
          <w:sz w:val="24"/>
        </w:rPr>
        <w:drawing>
          <wp:inline>
            <wp:extent cx="5120640" cy="5927466"/>
            <wp:effectExtent b="0" l="0" r="0" t="0"/>
            <wp:docPr descr="Fig. 1 | Ligand-region detection by LigandSeek2-Find and LigandSeek. LigandSeek2-Find and the first-generation LigandSeek are compared using deposited (GT) or CryoAtom2-reconstructed (CA2) receptor structures. The left column shows all ligands (179 PDB entries, 2,502 instances); the right shows only small molecules (94 PDB entries, 821 instances)." title="MDPPTFIG_eJztWM1uGzcQfhVCQIEYkLSrjSVXShrAleOggOsKjnPqFgLFpbSEuSRLUpKVpueih96KXvoCPfUBWqB9mjZ5jM6Qqx_XKWqkSAEFMSDvDGf4zfDv21l-1TDUl40Babz8_tc_fvwtORMzqoqnnF9l44Ubb9VO2xh_3WiShuVOywUvsNdwkOfPHLcuzzvdfqef5yfcXXlt8vzVz7_8-cM3r7779uVPv-d5hM_zO-ArWnHElsHm0LW1cK2t2kGvQjgj6Wq8FEUcQLfdEwotjBovtBpX1F7NDZg-bzxcDgy5rqRyg-VHeaP03gySxLGSV9S1teEKjFNtK-pBtbNkqW1hrGbcOaFmlUyyNO0lFRUqbzxCtJENj6d-JTlZDhZUAu4nFZ3xYQyPfsnaA32vODfn_NqH5q0S5TOhuNtYam05cIYyiA8BJDRBhOwwzRu1ejGX2ETnXtfBanfsKVQBblNhnT-LXdPaCSwxsziE-K-WT7XyDvpRx4SAPpei4o6c8yW50BVVIXR5rNxrbQE1QiDYJOiTIA7j2MIT0ny-mbHscJ3689g9JuJxscJwMHMDO47bBQfXUzFrkw55QeLGaVk-g7kmBfec4ayTyYrsbLHWKc4DaDuNbYwTV-HtTsB_GCbZgxxfO82-5CRsutaMK25pWJOtJ6GWE6YrA8-CzPFswdoZ7YQH_d6TywOiLRnalT72uspgeZlWzts5C_bhcXZAoI0bD26xfQ4ZtcklxJV86gFczitFXKmXjlApSU0b5F7nqE9GJx8TrrwV3DVJ1uymGRGATxUc9IMHIXsrZqWv-2slV8RVCFNpyRkcOADqH97E-TDr7KDc3F54zh4hKb1noHeEgegeHM3mHuT4v1HcW9kFkz2Y4SYZcdtCqjoRjBPHNNgCS2vFW1634EFGF8fPhoR64D6wlloCVeopSdv3g2fa7rbJY2uBbifUusCLpN_9AAjPQxgqHQHSCsRZcarI1OqKdNJmmqZkorUHjqYGKNvRyiB5AvQOd77nynebK9k-nJI9yHG_ubLYgxluAkdCYenr4lQ4KDuRrG4VuUvhy92CNtaw_1SxrmtVqFBvIRlukcMcmXAPXNqsQ9MJ1JxAqcBpjgNTk6N-0usn9zu7xBlId7e6Ra7OjpLDXgLFKBr_VrU2kYMNfiMtuFztAe9uvNdE-J6D32xn8304fXuQ435z8HQPZrhJPtvWpdDOhMPbA6Q2UJDOoEyl20J1XafemYIfU1YSo6F0hdYQGMcdquCaWlcPCNIcWZbCc8KEZbIumX0p2FWsgYEOBKNgj1VvIWhMMpTEX86p9QLYzlI14_9Ou18A724uKhvdTpb2DtPrbj87Ouz1Xjw0gg3gV7MyvRMrF5Yub9FxjQBYb4IB3fCiZQNj7wSip1P48DjRbF7B5EYky2W4FHKlMA73B45QLUaC4e5AhZ0vRpYU3DGMMhwk4X45CdfLSX27nOxeLieeVwaGqebQRRg_nooZ3gqNuVz0x9NynMSGcYp_nbZRMxiIKAC90wEJ75tBHq3HCEuzyWObUkyQ4gyeaXbliNLDEtf4GL6OliWnhUNAxFsbwsrHRsDcdt0JEFGTW5MwkcKcCikxIsqhfxToAPY296xEcQo-FxAl2G8oG6fkJh5qDt5kZLL8VBe7r0M6uJ7aCp-wcOQ6vgDJavMiDO1oxtczQ3u9XcGLoVu9a2vn-PG0BTXwYn3C4fMQBfDGciuGpYszF3230tob7UrH1JOtSAcSTimg9LtZN6K81gvX5XF4fe_IdOCpkOvmXVmqer6c2awL_B41vv4LG_OWDg" id="10" name="Picture"/>
            <a:graphic>
              <a:graphicData uri="http://schemas.openxmlformats.org/drawingml/2006/picture">
                <pic:pic>
                  <pic:nvPicPr>
                    <pic:cNvPr descr="C:/Users/15919/Desktop/论文草稿/temp/manuscript_figures_elv9_fh_/figure_000001.png" id="11" name="Picture"/>
                    <pic:cNvPicPr>
                      <a:picLocks noChangeArrowheads="1" noChangeAspect="1"/>
                    </pic:cNvPicPr>
                  </pic:nvPicPr>
                  <pic:blipFill>
                    <a:blip r:embed="rId9"/>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Times New Roman" w:hAnsi="Times New Roman"/>
          <w:b/>
          <w:bCs/>
          <w:sz w:val="24"/>
        </w:rPr>
        <w:t xml:space="preserve">Fig. 1 | Ligand-region detection by LigandSeek2-Find and LigandSeek.</w:t>
      </w:r>
      <w:r>
        <w:rPr>
          <w:rFonts w:ascii="Times New Roman" w:hAnsi="Times New Roman"/>
          <w:sz w:val="24"/>
        </w:rPr>
        <w:t xml:space="preserve"> </w:t>
      </w:r>
      <w:r>
        <w:rPr>
          <w:rFonts w:ascii="Times New Roman" w:hAnsi="Times New Roman"/>
          <w:sz w:val="24"/>
        </w:rPr>
        <w:t xml:space="preserve">LigandSeek2-Find and the first-generation LigandSeek are compared using deposited (GT) or CryoAtom2-reconstructed (CA2) receptor structures. The left column shows all ligands (179 PDB entries, 2,502 instances); the right shows only small molecules (94 PDB entries, 821 instances).</w:t>
      </w:r>
    </w:p>
    <w:p>
      <w:pPr>
        <w:pStyle w:val="ImageCaption"/>
        <w:keepNext/>
        <w:keepLines/>
        <w:spacing w:line="240" w:lineRule="auto"/>
        <w:ind w:firstLine="0"/>
      </w:pP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p>
    <w:p>
      <w:pPr>
        <w:pStyle w:val="ImageCaption"/>
        <w:keepNext/>
        <w:keepLines/>
        <w:spacing w:line="240" w:lineRule="auto"/>
        <w:ind w:firstLine="0"/>
      </w:pP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LigandSeek2-Find with LigandSeek using CryoAtom2-reconstructed receptors. LigandSeek2-Find performs better, comparably or worse on 79/69/31 PDB entries for all ligands and 27/46/21 for small molecules, respectively.</w:t>
      </w:r>
    </w:p>
    <w:p>
      <w:pPr>
        <w:pStyle w:val="ImageCaption"/>
        <w:keepNext w:val="0"/>
        <w:keepLines/>
        <w:spacing w:line="240" w:lineRule="auto"/>
        <w:ind w:firstLine="0"/>
      </w:pP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a threshold of 0.3 using CryoAtom2-reconstructed receptors. Each point represents one PDB entry; open white circles and thick bars indicate the median and interquartile range, respectively.</w:t>
      </w:r>
    </w:p>
    <w:p>
      <w:pPr>
        <w:pStyle w:val="TableCaption"/>
        <w:keepNext/>
        <w:spacing w:line="480" w:lineRule="auto"/>
        <w:ind w:firstLine="0"/>
        <w:pageBreakBefore/>
      </w:pPr>
      <w:r>
        <w:rPr>
          <w:rFonts w:ascii="Times New Roman" w:hAnsi="Times New Roman"/>
          <w:b/>
          <w:i w:val="0"/>
          <w:sz w:val="24"/>
        </w:rPr>
        <w:t xml:space="preserve">Table 3 | Stage 1 detection performance of two LigandSeek generations on the full test set and small-molecule test subset.</w:t>
      </w:r>
    </w:p>
    <w:tbl>
      <w:tblPr>
        <w:tblW w:type="pct" w:w="5000"/>
        <w:tblLayout w:type="fixed"/>
        <w:tblCaption w:val="Table 3 | Stage 1 detection performance of two LigandSeek generations on the full test set and small-molecule test subset."/>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9"/>
            <w:gridSpan w:val="7"/>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i/>
                <w:iCs/>
                <w:sz w:val="20"/>
              </w:rPr>
              <w:t xml:space="preserve">All ligands</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0.315</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0.558</w:t>
            </w:r>
          </w:p>
        </w:tc>
      </w:tr>
      <w:tr>
        <w:trPr>
          <w:cantSplit/>
        </w:trPr>
        <w:tc>
          <w:tcPr>
            <w:tcW w:type="dxa" w:w="9029"/>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i/>
                <w:iCs/>
                <w:sz w:val="20"/>
              </w:rPr>
              <w:t xml:space="preserve">Small molecules</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0.605</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values indicate the higher score in each column within each ligand group.</w:t>
      </w:r>
    </w:p>
    <w:bookmarkEnd w:id="12"/>
    <w:bookmarkStart w:id="13" w:name="stage-1-ablation-of-ligandseek2-find"/>
    <w:p>
      <w:pPr>
        <w:pStyle w:val="Heading2"/>
        <w:keepNext/>
        <w:spacing w:line="480" w:lineRule="auto"/>
        <w:ind w:firstLine="0"/>
      </w:pPr>
      <w:r>
        <w:rPr>
          <w:rFonts w:ascii="Times New Roman" w:hAnsi="Times New Roman"/>
          <w:sz w:val="24"/>
        </w:rPr>
        <w:t xml:space="preserve">Stage 1: Ablation of LigandSeek2-Find</w:t>
      </w:r>
    </w:p>
    <w:p>
      <w:pPr>
        <w:pStyle w:val="FirstParagraph"/>
        <w:spacing w:line="480" w:lineRule="auto" w:after="120"/>
        <w:ind w:firstLine="480"/>
      </w:pPr>
      <w:r>
        <w:rPr>
          <w:rFonts w:ascii="Times New Roman" w:hAnsi="Times New Roman"/>
          <w:sz w:val="24"/>
        </w:rP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LigandSeek2-Find model. The final model used receptor-atom binding probabilities predicted by the point-cloud branch for Gaussian candidate scoring, while other models used conventional inference without Gaussian candidate scoring.</w:t>
      </w:r>
    </w:p>
    <w:p>
      <w:pPr>
        <w:pStyle w:val="BodyText"/>
        <w:spacing w:line="480" w:lineRule="auto" w:after="120"/>
        <w:ind w:firstLine="480"/>
      </w:pPr>
      <w:r>
        <w:rPr>
          <w:rFonts w:ascii="Times New Roman" w:hAnsi="Times New Roman"/>
          <w:sz w:val="24"/>
        </w:rP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480" w:lineRule="auto" w:after="120"/>
        <w:ind w:firstLine="480"/>
      </w:pPr>
      <w:r>
        <w:rPr>
          <w:rFonts w:ascii="Times New Roman" w:hAnsi="Times New Roman"/>
          <w:sz w:val="24"/>
        </w:rP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LigandSeek2-Find, which has the best overall performance.</w:t>
      </w:r>
    </w:p>
    <w:p>
      <w:pPr>
        <w:pStyle w:val="TableCaption"/>
        <w:keepNext/>
        <w:spacing w:line="480" w:lineRule="auto"/>
        <w:ind w:firstLine="0"/>
        <w:pageBreakBefore/>
      </w:pPr>
      <w:r>
        <w:rPr>
          <w:rFonts w:ascii="Times New Roman" w:hAnsi="Times New Roman"/>
          <w:b/>
          <w:i w:val="0"/>
          <w:sz w:val="24"/>
        </w:rPr>
        <w:t xml:space="preserve">Table 4 | Internal ablation of LigandSeek2-Find on the full test set.</w:t>
      </w:r>
    </w:p>
    <w:tbl>
      <w:tblPr>
        <w:tblW w:type="pct" w:w="5000"/>
        <w:tblLayout w:type="fixed"/>
        <w:tblCaption w:val="Table 4 | Internal ablation of LigandSeek2-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13"/>
    <w:bookmarkStart w:id="27" w:name="X7447a9e5caf90b4ee554482f474f1df31125c00"/>
    <w:p>
      <w:pPr>
        <w:pStyle w:val="Heading2"/>
        <w:keepNext/>
        <w:spacing w:line="480" w:lineRule="auto"/>
        <w:ind w:firstLine="0"/>
      </w:pPr>
      <w:r>
        <w:rPr>
          <w:rFonts w:ascii="Times New Roman" w:hAnsi="Times New Roman"/>
          <w:sz w:val="24"/>
        </w:rPr>
        <w:t xml:space="preserve">Stage 3: End-to-end ligand instance completion</w:t>
      </w:r>
    </w:p>
    <w:bookmarkStart w:id="14" w:name="evaluation-protocol-completion"/>
    <w:p>
      <w:pPr>
        <w:pStyle w:val="Heading3"/>
        <w:keepNext/>
        <w:spacing w:line="480" w:lineRule="auto"/>
        <w:ind w:firstLine="0"/>
      </w:pPr>
      <w:r>
        <w:rPr>
          <w:rFonts w:ascii="Times New Roman" w:hAnsi="Times New Roman"/>
          <w:sz w:val="24"/>
        </w:rPr>
        <w:t xml:space="preserve">Evaluation protocol (completion)</w:t>
      </w:r>
    </w:p>
    <w:p>
      <w:pPr>
        <w:pStyle w:val="FirstParagraph"/>
        <w:spacing w:line="480" w:lineRule="auto" w:after="120"/>
        <w:ind w:firstLine="480"/>
      </w:pPr>
      <w:r>
        <w:rPr>
          <w:rFonts w:ascii="Times New Roman" w:hAnsi="Times New Roman"/>
          <w:sz w:val="24"/>
        </w:rPr>
        <w:t xml:space="preserve">Top-k success measures whether an end-to-end pipeline successfully processes at least one ligand instance in a complex within a specified attempt budget. We extended this assessment with the ligand completion ratio, which measures the</w:t>
      </w:r>
      <w:r>
        <w:rPr>
          <w:rFonts w:ascii="Times New Roman" w:hAnsi="Times New Roman"/>
          <w:sz w:val="24"/>
        </w:rPr>
        <w:t xml:space="preserve"> </w:t>
      </w:r>
      <w:r>
        <w:rPr>
          <w:rFonts w:ascii="Times New Roman" w:hAnsi="Times New Roman"/>
          <w:b/>
          <w:bCs/>
          <w:sz w:val="24"/>
        </w:rPr>
        <w:t xml:space="preserve">proportion</w:t>
      </w:r>
      <w:r>
        <w:rPr>
          <w:rFonts w:ascii="Times New Roman" w:hAnsi="Times New Roman"/>
          <w:sz w:val="24"/>
        </w:rPr>
        <w:t xml:space="preserve"> </w:t>
      </w:r>
      <w:r>
        <w:rPr>
          <w:rFonts w:ascii="Times New Roman" w:hAnsi="Times New Roman"/>
          <w:sz w:val="24"/>
        </w:rPr>
        <w:t xml:space="preserve">of ligand instances processed successfully at a specified relative attempt budget.</w:t>
      </w:r>
    </w:p>
    <w:p>
      <w:pPr>
        <w:pStyle w:val="BodyText"/>
        <w:spacing w:line="480" w:lineRule="auto" w:after="120"/>
        <w:ind w:firstLine="480"/>
      </w:pPr>
      <w:r>
        <w:rPr>
          <w:rFonts w:ascii="Times New Roman" w:hAnsi="Times New Roman"/>
          <w:sz w:val="24"/>
        </w:rPr>
        <w:t xml:space="preserve">For a PDB entry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ground-truth ligands, let</w:t>
      </w:r>
      <w:r>
        <w:rPr>
          <w:rFonts w:ascii="Times New Roman" w:hAnsi="Times New Roman"/>
          <w:sz w:val="24"/>
        </w:rPr>
        <w:t xml:space="preserve"> </w:t>
      </w:r>
      <m:oMath>
        <m:r>
          <m:t>f</m:t>
        </m:r>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denote the number of ligand instances successfully processed within</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charged attempts. Whereas top-k success uses the absolute number of charged attempts</w:t>
      </w:r>
      <w:r>
        <w:rPr>
          <w:rFonts w:ascii="Times New Roman" w:hAnsi="Times New Roman"/>
          <w:sz w:val="24"/>
        </w:rPr>
        <w:t xml:space="preserve"> </w:t>
      </w:r>
      <m:oMath>
        <m:r>
          <m:t>t</m:t>
        </m:r>
      </m:oMath>
      <w:r>
        <w:rPr>
          <w:rFonts w:ascii="Times New Roman" w:hAnsi="Times New Roman"/>
          <w:sz w:val="24"/>
        </w:rPr>
        <w:t xml:space="preserve">, ligand completion ratio uses the relative attempt budget</w:t>
      </w:r>
      <w:r>
        <w:rPr>
          <w:rFonts w:ascii="Times New Roman" w:hAnsi="Times New Roman"/>
          <w:sz w:val="24"/>
        </w:rPr>
        <w:t xml:space="preserve"> </w:t>
      </w:r>
      <m:oMath>
        <m:r>
          <m:t>ρ</m:t>
        </m:r>
        <m:r>
          <m:rPr>
            <m:sty m:val="p"/>
          </m:rPr>
          <m:t>=</m:t>
        </m:r>
        <m:f>
          <m:fPr>
            <m:type m:val="bar"/>
          </m:fPr>
          <m:num>
            <m:r>
              <m:t>t</m:t>
            </m:r>
          </m:num>
          <m:den>
            <m:r>
              <m:t>N</m:t>
            </m:r>
          </m:den>
        </m:f>
      </m:oMath>
      <w:r>
        <w:rPr>
          <w:rFonts w:ascii="Times New Roman" w:hAnsi="Times New Roman"/>
          <w:sz w:val="24"/>
        </w:rPr>
        <w:t xml:space="preserve">. Correspondingly, the binary outcome indicating whether any ligand instance was successfully processed becomes the fraction of successfully processed ligands,</w:t>
      </w:r>
      <w:r>
        <w:rPr>
          <w:rFonts w:ascii="Times New Roman" w:hAnsi="Times New Roman"/>
          <w:sz w:val="24"/>
        </w:rPr>
        <w:t xml:space="preserve"> </w:t>
      </w:r>
      <m:oMath>
        <m:f>
          <m:fPr>
            <m:type m:val="bar"/>
          </m:fPr>
          <m:num>
            <m:r>
              <m:t>f</m:t>
            </m:r>
            <m:r>
              <m:rPr>
                <m:sty m:val="p"/>
              </m:rPr>
              <m:t>(</m:t>
            </m:r>
            <m:r>
              <m:t>t</m:t>
            </m:r>
            <m:r>
              <m:rPr>
                <m:sty m:val="p"/>
              </m:rPr>
              <m:t>)</m:t>
            </m:r>
          </m:num>
          <m:den>
            <m:r>
              <m:t>N</m:t>
            </m:r>
          </m:den>
        </m:f>
      </m:oMath>
      <w:r>
        <w:rPr>
          <w:rFonts w:ascii="Times New Roman" w:hAnsi="Times New Roman"/>
          <w:sz w:val="24"/>
        </w:rPr>
        <w:t xml:space="preserve">, at relative budget</w:t>
      </w:r>
      <w:r>
        <w:rPr>
          <w:rFonts w:ascii="Times New Roman" w:hAnsi="Times New Roman"/>
          <w:sz w:val="24"/>
        </w:rPr>
        <w:t xml:space="preserve"> </w:t>
      </w:r>
      <m:oMath>
        <m:r>
          <m:t>ρ</m:t>
        </m:r>
      </m:oMath>
      <w:r>
        <w:rPr>
          <w:rFonts w:ascii="Times New Roman" w:hAnsi="Times New Roman"/>
          <w:sz w:val="24"/>
        </w:rPr>
        <w:t xml:space="preserve">. We report results for</w:t>
      </w:r>
      <w:r>
        <w:rPr>
          <w:rFonts w:ascii="Times New Roman" w:hAnsi="Times New Roman"/>
          <w:sz w:val="24"/>
        </w:rPr>
        <w:t xml:space="preserve"> </w:t>
      </w:r>
      <m:oMath>
        <m:r>
          <m:t>ρ</m:t>
        </m:r>
        <m:r>
          <m:rPr>
            <m:sty m:val="p"/>
          </m:rPr>
          <m:t>∈</m:t>
        </m:r>
        <m:r>
          <m:rPr>
            <m:sty m:val="p"/>
          </m:rPr>
          <m:t>[</m:t>
        </m:r>
        <m:r>
          <m:t>0</m:t>
        </m:r>
        <m:r>
          <m:rPr>
            <m:sty m:val="p"/>
          </m:rPr>
          <m:t>,</m:t>
        </m:r>
        <m:r>
          <m:t>300</m:t>
        </m:r>
        <m:r>
          <m:rPr>
            <m:sty m:val="p"/>
          </m:rPr>
          <m:t>%</m:t>
        </m:r>
        <m:r>
          <m:rPr>
            <m:sty m:val="p"/>
          </m:rPr>
          <m:t>]</m:t>
        </m:r>
      </m:oMath>
      <w:r>
        <w:rPr>
          <w:rFonts w:ascii="Times New Roman" w:hAnsi="Times New Roman"/>
          <w:sz w:val="24"/>
        </w:rPr>
        <w:t xml:space="preserve"> </w:t>
      </w:r>
      <w:r>
        <w:rPr>
          <w:rFonts w:ascii="Times New Roman" w:hAnsi="Times New Roman"/>
          <w:sz w:val="24"/>
        </w:rPr>
        <w:t xml:space="preserve">with rounding the actual attempt budget down to</w:t>
      </w:r>
      <w:r>
        <w:rPr>
          <w:rFonts w:ascii="Times New Roman" w:hAnsi="Times New Roman"/>
          <w:sz w:val="24"/>
        </w:rPr>
        <w:t xml:space="preserve"> </w:t>
      </w:r>
      <m:oMath>
        <m:r>
          <m:rPr>
            <m:sty m:val="p"/>
          </m:rPr>
          <m:t>⌊</m:t>
        </m:r>
        <m:r>
          <m:t>ρ</m:t>
        </m:r>
        <m:sSub>
          <m:e>
            <m:r>
              <m:t>N</m:t>
            </m:r>
          </m:e>
          <m:sub>
            <m:r>
              <m:t>p</m:t>
            </m:r>
          </m:sub>
        </m:sSub>
        <m:r>
          <m:rPr>
            <m:sty m:val="p"/>
          </m:rPr>
          <m:t>⌋</m:t>
        </m:r>
      </m:oMath>
      <w:r>
        <w:rPr>
          <w:rFonts w:ascii="Times New Roman" w:hAnsi="Times New Roman"/>
          <w:sz w:val="24"/>
        </w:rPr>
        <w:t xml:space="preserve"> </w:t>
      </w:r>
      <w:r>
        <w:rPr>
          <w:rFonts w:ascii="Times New Roman" w:hAnsi="Times New Roman"/>
          <w:sz w:val="24"/>
        </w:rPr>
        <w:t xml:space="preserve">charged attempts.</w:t>
      </w:r>
    </w:p>
    <w:p>
      <w:pPr>
        <w:pStyle w:val="BodyText"/>
        <w:spacing w:line="480" w:lineRule="auto" w:after="120"/>
        <w:ind w:firstLine="480"/>
      </w:pPr>
      <w:r>
        <w:rPr>
          <w:rFonts w:ascii="Times New Roman" w:hAnsi="Times New Roman"/>
          <w:sz w:val="24"/>
        </w:rPr>
        <w:t xml:space="preserve">Like top-k success, ligand completion ratio evaluates two basic end-to-end capabilities of our pipeline. These comprise detection and identity matching across all ligand categories, and detection, identity matching and modelling of single-residue organic small molecules with no missing atoms. Both metrics use the same accounting rules and test sets for each task. The all-ligand test set contains 179 PDBs and 2,502 ligand instances; the small-molecule subset contains 77 PDBs and 446 instances. Each task was also evaluated with deposited receptors (GT) and CryoAtom2-reconstructed receptors (CA2).</w:t>
      </w:r>
    </w:p>
    <w:bookmarkEnd w:id="14"/>
    <w:bookmarkStart w:id="18" w:name="Xbdcaae8a136983a9d1999feee734ec1bc4e6108"/>
    <w:p>
      <w:pPr>
        <w:pStyle w:val="Heading3"/>
        <w:keepNext/>
        <w:spacing w:line="480" w:lineRule="auto"/>
        <w:ind w:firstLine="0"/>
      </w:pPr>
      <w:r>
        <w:rPr>
          <w:rFonts w:ascii="Times New Roman" w:hAnsi="Times New Roman"/>
          <w:sz w:val="24"/>
        </w:rPr>
        <w:t xml:space="preserve">Fair Find–correct Match–Build comparison with Emap2lig</w:t>
      </w:r>
    </w:p>
    <w:p>
      <w:pPr>
        <w:pStyle w:val="FirstParagraph"/>
        <w:spacing w:line="480" w:lineRule="auto" w:after="120"/>
        <w:ind w:firstLine="480"/>
      </w:pPr>
      <w:r>
        <w:rPr>
          <w:rFonts w:ascii="Times New Roman" w:hAnsi="Times New Roman"/>
          <w:sz w:val="24"/>
        </w:rPr>
        <w:t xml:space="preserve">To compare the combined detection and modelling capabilities directly, we supplied both LigandSeek and Emap2lig with the correct ligand SMILES</w:t>
      </w:r>
      <w:r>
        <w:rPr>
          <w:rFonts w:ascii="Times New Roman" w:hAnsi="Times New Roman"/>
          <w:sz w:val="24"/>
        </w:rPr>
        <w:t xml:space="preserve"> </w:t>
      </w:r>
      <w:r>
        <w:rPr>
          <w:rFonts w:ascii="Times New Roman" w:hAnsi="Times New Roman"/>
          <w:sz w:val="24"/>
        </w:rPr>
        <w:t xml:space="preserve">(</w:t>
      </w:r>
      <w:r>
        <w:rPr>
          <w:rStyle w:val="MDFIGREF_eJyrrk7LTC9KTbMqLi0o0E3LzEvRTc4vKkpNLtHNTSxJztBNKs3MSamtBQBErw_K"/>
          <w:rFonts w:ascii="Times New Roman" w:hAnsi="Times New Roman"/>
          <w:sz w:val="24"/>
        </w:rPr>
        <w:t xml:space="preserve">Fig. 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We evaluated Find–correct Match–Build completion on the same 77 PDBs containing 446 single-residue organic small molecules with no missing atoms. LigandSeek used PocketXMol-tuned centre docking guided by predicted blob centroids, whereas Emap2lig used its native blob-guided Build model. Background candidates consumed one attempt, and out-of-scope foreground candidates were skipped without charge.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The gap between best-of-50 and top-1 completion showed that some correct poses had been generated but were not ranked first. With either receptor input, the combination of LigandSeek-Find and PocketXMol-tuned recovered more small-molecule instances within the same attempt budget.</w:t>
      </w:r>
    </w:p>
    <w:p>
      <w:pPr>
        <w:pStyle w:val="CaptionedFigure"/>
        <w:keepNext/>
        <w:spacing w:line="240" w:lineRule="auto" w:before="0" w:after="0"/>
        <w:ind w:firstLine="0"/>
        <w:jc w:val="center"/>
      </w:pPr>
      <w:r>
        <w:rPr>
          <w:rFonts w:ascii="Times New Roman" w:hAnsi="Times New Roman"/>
          <w:sz w:val="24"/>
        </w:rPr>
        <w:drawing>
          <wp:inline>
            <wp:extent cx="5029200" cy="6429510"/>
            <wp:effectExtent b="0" l="0" r="0" t="0"/>
            <wp:docPr descr="Fig. 2 | Find–Build completion of single-residue organic small molecules with no missing atoms, assuming correct ligand identiti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GttuG0X0V44swZPtdUzcKoZGatMGVUqiqKECCaNovHvsHWV2ZpiZteNSpPJQIW5PIF74AR4QPPAESPDAB_APlQr9DM7ZWTtOG6RSoKqFIzk7e25zbjPneDzvNawIeaMPjT---OnhVz8nu1JnrX0R0rx1rZQqe3j_m4c_fP_wux9-_-6LtrXhtNGEhkNv1AQz5tvpDwa3PTo_GGz0tja2BoPr6E-CsYPBo29__P3LDx999tEfX_8yGMQJBoOnmkGLAlm6L61tjZgjNc5hGlpFxTlkTibMpLdKzI6nMot29No9qRmTChuk0ceFcCelJdTbjdemfQunhdK-P70yaOQh2H6S-DTHQvi2sagJOTKO5qBXN06mxmXWmRS9l3pcqKTb6VxKCiH1oLHN0g5d9TgKM4Uw7U-EIrk3CzHGnTg90yVzCqY9QbQHeBoW1J2aZI6YE-1JjX6Bqd-mfW9FSroQuyIQ8Xc3SUL9eqtUDBJlMLXUmpw5yYtENpLOh73IOp-aMFHLaE78V493jQ6e-IRPpSSeN2SBHg5wCrdMIXQ1dX5V-wtxldQogoUNq_dhNdyJtlVPUvPOwh_dzbnqdyJ7VCRw4CpzWHNLKYhugkS6K8dt6MJd4MR6cO_zKqkgNYVVyBEAMwKOnsIWMcmsRKDQCi1T8IVQCgqjMCXHkZUy5KANFLKKN4hgCt8E4X1Z8Hudg6Ak8WcgM9RBBom-zYqGqO5_6sF_4CdYAR1vTNDNwAqNipytAy00DyFH8LQfwOXLcHj9mgf2_ebmJSBkEJoWZxsEBT5rwo1C2K7ihEAC5E3YqyJ1hHgSg7vjZuYqRbULFEi0wThilkSrnqTN0BovA2bLtG8SRmpAkeYwdqa0TaC9rlJpaAJJBmemHnxupoxobUQU-tAyo1avAyQT_augcBQqlJPjPJCxqizIVofvltIh5CgmsxbnH9zaP7oOPjiZBjVbgRiez7Oib2ivz-tdt3iqXdeMRjLF6yYtC1pg8z035KxHEYVWShR9H2ZQ1HraSs0KVj1rkrD9sgqvMiBE8EJG2O5eDH5w76OLEH9nzl_vn5OQ1G5YjZi9mDrSYlkBLVco-19ZZ3-MWRti3RkqM4w13lujM674wdAmDUglRQ6pwzvfMFR1QU4wlqh5c3C0f3PvxlF7uZyUtOXPexBL3QQcmvQEw1v7RrVCqanCpBRq2vYzghNZE6Y5OhR-UdCiCEne0iLQlDAuZaUg69yGayI94WrEpYYAVCJJWJoLN0aqilxmTFkVIJ9SxgGlGz5B7k-ktZi14bbOMJAlpBZzjoRUNFwUW7KaG2ACVGZTD2SoOaJS5dqwa9x6jc4X0sFKLYJVKAGBEzospaJFxy1hk3JSxXUxLDMiWQFbnlMS_vbBOgv_7UZEKWrxV0DRF64XefDpxxf3HI9l6V9soc804yfr_P-Xdaz7ChAhYGEpU2Dn7LBFxmZIl8WQ9mYzgkz6IDX1Rb5M-RxtVKqlDTyTE5mRrOH6m-2K9g1teN0hauDjx3g0k0qX8mlaPAOhZKAK3cJ3S0GdMwod-9GhKnGJJ5OioJZ7ialAgulK-gyskWwsU06kUXwqVBGS5CrBnByWnH5Esq79i0Tqdf7p9vnSSqVicx36eeg3OuvYv3A6PqfYd_9vsV-Fpml9erl88rjO0BdPx3hy8thPmfTfbjfeaUJj8TN6o9fpblFcTy9tdrd6G527r1mZ9ulT54l4qjzJnJg-8ZN6LYFkPYsMYgulw4UY98wJG0-TqJ3MpfXsRbZQTw5lyj7kl_RgcuggQ5_yLDv9pLoCkVQ3IJL6AkSyfP8h4e9KZKYuiUXacDySY1LWH6OabB2P8uMkAo47_NdtWz0mQ2RG0jcu04gvRND4cG4jhWahx5lKUUHBHtwz6YkHbXZyocd41TkzzVFkngWyvDnCW0xDBJLMM9alCaLU5AknDJW0u1IpnpHHFX8cCFqxDkOa83BENLdolgp_7mVBlJyXx2_ekoeH032TLV9pEP3TkSv4SYGD0yvVJQaYXZlfZqjgjOYrFinj63QlqpTJ6qytiav7FsmZUOt8eB1NATwgaj7Rj9OKyZ6PtGejOTXjtYmqJ2dD0Vca-KLJVq_bi1IupOK43KiuYCyNRT8Iqebg5bHStb-8XcSFPtuN9_8EvMw8hQ" id="16" name="Picture"/>
            <a:graphic>
              <a:graphicData uri="http://schemas.openxmlformats.org/drawingml/2006/picture">
                <pic:pic>
                  <pic:nvPicPr>
                    <pic:cNvPr descr="C:/Users/15919/Desktop/论文草稿/temp/manuscript_figures_elv9_fh_/figure_000002.png" id="17" name="Picture"/>
                    <pic:cNvPicPr>
                      <a:picLocks noChangeArrowheads="1" noChangeAspect="1"/>
                    </pic:cNvPicPr>
                  </pic:nvPicPr>
                  <pic:blipFill>
                    <a:blip r:embed="rId15"/>
                    <a:stretch>
                      <a:fillRect/>
                    </a:stretch>
                  </pic:blipFill>
                  <pic:spPr bwMode="auto">
                    <a:xfrm>
                      <a:off x="0" y="0"/>
                      <a:ext cx="5029200" cy="642951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2 | Find–Build completion of single-residue organic small molecules with no missing atoms, assuming correct ligand identities.</w:t>
      </w:r>
      <w:r>
        <w:rPr>
          <w:rFonts w:ascii="Times New Roman" w:hAnsi="Times New Roman"/>
          <w:sz w:val="24"/>
        </w:rPr>
        <w:t xml:space="preserve"> </w:t>
      </w:r>
      <w:r>
        <w:rPr>
          <w:rFonts w:ascii="Times New Roman" w:hAnsi="Times New Roman"/>
          <w:sz w:val="24"/>
        </w:rPr>
        <w:t xml:space="preserve">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rPr>
            <m:sty m:val="p"/>
          </m:rPr>
          <m:t>&lt;</m:t>
        </m:r>
        <m:r>
          <m:t>3</m:t>
        </m:r>
        <m:r>
          <m:t> </m:t>
        </m:r>
        <m:r>
          <m:rPr>
            <m:sty m:val="p"/>
          </m:rPr>
          <m:t>Å</m:t>
        </m:r>
      </m:oMath>
      <w:r>
        <w:rPr>
          <w:rFonts w:ascii="Times New Roman" w:hAnsi="Times New Roman"/>
          <w:sz w:val="24"/>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per PDB,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distinct successful instances divided by</w:t>
      </w:r>
      <w:r>
        <w:rPr>
          <w:rFonts w:ascii="Times New Roman" w:hAnsi="Times New Roman"/>
          <w:sz w:val="24"/>
        </w:rPr>
        <w:t xml:space="preserve"> </w:t>
      </w:r>
      <m:oMath>
        <m:r>
          <m:t>N</m:t>
        </m:r>
      </m:oMath>
      <w:r>
        <w:rPr>
          <w:rFonts w:ascii="Times New Roman" w:hAnsi="Times New Roman"/>
          <w:sz w:val="24"/>
        </w:rPr>
        <w:t xml:space="preserve">. Green lines and circles show the PDB-equal mean, and blue lines and diamonds show the median. Grey points and violins show PDB distributions at</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 </w:t>
      </w:r>
      <w:r>
        <w:rPr>
          <w:rFonts w:ascii="Times New Roman" w:hAnsi="Times New Roman"/>
          <w:sz w:val="24"/>
        </w:rPr>
        <w:t xml:space="preserve">budgets.</w:t>
      </w:r>
    </w:p>
    <w:bookmarkEnd w:id="18"/>
    <w:bookmarkStart w:id="22" w:name="X8b9bf2ea799954d7a0607b96c625e6fec49216c"/>
    <w:p>
      <w:pPr>
        <w:pStyle w:val="Heading3"/>
        <w:keepNext/>
        <w:spacing w:line="480" w:lineRule="auto"/>
        <w:ind w:firstLine="0"/>
      </w:pPr>
      <w:r>
        <w:rPr>
          <w:rFonts w:ascii="Times New Roman" w:hAnsi="Times New Roman"/>
          <w:sz w:val="24"/>
        </w:rPr>
        <w:t xml:space="preserve">Detection and identity matching across all ligand classes</w:t>
      </w:r>
    </w:p>
    <w:p>
      <w:pPr>
        <w:pStyle w:val="FirstParagraph"/>
        <w:spacing w:line="480" w:lineRule="auto" w:after="120"/>
        <w:ind w:firstLine="480"/>
      </w:pPr>
      <w:r>
        <w:rPr>
          <w:rFonts w:ascii="Times New Roman" w:hAnsi="Times New Roman"/>
          <w:sz w:val="24"/>
        </w:rPr>
        <w:t xml:space="preserve">For detection and identity matching across all ligand classes, increasing the relative attempt budget from 100% to 300% raised mean instance completion. Completion increased from 51.1% to 58.8% for CA2 and from 62.1% to 67.5% for</w:t>
      </w:r>
      <w:r>
        <w:rPr>
          <w:rFonts w:ascii="Times New Roman" w:hAnsi="Times New Roman"/>
          <w:sz w:val="24"/>
        </w:rPr>
        <w:t xml:space="preserve"> </w:t>
      </w:r>
      <w:r>
        <w:rPr>
          <w:rFonts w:ascii="Times New Roman" w:hAnsi="Times New Roman"/>
          <w:sz w:val="24"/>
        </w:rPr>
        <w:t xml:space="preserve">GT(</w:t>
      </w:r>
      <w:r>
        <w:rPr>
          <w:rStyle w:val="MDFIGREF_eJyrrk7LTC9KTbMqLi0o0E01StVNzs8tyEktyczP003MyamtBQDpjA1c"/>
          <w:rFonts w:ascii="Times New Roman" w:hAnsi="Times New Roman"/>
          <w:sz w:val="24"/>
        </w:rPr>
        <w:t xml:space="preserve">Fig. 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w:t>
      </w:r>
      <w:r>
        <w:rPr>
          <w:rFonts w:ascii="Times New Roman" w:hAnsi="Times New Roman"/>
          <w:sz w:val="24"/>
        </w:rPr>
        <w:t xml:space="preserve"> </w:t>
      </w:r>
      <w:r>
        <w:rPr>
          <w:rFonts w:ascii="Times New Roman" w:hAnsi="Times New Roman"/>
          <w:sz w:val="24"/>
        </w:rPr>
        <w:t xml:space="preserve">instances(</w:t>
      </w:r>
      <w:r>
        <w:rPr>
          <w:rStyle w:val="MDFIGREF_eJyrrk7LTC9KTbMqLi0o0E01StVNzs8tyEktyczP003MyamtBQDpjA1c"/>
          <w:rFonts w:ascii="Times New Roman" w:hAnsi="Times New Roman"/>
          <w:sz w:val="24"/>
        </w:rPr>
        <w:t xml:space="preserve">Fig. 3</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76907"/>
            <wp:effectExtent b="0" l="0" r="0" t="0"/>
            <wp:docPr descr="Fig. 3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F9rHDcQ_yrioNDC3e357IvxkhqcsxMKjjFp-tQtRqeduxXWSqqkvfOl6UOf-icp9KH0pdDH0qd8gBTSj9DvUOokH6Mz2r3zOUlLmjShBhvOOxr99NNoZlY70mcty0PRSlnryfe_nv74KNnr750--OnPR_dOH9x__NV3pw9_7lobTlpt1nLgjZpCTuhhmmUfeXA-y9YGW2tbWbYL_jgYm2VPHzx8_MOXT7_9-skvv2VZTZtl_8CreQnE6StrO9CHjjClVRCk0R2uFEEEt9Q8Krk7riyCP25dnaWWnZRK-3T2ftYqQrBpknhRQMl911jQ2Dk2ruQBm26SzIzLrTMCvJd6Uqqk3-tdSUouddbaJrZDFx8fhrkCNkunXCHvByWfwLCennDJAkHYYwC7LzX4qF9pzVJvucBpkEehCon6G72s1TRvVYpUvAqm4WzgNFLqHGFj6XzYr4f2GhD21AbUltb_Gvm60cHjOO6FlDjmtizBswOYsVum5DpOXexo_8K-yFpTENkotkdRHNZri080887SMf2Nhel36uG1IYFiEpdDllvMGXBTQOh1OemydXaX7em8E0wHcJlngWZmzJSccFTmEEBEHbVkDjrIMGcYR1GQR7lwxnuGmbEYIRT3HnyXzAi1MW_UP6_hBfa2bHwjMeQXwMNttgvWeBkgZw4E2GCcZ-_euP1el43abOjmZieYst_BTqN9cJV4Bjrc6SP2mgkFJqjOJeWiZ1ILVeXA1ja32OHuNYZp6SQughKw3x70-otslEjKNW4zXbYT2KjKJxAugN_OZ2aZmpv4YWg22PKlNlgzHksBu0ZUJTpnsb2Gguwoa9Kw_fsXV5MyzhNVSTPR_9UrbQZcFDHgMu45Zgb5ZTRr0mhEmXranRs7bTQz6uoQHzZx_-P-N-cC_3cJsdQfvEj972a8d6FS7a19Gl7DRlFwN8HdkocApQ2-zWYFOLgAlr-l7e3gMuX-Yxtx2w0FMF2VI3BUJgJ-Z-UIS_Rnv7coIZQH2q277HaxQHQWiNV603F8sIZ87LhYVKHY9pcJfZnQby6hl_kak5U7YL4SdCwdV0rNm_MPbbLxhOSwMg2qOf9A3mU3HIBmdIz0iZBOqKYIHakKGnUueYmVq2e-MLOY4fhKdODTiitWAq9PViUgTLex8vWWDlxTUPPIPmfWSHIVoabSIGfDRGVQLrFmlqOqropxAYPeO2221qP_mELvxFHrJNSl7zPHMjq-brc-wTP98izfGmyur2-sDU421jevbPU27161UqT4a7KZv1Q2547PnjvXNwzI9SocOCxUDpY07pVfKweKR4cV0npKF1qhnh5KQclCDXEwPXQYey9olmGaxNuVJF6uJM3dSrJ6tZLQFxiXqSscIm04GssJGuuPQE23jsbFUVIrjnr0t961eoILkTll7BpKdOuC8uFijRiapR1nJtUGcvLgvhHHnmkzLLiewI5zBr_9PPdIEvkWHTGbaiVyng1dmaBmTZ5zwkhJe10qRTOSHMfXAscCzwG-AiSOEXMLZ4n95xpLUHKej1reoodHs5smX7184enJ2JX0xMCxk_q6hc2X1y5RT91wEpig_iZdESUI1mRtA0ZUfC5IrfPhBpiSkYBoepvrafl039fYM2mBpn5tatOTM5GnSjO67doa9Ac1ywtRFJe9eFm0IvM0cKkW6lVZ6cZf3i7jgr_t1ud_AZFz6n0" id="20" name="Picture"/>
            <a:graphic>
              <a:graphicData uri="http://schemas.openxmlformats.org/drawingml/2006/picture">
                <pic:pic>
                  <pic:nvPicPr>
                    <pic:cNvPr descr="C:/Users/15919/Desktop/论文草稿/temp/manuscript_figures_elv9_fh_/figure_000003.png" id="21" name="Picture"/>
                    <pic:cNvPicPr>
                      <a:picLocks noChangeArrowheads="1" noChangeAspect="1"/>
                    </pic:cNvPicPr>
                  </pic:nvPicPr>
                  <pic:blipFill>
                    <a:blip r:embed="rId19"/>
                    <a:stretch>
                      <a:fillRect/>
                    </a:stretch>
                  </pic:blipFill>
                  <pic:spPr bwMode="auto">
                    <a:xfrm>
                      <a:off x="0" y="0"/>
                      <a:ext cx="5733415" cy="4376907"/>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End-to-end completion of ligand detection and identity matching across all ligand classes.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Deposited receptors (GT). b, CryoAtom2-reconstructed receptors (CA2). Both conditions include 179 PDB entries and 2,502 ligand instances. At budget</w:t>
      </w:r>
      <w:r>
        <w:rPr>
          <w:rFonts w:ascii="Times New Roman" w:hAnsi="Times New Roman"/>
          <w:sz w:val="24"/>
        </w:rPr>
        <w:t xml:space="preserve"> </w:t>
      </w:r>
      <m:oMath>
        <m:r>
          <m:t>ρ</m:t>
        </m:r>
      </m:oMath>
      <w:r>
        <w:rPr>
          <w:rFonts w:ascii="Times New Roman" w:hAnsi="Times New Roman"/>
          <w:sz w:val="24"/>
        </w:rPr>
        <w:t xml:space="preserve">, each PDB is allowed</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where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eligible ligand instances in that PDB. The ligand-instance completion ratio is the fraction of these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instances that are successfully detected and correctly matched. Green lines/circles and blue lines/diamonds show the PDB-equal mean and median, respectively. Grey points and violins show PDB distributions at 50%, 100%, 200% and 300% budgets.</w:t>
      </w:r>
    </w:p>
    <w:p>
      <w:pPr>
        <w:pStyle w:val="TableCaption"/>
        <w:keepNext/>
        <w:spacing w:line="480" w:lineRule="auto"/>
        <w:ind w:firstLine="0"/>
        <w:pageBreakBefore/>
      </w:pPr>
      <w:r>
        <w:rPr>
          <w:rFonts w:ascii="Times New Roman" w:hAnsi="Times New Roman"/>
          <w:b/>
          <w:i w:val="0"/>
          <w:sz w:val="24"/>
        </w:rPr>
        <w:t xml:space="preserve">Table 1 | All-ligand instance completion (%).</w:t>
      </w:r>
    </w:p>
    <w:tbl>
      <w:tblPr>
        <w:tblW w:type="pct" w:w="5000"/>
        <w:tblLayout w:type="fixed"/>
        <w:tblCaption w:val="Table 1 | All-ligand instance completion (%)."/>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5"/>
        <w:gridCol w:w="1896"/>
        <w:gridCol w:w="1896"/>
        <w:gridCol w:w="1896"/>
        <w:gridCol w:w="1896"/>
      </w:tblGrid>
      <w:tr>
        <w:trPr>
          <w:tblHeader w:val="on"/>
          <w:cantSplit/>
        </w:trPr>
        <w:tc>
          <w:tcPr>
            <w:tcW w:type="dxa" w:w="1445"/>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b w:val="0"/>
                <w:sz w:val="20"/>
              </w:rPr>
              <w:t xml:space="preserve">Receptor</w:t>
            </w:r>
          </w:p>
        </w:tc>
        <w:tc>
          <w:tcPr>
            <w:tcW w:type="dxa" w:w="3792"/>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3792"/>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445"/>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1896"/>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GT</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67.5</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71.4</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CA2</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51.1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58.8</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60.2</w:t>
            </w:r>
          </w:p>
        </w:tc>
      </w:tr>
    </w:tbl>
    <w:p>
      <w:pPr>
        <w:pStyle w:val="MDTableNote"/>
        <w:spacing w:line="240" w:lineRule="auto" w:before="80" w:after="120"/>
        <w:keepNext w:val="0"/>
        <w:keepLines/>
        <w:pageBreakBefore w:val="0"/>
        <w:ind w:firstLine="0"/>
      </w:pPr>
      <w:r>
        <w:rPr>
          <w:rFonts w:ascii="Times New Roman" w:hAnsi="Times New Roman"/>
          <w:sz w:val="18"/>
        </w:rPr>
        <w:t xml:space="preserve">Means are PDB-equal macro means; medians were calculated across the same 179 PDBs.</w:t>
      </w:r>
    </w:p>
    <w:bookmarkEnd w:id="22"/>
    <w:bookmarkStart w:id="26" w:name="Xbc527d2baf04e5fbd153d8c9fd2910acde48dc6"/>
    <w:p>
      <w:pPr>
        <w:pStyle w:val="Heading3"/>
        <w:keepNext/>
        <w:spacing w:line="480" w:lineRule="auto"/>
        <w:ind w:firstLine="0"/>
      </w:pPr>
      <w:r>
        <w:rPr>
          <w:rFonts w:ascii="Times New Roman" w:hAnsi="Times New Roman"/>
          <w:sz w:val="24"/>
        </w:rPr>
        <w:t xml:space="preserve">Modelling organic small molecules with one residue and no missing atoms</w:t>
      </w:r>
    </w:p>
    <w:p>
      <w:pPr>
        <w:pStyle w:val="FirstParagraph"/>
        <w:spacing w:line="480" w:lineRule="auto" w:after="120"/>
        <w:ind w:firstLine="480"/>
      </w:pPr>
      <w:r>
        <w:rPr>
          <w:rFonts w:ascii="Times New Roman" w:hAnsi="Times New Roman"/>
          <w:sz w:val="24"/>
        </w:rP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480" w:lineRule="auto" w:after="120"/>
        <w:ind w:firstLine="480"/>
      </w:pPr>
      <w:r>
        <w:rPr>
          <w:rFonts w:ascii="Times New Roman" w:hAnsi="Times New Roman"/>
          <w:sz w:val="24"/>
        </w:rPr>
        <w:t xml:space="preserve">For top-1 poses with RMSD &lt;3 Å, mean completion for CA2 was 47.7% and 53.0% at 100% and 300% budgets, respectively. The corresponding GT values were 60.1% and 61.1%</w:t>
      </w:r>
      <w:r>
        <w:rPr>
          <w:rFonts w:ascii="Times New Roman" w:hAnsi="Times New Roman"/>
          <w:sz w:val="24"/>
        </w:rPr>
        <w:t xml:space="preserve"> </w:t>
      </w:r>
      <w:r>
        <w:rPr>
          <w:rFonts w:ascii="Times New Roman" w:hAnsi="Times New Roman"/>
          <w:sz w:val="24"/>
        </w:rPr>
        <w:t xml:space="preserve">(</w:t>
      </w:r>
      <w:r>
        <w:rPr>
          <w:rStyle w:val="MDFIGREF_eJyrrk7LTC9KTbMqLi0o0E01StVNzs8tyEktyczP0y3OTczJqa0FAAWgDjw"/>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4 | End-to-end completion of single-residue organic small molecules with no missing atom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F9rG0cQ_yqDIKUBSSfLUlIrqcGR7VCwg3BSKPSKWd2NdIv3dre7e5KVptA-lP5JCoWWvhT6WPqUD5BC-tAP0O8Q6iQfo7N7J1mO4xLSNNQQgXSzuzO_nZ35aW9nP6lp5rJaD2pPfvjt6KeH0VZ76-j-z389vHt0_97jr747evBLU2t3WKtDzaBVYoKp1-734vh9i8bG8Up3bWUtjjfRHjil4_jp_QePf_zy6bdfP_n19zguYeP4H3Aly9Fj2kLrBraxkahcC3RcyYbNmRBeKWHad-znzBwUmtQ_rF2d9jQc5kLa3vTduJY5p3tRZJMMc2abSqOkwZEyOXPUNONoqkyqjUrQWi7HuYjardalKGdcxrV1jzYw4XHTzQTCtDdhgnDfy9kY--X0Xi-aa3jdA0S9wyXa0L_UmvasZglNQziCugio3WnFtaq5VwjfxQqnKsxK3VtymZLaiBvrdkrTVqVEI6UDpaflTyVvK-ks2TGbcE42t3iOFm7gFPZUzmSYOtuQ9rljAbWE8GDD0B4GsV-uLTzJzduLwLQ7c9dvl-alI87nJCzHe66JNWgmSKrbfNyEDtyBLZk2nGogLfM41aBG4NMisEEmPC0QKGdM8gQCCSBXAhMKG62RuwykgpyHRAJzKrdN74IrHflPY_MvIgDnwMfrt-qQolaWO0zBYILaKWPhbYEjd_EK9DfadeibmdqgqLcpV4mS1pkieUbd8HHmLjaB1Yd1oI2hsQJ7uzc34S3hrkAb_vjiCiT19PTQahjC-qgOQ7SuoUaNbuuU6bienTHu7Zuww4k66U3EA9imP82jz77fZS7J6Hmt4CIFzTX6_yFMmQWkSBXM-080vHwZBpvXAKUznGLsCWp4oFmncwlEwAVOS2aSNpI6FGFsoJIDdB_sKtFwhSQk2neAgoiwFCBieRO2lTkHLDjJ1LynKHxZtdnmL7TZqtGIJ7ipkiKnWM63Wpd5P_IS1K3fuBrlYZrQE1XznI-g_D99JFaP-ZBeXwuKkgTIkmxB6xn9c4p0jO4cLOc18fDPz98Q8RX7SK9sNbXnwNHXQrHgRN6zbgZ55acOboa-kneDioyP7n1zgo1nsfSMXfSlZrz7hv-v2MckY2ZMBwHmHOaamAK3Mlw-7xpGD-AWHPXLIh-iCWfgIvEFyqgQS1t4yic8JbDh7Bys_M3Z4TlBacJ1gyjBHzptlHCT-ErGnyWHgkqdsjvlLFcytWAzNQ28oHd2Az8uGJU_yGTQz5HUZJ0OllYjHSonKGZ0IDY4owMn94v1WhOuCHMJKeV0COXDwnOPVBx0WxfqsNLyvxTgC8Fq1Qvl4eCZgsoXneu1j6gSX1Tgte7l1dXOSvews9Z6Z6XbunNV86RH3yrX7IVynRo2PVWNVwiE9TIYZOYKgwsY89KkMyhYCFjGtfUJ9yuUkwFPfLp9I7kxGRgqmGziZ-n3onArEoVLkai6E4mWr0Qivx3QMmVBJly7_REfk7N2H8VkbX-U7Udlx37LfzpNLce0EJ56znVJ8rclJA_ma6TULPw4dql0kPkI7lBpYqlc7mdMjnHDGDXNkKWWQFY83nwgsKnsJMxj06UJStToVBCGguttLoSf0cvBvhQYvW0MUunlxRHp7NEsYfxEY6EUncTzLaspwsPprkqXr0xY73Bkcv-kxMFheUkCs8VlSej3w3joIPHjFV1JK_FqFWsrZdIKzzmoNtZdR5WDF0ibyjhXTssmO7bUPZbm2n5cqtL16FhkPSHB31GtdX0Oz9TyedkKVzxLMus5xsW8e1kWsoqX1Yu80He99unfWOfS-Q" id="24" name="Picture"/>
            <a:graphic>
              <a:graphicData uri="http://schemas.openxmlformats.org/drawingml/2006/picture">
                <pic:pic>
                  <pic:nvPicPr>
                    <pic:cNvPr descr="C:/Users/15919/Desktop/论文草稿/temp/manuscript_figures_elv9_fh_/figure_000004.png" id="25" name="Picture"/>
                    <pic:cNvPicPr>
                      <a:picLocks noChangeArrowheads="1" noChangeAspect="1"/>
                    </pic:cNvPicPr>
                  </pic:nvPicPr>
                  <pic:blipFill>
                    <a:blip r:embed="rId23"/>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End-to-end completion of single-residue organic small molecules with no missing atoms.</w:t>
      </w:r>
      <w:r>
        <w:rPr>
          <w:rFonts w:ascii="Times New Roman" w:hAnsi="Times New Roman"/>
          <w:sz w:val="24"/>
        </w:rPr>
        <w:t xml:space="preserve"> </w:t>
      </w:r>
      <w:r>
        <w:rPr>
          <w:rFonts w:ascii="Times New Roman" w:hAnsi="Times New Roman"/>
          <w:sz w:val="24"/>
        </w:rPr>
        <w:t xml:space="preserve">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instances in each PDB entry,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The completion ratio is the number of successful instances divided by</w:t>
      </w:r>
      <w:r>
        <w:rPr>
          <w:rFonts w:ascii="Times New Roman" w:hAnsi="Times New Roman"/>
          <w:sz w:val="24"/>
        </w:rPr>
        <w:t xml:space="preserve"> </w:t>
      </w:r>
      <m:oMath>
        <m:r>
          <m:t>N</m:t>
        </m:r>
      </m:oMath>
      <w:r>
        <w:rPr>
          <w:rFonts w:ascii="Times New Roman" w:hAnsi="Times New Roman"/>
          <w:sz w:val="24"/>
        </w:rPr>
        <w:t xml:space="preserve">. Green lines/circles and blue lines/diamonds show the PDB-equal mean and median, respectively; grey points and violins show the distributions at 50%, 100%, 200% and 300% budgets.</w:t>
      </w:r>
    </w:p>
    <w:p>
      <w:pPr>
        <w:pStyle w:val="TableCaption"/>
        <w:keepNext/>
        <w:spacing w:line="480" w:lineRule="auto"/>
        <w:ind w:firstLine="0"/>
        <w:pageBreakBefore/>
      </w:pPr>
      <w:r>
        <w:rPr>
          <w:rFonts w:ascii="Times New Roman" w:hAnsi="Times New Roman"/>
          <w:b/>
          <w:i w:val="0"/>
          <w:sz w:val="24"/>
        </w:rPr>
        <w:t xml:space="preserve">Table 2 | Small-molecule instance completion (%).</w:t>
      </w:r>
    </w:p>
    <w:tbl>
      <w:tblPr>
        <w:tblW w:type="pct" w:w="5000"/>
        <w:tblLayout w:type="fixed"/>
        <w:tblCaption w:val="Table 2 | Small-molecule instance completion (%)."/>
        <w:tblDescription w:val="MDBOOKTABS_{&quot;headers&quot;:3,&quot;groups&quot;:[],&quot;widths&quot;:[0.14,0.1,0.095,0.095,0.095,0.095,0.095,0.095,0.095,0.095],&quot;outline&quot;:&quot;box&quot;,&quot;col-rules&quot;:&quot;2,6&quot;,&quot;pagination&quot;:&quot;rows&quot;,&quot;page-break&quot;:&quot;before&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8"/>
        <w:gridCol w:w="858"/>
        <w:gridCol w:w="858"/>
        <w:gridCol w:w="858"/>
        <w:gridCol w:w="858"/>
        <w:gridCol w:w="858"/>
        <w:gridCol w:w="858"/>
        <w:gridCol w:w="858"/>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Pose</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RMSD</w:t>
            </w:r>
          </w:p>
        </w:tc>
        <w:tc>
          <w:tcPr>
            <w:tcW w:type="dxa" w:w="3431"/>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w:t>
            </w:r>
          </w:p>
        </w:tc>
        <w:tc>
          <w:tcPr>
            <w:tcW w:type="dxa" w:w="3431"/>
            <w:gridSpan w:val="4"/>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44.9</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25.0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47.7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33.3</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53.0</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49.1</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55.9</w:t>
            </w:r>
          </w:p>
        </w:tc>
        <w:tc>
          <w:tcPr>
            <w:tcW w:type="dxa" w:w="858"/>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83.3</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63.5</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64.4</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54.7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62.8</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66.9</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bl>
    <w:p>
      <w:pPr>
        <w:pStyle w:val="MDTableNote"/>
        <w:spacing w:line="240" w:lineRule="auto" w:before="80" w:after="120"/>
        <w:keepNext w:val="0"/>
        <w:keepLines/>
        <w:pageBreakBefore w:val="0"/>
        <w:ind w:firstLine="0"/>
      </w:pPr>
      <w:r>
        <w:rPr>
          <w:rFonts w:ascii="Times New Roman" w:hAnsi="Times New Roman"/>
          <w:sz w:val="18"/>
        </w:rPr>
        <w:t xml:space="preserve">Means and medians were calculated across the same 77 PDBs.</w:t>
      </w:r>
    </w:p>
    <w:bookmarkEnd w:id="26"/>
    <w:bookmarkEnd w:id="27"/>
    <w:bookmarkEnd w:id="28"/>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5" Type="http://schemas.openxmlformats.org/officeDocument/2006/relationships/image" Target="media/rId15.png"/><Relationship Id="rId19" Type="http://schemas.openxmlformats.org/officeDocument/2006/relationships/image" Target="media/rId19.png"/><Relationship Id="rId23" Type="http://schemas.openxmlformats.org/officeDocument/2006/relationships/image" Target="media/rId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2026-10-17T14:32:16Z</dcterms:created>
  <dcterms:modified xsi:type="dcterms:W3CDTF">2026-10-17T14:32:16Z</dcterms:modified>
</cp:coreProperties>
</file>

<file path=docProps/custom.xml><?xml version="1.0" encoding="utf-8"?>
<Properties xmlns="http://schemas.openxmlformats.org/officeDocument/2006/custom-properties" xmlns:vt="http://schemas.openxmlformats.org/officeDocument/2006/docPropsVTypes"/>
</file>