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upplementary-information"/>
    <w:p>
      <w:pPr>
        <w:pStyle w:val="Heading1"/>
        <w:keepNext/>
        <w:spacing w:line="480" w:lineRule="auto"/>
        <w:ind w:firstLine="0"/>
      </w:pPr>
      <w:r>
        <w:rPr>
          <w:rFonts w:ascii="Times New Roman" w:hAnsi="Times New Roman"/>
          <w:sz w:val="24"/>
        </w:rPr>
        <w:t xml:space="preserve">Supplementary Information</w:t>
      </w:r>
    </w:p>
    <w:bookmarkStart w:id="12" w:name="X79fe1fd3a7459b466bc6556a933066c252dbaf3"/>
    <w:p>
      <w:pPr>
        <w:pStyle w:val="Heading2"/>
        <w:keepNext/>
        <w:spacing w:line="480" w:lineRule="auto"/>
        <w:ind w:firstLine="0"/>
      </w:pPr>
      <w:r>
        <w:rPr>
          <w:rFonts w:ascii="Times New Roman" w:hAnsi="Times New Roman"/>
          <w:sz w:val="24"/>
        </w:rPr>
        <w:t xml:space="preserve">Additional analyses of ligand-region detection</w:t>
      </w:r>
    </w:p>
    <w:p>
      <w:pPr>
        <w:pStyle w:val="FirstParagraph"/>
        <w:spacing w:line="480" w:lineRule="auto" w:after="120"/>
        <w:ind w:firstLine="480"/>
      </w:pPr>
      <w:r>
        <w:rPr>
          <w:rFonts w:ascii="Times New Roman" w:hAnsi="Times New Roman"/>
          <w:sz w:val="24"/>
        </w:rPr>
        <w:t xml:space="preserve">We evaluated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ascii="Times New Roman" w:hAnsi="Times New Roman"/>
          <w:sz w:val="24"/>
        </w:rPr>
        <w:t xml:space="preserve">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0.152 for Emap2lig-Find</w:t>
      </w:r>
      <w:r>
        <w:rPr>
          <w:rFonts w:ascii="Times New Roman" w:hAnsi="Times New Roman"/>
          <w:sz w:val="24"/>
        </w:rPr>
        <w:t xml:space="preserve"> </w:t>
      </w:r>
      <w:r>
        <w:rPr>
          <w:rFonts w:ascii="Times New Roman" w:hAnsi="Times New Roman"/>
          <w:sz w:val="24"/>
        </w:rPr>
        <w:t xml:space="preserve">(</w:t>
      </w:r>
      <w:r>
        <w:rPr>
          <w:rStyle w:val="MDFIGREF_eJyrrk7LTC9KTbMqLklMTzXUTUxJySzJzM9LzNFNBBKVxZnFNYm1tQAy8Q-X"/>
          <w:rFonts w:ascii="Times New Roman" w:hAnsi="Times New Roman"/>
          <w:sz w:val="24"/>
        </w:rPr>
        <w:t xml:space="preserve">Fig. 1a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small-molecule scores were 0.605, 0.499 and 0.337, preserving the same advantage</w:t>
      </w:r>
      <w:r>
        <w:rPr>
          <w:rFonts w:ascii="Times New Roman" w:hAnsi="Times New Roman"/>
          <w:sz w:val="24"/>
        </w:rPr>
        <w:t xml:space="preserve"> </w:t>
      </w:r>
      <w:r>
        <w:rPr>
          <w:rFonts w:ascii="Times New Roman" w:hAnsi="Times New Roman"/>
          <w:sz w:val="24"/>
        </w:rPr>
        <w:t xml:space="preserve">(</w:t>
      </w:r>
      <w:r>
        <w:rPr>
          <w:rStyle w:val="MDFIGREF_eJyrrk7LTC9KTbMqLklMTzXUTUxJySzJzM9LzNFNBBKVxZnFNSm1tQAy-g-a"/>
          <w:rFonts w:ascii="Times New Roman" w:hAnsi="Times New Roman"/>
          <w:sz w:val="24"/>
        </w:rPr>
        <w:t xml:space="preserve">Fig. 1d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Instance-level precision and recall also remained higher with both LigandSeek-Find receptor inputs under this stricter criterion</w:t>
      </w:r>
      <w:r>
        <w:rPr>
          <w:rFonts w:ascii="Times New Roman" w:hAnsi="Times New Roman"/>
          <w:sz w:val="24"/>
        </w:rPr>
        <w:t xml:space="preserve"> </w:t>
      </w:r>
      <w:r>
        <w:rPr>
          <w:rFonts w:ascii="Times New Roman" w:hAnsi="Times New Roman"/>
          <w:sz w:val="24"/>
        </w:rPr>
        <w:t xml:space="preserve">(</w:t>
      </w:r>
      <w:r>
        <w:rPr>
          <w:rStyle w:val="MDFIGREF_eJyrrk7LTC9KTbMqLklMTzXUTUxJySzJzM9LzNFNBBKVxZnFNUk6qbW1AFIPECk"/>
          <w:rFonts w:ascii="Times New Roman" w:hAnsi="Times New Roman"/>
          <w:sz w:val="24"/>
        </w:rPr>
        <w:t xml:space="preserve">Fig. 1b, 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Compared with the results at the 0.3 threshold</w:t>
      </w:r>
      <w:r>
        <w:rPr>
          <w:rFonts w:ascii="Times New Roman" w:hAnsi="Times New Roman"/>
          <w:sz w:val="24"/>
        </w:rPr>
        <w:t xml:space="preserve"> </w:t>
      </w:r>
      <w:r>
        <w:rPr>
          <w:rFonts w:ascii="Times New Roman" w:hAnsi="Times New Roman"/>
          <w:sz w:val="24"/>
        </w:rPr>
        <w:t xml:space="preserve">(</w:t>
      </w:r>
      <w:r>
        <w:rPr>
          <w:rStyle w:val="MDFIGREF_eJyrVsrJLEktSsxRslJQqq5OKUpMK9HLTalJy0wvSk2zKi5JTE811M0vAynJ0S1ILUrLL8pNzEtO1Sgz1KxJ1EmprVXSUVAqzi8tSk4FmeFspR9anFpUrG9oamloqe-SWpxdkl-g_2LdrmfT2l_0dj5fsV8fZotSLQCLJzBH"/>
          <w:rFonts w:ascii="Times New Roman" w:hAnsi="Times New Roman"/>
          <w:sz w:val="24"/>
        </w:rPr>
        <w:t xml:space="preserve">Fig. 5a,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relative advantage of LigandSeek-Find over Emap2lig-Find became even more pronounced as the threshold was tightened from 0.3 to 0.5.</w:t>
      </w:r>
    </w:p>
    <w:p>
      <w:pPr>
        <w:pStyle w:val="BodyText"/>
        <w:spacing w:line="480" w:lineRule="auto" w:after="120"/>
        <w:ind w:firstLine="480"/>
      </w:pPr>
      <w:r>
        <w:rPr>
          <w:rFonts w:ascii="Times New Roman" w:hAnsi="Times New Roman"/>
          <w:sz w:val="24"/>
        </w:rPr>
        <w:t xml:space="preserve">To assess detection under limited candidate counts, we measured the fraction of distinct ligand instances recovered from ranked candidates</w:t>
      </w:r>
      <w:r>
        <w:rPr>
          <w:rFonts w:ascii="Times New Roman" w:hAnsi="Times New Roman"/>
          <w:sz w:val="24"/>
        </w:rPr>
        <w:t xml:space="preserve"> </w:t>
      </w:r>
      <w:r>
        <w:rPr>
          <w:rFonts w:ascii="Times New Roman" w:hAnsi="Times New Roman"/>
          <w:sz w:val="24"/>
        </w:rPr>
        <w:t xml:space="preserve">(</w:t>
      </w:r>
      <w:r>
        <w:rPr>
          <w:rStyle w:val="MDFIGREF_eJyrrk7LTC9KTbMqLklMTzXUTUxJySzJzM9LzNFNBBKVxZnFNck6abW1AFIXECs"/>
          <w:rFonts w:ascii="Times New Roman" w:hAnsi="Times New Roman"/>
          <w:sz w:val="24"/>
        </w:rPr>
        <w:t xml:space="preserve">Fig. 1c,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ground-truth ligand instance was considered detected if at least one examined candidate shared a bidirectional coverage of at least 0.3 with it. Relative candidate counts of 100% and 300% allowed examining up to one and three times the ground-truth instance count per PDB, respectively. The small-molecule evaluation omitted only candidates assigned to non-small-molecule instances without omitting false-positive candidates.</w:t>
      </w:r>
    </w:p>
    <w:p>
      <w:pPr>
        <w:pStyle w:val="BodyText"/>
        <w:spacing w:line="480" w:lineRule="auto" w:after="120"/>
        <w:ind w:firstLine="480"/>
      </w:pPr>
      <w:r>
        <w:rPr>
          <w:rFonts w:ascii="Times New Roman" w:hAnsi="Times New Roman"/>
          <w:sz w:val="24"/>
        </w:rPr>
        <w:t xml:space="preserve">From 100% to 300%, mean completion across all ligands increased from 66.4% to 71.7% with GT receptors and from 55.6% to 63.3% with CA2 receptors. Emap2lig-Find increased from 28.5% to 31.4% over the same candidate-count range. Corresponding small-molecule changes were 70.5% to 73.3% for GT, 59.8% to 68.5% for CA2 and 46.6% to 54.9% for Emap2lig-Find. LigandSeek-Find therefore recovered more true instances under the same candidate-count limits.</w:t>
      </w:r>
    </w:p>
    <w:p>
      <w:pPr>
        <w:pStyle w:val="CaptionedFigure"/>
        <w:keepNext/>
        <w:spacing w:line="240" w:lineRule="auto" w:before="0" w:after="0"/>
        <w:ind w:firstLine="0"/>
        <w:jc w:val="center"/>
      </w:pPr>
      <w:r>
        <w:rPr>
          <w:rFonts w:ascii="Times New Roman" w:hAnsi="Times New Roman"/>
          <w:sz w:val="24"/>
        </w:rPr>
        <w:drawing>
          <wp:inline>
            <wp:extent cx="5733415" cy="4340394"/>
            <wp:effectExtent b="0" l="0" r="0" t="0"/>
            <wp:docPr descr="Fig. 1 | Additional analyses of ligand-region detection. LigandSeek-Find uses deposited receptors (GT) or CryoAtom2-reconstructed receptors (CA2) and is compared with the density-only method Emap2lig-Find. The top row shows all ligands (179 PDB entries, 2,502 instances); the next row shows only small molecules (94 PDB entries, 821 instances). Emap2lig-Find receives the EMDB-recommended contour level. a, d, Instance-level \mathrm{PRAUC}_{0.5} for all ligands and small molecules at a bidirectional coverage threshold of 0.5. Bars show PDB-equal means, faint points show individual PDB entries, and error bars show 95% intervals from 10,000 PDB bootstrap resamples. b, e, Instance-level precision and recall at the same 0.5 threshold. Violins show PDB distributions; white circles and thick lines indicate medians and interquartile ranges. c, f, Mean detection completion at relative candidate counts of 100% and 300%. Detection retains a bidirectional coverage threshold of 0.3. Bars show PDB-equal means; error bars are defined as above." title="MDPPTFIG_eJztWc1uGzcQfhVCQIAGkLQrWWqqdWrAkeMggB0YttNLtzAoLqUlTC5ZkpLsND0XPfTUopcWPffUB2iA9mma5DE6Q65kyQmKIIaBCrAA7fLn48fhzOzscPlNw1BfNjLSePPTq39--Stxnk54582rH1__9mvbGH_RaJKG5U7LGS8QN8zy_Lnj1uV5pz_oDPJ8j7tzr02ev_3jz9c_f_f2h-_f_P53nkfCPH8vY0UVR7bY2aJFIbzQFZUtCpdLJxyiGDXYeqaoPZ8awH_ZeDjPDLlQsnLZ_PO8UXpvsiRxrOSKurY2vILOsbaKeqjaSTLXtjBWM-6cqCZKJt00_TRRVFR5YwfZjmy4nfhLyck8m1EJvE8VyDWM0yMuWSAQe865ORAVd6F9pTbPnKEMpgEeCU1A1O2leaOuHk8lNtGp1zVnDceRoioANhbW-YM4NK1B0BMFiJLGS13e15V3MI46JgSMORWKO_KMz8mxVrQKU5e7lXtvX2CNFEg2CvVRKA7j2sIdxHyxVEy3txD9RRweBfFok7AclNyAw3A74wDdF5M26ZCXZHdpYhJNDLLoMZFiQquiZfkE-kjBPWeIaiO3jzPc6qJvsDSyATIeBPWecH7e2kcPm6LaC260E54XxHLGjdfWkU-enN4n2pKhvdS7XqsumITpynk7ZdeQw93ufbBhQYQjTCtDLfTPhS-JLzmQw6L8ZUtX8pIo7ktdkMeKmi5YOsjQJqcAg4BBrJ4TV-q5I1TK2hOAv_NgQI72HhFeeSu4a5Jus592iQBhaAXP8f3tMFHFL_wKRZjPKWRSWnIGzxpwDXrrVJ91OytE7XXJwiLFDMYh_-PDvUdBCUrxqoAlgjq8nloi-YzLOwe97chBN0DDzQ2QcbO9oNgADTfJ0zqktEJs2ACR151CZfoQ0sA6r1IflFfp8VgwvqfZFMKjX2RVvkQ5VOZOpiO8c7yEGYJE0OHhrVALbYLMoS3ca4jfOcKaj20fRXB8U4LdmxI8vynBcI0gqVXpolprTNruX0cFQLIwQFJbdjPc8P8pIzj9Wn6Cmc_1PIN6QslIFMLG9BWSXKZn3MImAnIJ4Cq1LDDdBYu1ySMKaRRmLZibtPjXU4ArTivIT8awL_HEaIFLDxDIS8RMFIhZy2RQDG4tCDda0g369wDvQXAqHRlbrUgnbaZpGoaOtPaQz1FIvLijyoDgd1nMbb-_Rhug4bss5ra9gG-Ahq9nMQT6mHC4Ladxb4QxDyIdbo4gfnAMZlfRrU2-EFrC3moZ2UghINyI0RQjotsm8xL2nIQJy0LIBE5fCnZO8NOIC3GOUQAoXgiIhXGHicEM4qP1QnJiaTW5i1m3761sAzR8F7Nu2wvGG6DhJjmEvOnqs2H4HiV5KEKkslxSL2YQdCCYiAKjC9NTlBxSsU6a3gtBZgsKbbK35LDcU4xjH5rRbf1HRre9mqNRi5_HxhDuCkKhOgLC9WgGV7PT-KpJGstP3o3-g62tXqd_0dvqpVuD3suHRrAM_vVujX7Qbq2wdP7O5--aAbg-hgOG-anlSxr70dvGaCZ4R5TCOHQAXGE1OxIMzY8V9mx2ZEF3juEswywJJxBJOIBI6vOHZPX4IfFcGVhmNYUhwvizsZiAsO5MzM4mo_TMJ7HhLMVfp22qCSxEFMDe6UAJzyegfLRYI5hmKceVSFFAiho80OzckUoPS3xJ7YLR5yWnhUNC5Ft0OAP-FBuB82roygSRNXlHCSMpzL6QEmfEchgfCxT2j-C2rMTiGDDHMEvoX6ssQck6H9acAQ2P5oe6WD2joNnF2Cq8g-HIRTyVIJfL04nQjt34MZZhf-2ugGIIq722BgMq3Bekxjr_hMM2BQuAxoctTktnBy5ir0oLNPZXOoqeXBVpJiuCh0KDfrcfWd6LQrs8DmcqK2WawUMvF82rZVnV-nJmaRf47zS-_RdHnz8d" id="10" name="Picture"/>
            <a:graphic>
              <a:graphicData uri="http://schemas.openxmlformats.org/drawingml/2006/picture">
                <pic:pic>
                  <pic:nvPicPr>
                    <pic:cNvPr descr="C:/Users/15919/Desktop/论文草稿/temp/manuscript_figures_iv_gb0_t/figure_000001.png" id="11" name="Picture"/>
                    <pic:cNvPicPr>
                      <a:picLocks noChangeArrowheads="1" noChangeAspect="1"/>
                    </pic:cNvPicPr>
                  </pic:nvPicPr>
                  <pic:blipFill>
                    <a:blip r:embed="rId9"/>
                    <a:stretch>
                      <a:fillRect/>
                    </a:stretch>
                  </pic:blipFill>
                  <pic:spPr bwMode="auto">
                    <a:xfrm>
                      <a:off x="0" y="0"/>
                      <a:ext cx="5733415" cy="434039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Additional analyses of ligand-region detection.</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The top row shows all ligands (179 PDB entries, 2,502 instances); the next row shows only small molecules (94 PDB entries, 821 instances). Emap2lig-Find receives the EMDB-recommended contour level.</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ascii="Times New Roman" w:hAnsi="Times New Roman"/>
          <w:sz w:val="24"/>
        </w:rPr>
        <w:t xml:space="preserve">for all ligands and small molecules at a bidirectional coverage threshold of 0.5. Bars show PDB-equal means, faint points show individual PDB entries, and error bars show 95% intervals from 10,000 PDB bootstrap resamples.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 Instance-level precision and recall at the same 0.5 threshold. Violins show PDB distributions; white circles and thick lines indicate medians and interquartile ranges.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Mean detection completion at relative candidate counts of 100% and 300%. Detection retains a bidirectional coverage threshold of 0.3. Bars show PDB-equal means; error bars are defined as above.</w:t>
      </w:r>
    </w:p>
    <w:bookmarkEnd w:id="12"/>
    <w:bookmarkStart w:id="16" w:name="Xa286c81aa9dba276b27d3ba5a7fbe4edefd38cb"/>
    <w:p>
      <w:pPr>
        <w:pStyle w:val="Heading2"/>
        <w:keepNext/>
        <w:spacing w:line="480" w:lineRule="auto"/>
        <w:ind w:firstLine="0"/>
      </w:pPr>
      <w:r>
        <w:rPr>
          <w:rFonts w:ascii="Times New Roman" w:hAnsi="Times New Roman"/>
          <w:sz w:val="24"/>
        </w:rPr>
        <w:t xml:space="preserve">Ligand-region detection without a supplied contour level</w:t>
      </w:r>
    </w:p>
    <w:p>
      <w:pPr>
        <w:pStyle w:val="FirstParagraph"/>
        <w:spacing w:line="480" w:lineRule="auto" w:after="120"/>
        <w:ind w:firstLine="480"/>
      </w:pPr>
      <w:r>
        <w:rPr>
          <w:rFonts w:ascii="Times New Roman" w:hAnsi="Times New Roman"/>
          <w:sz w:val="24"/>
        </w:rPr>
        <w:t xml:space="preserve">We also evaluated Emap2lig-Find without an explicitly supplied EMDB-recommended contour level, using the same test cohorts and LigandSeek-Find predictions. Across all ligands, its mean semantic Dice,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ascii="Times New Roman" w:hAnsi="Times New Roman"/>
          <w:sz w:val="24"/>
        </w:rPr>
        <w:t xml:space="preserve">were 0.050, 0.255 and 0.126, respectively. The corresponding small-molecule scores were 0.073, 0.462 and 0.293</w:t>
      </w:r>
      <w:r>
        <w:rPr>
          <w:rFonts w:ascii="Times New Roman" w:hAnsi="Times New Roman"/>
          <w:sz w:val="24"/>
        </w:rPr>
        <w:t xml:space="preserve"> </w:t>
      </w:r>
      <w:r>
        <w:rPr>
          <w:rFonts w:ascii="Times New Roman" w:hAnsi="Times New Roman"/>
          <w:sz w:val="24"/>
        </w:rPr>
        <w:t xml:space="preserve">(</w:t>
      </w:r>
      <w:r>
        <w:rPr>
          <w:rStyle w:val="MDFIGREF_eJyrrk7LTC9KTbMqLklMTzXUzcvXzUktS83RTc7PLUgsyizOz9P184_3cQ1z9alJ1EmurQUA5goSpw"/>
          <w:rFonts w:ascii="Times New Roman" w:hAnsi="Times New Roman"/>
          <w:sz w:val="24"/>
        </w:rPr>
        <w:t xml:space="preserve">Fig. 2a, c</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Without a supplied contour level, Emap2lig-Find returned an average of 353.9 candidate regions per PDB entry, compared with 14.0 ground-truth ligand instances. At a bidirectional coverage threshold of 0.3, its PDB-equal mean instance-level precision and recall were 0.037 and 0.312, respectively</w:t>
      </w:r>
      <w:r>
        <w:rPr>
          <w:rFonts w:ascii="Times New Roman" w:hAnsi="Times New Roman"/>
          <w:sz w:val="24"/>
        </w:rPr>
        <w:t xml:space="preserve"> </w:t>
      </w:r>
      <w:r>
        <w:rPr>
          <w:rFonts w:ascii="Times New Roman" w:hAnsi="Times New Roman"/>
          <w:sz w:val="24"/>
        </w:rPr>
        <w:t xml:space="preserve">(</w:t>
      </w:r>
      <w:r>
        <w:rPr>
          <w:rStyle w:val="MDFIGREF_eJyrrk7LTC9KTbMqLklMTzXUzcvXzUktS83RTc7PLUgsyizOz9P184_3cQ1z9alJqq0FAMH4Ehk"/>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Despite this large candidate pool, recall still remained below that of Emap2lig-Find supplied with the recommended contour level (0.316), as well as LigandSeek-Find with CA2 receptors (0.594) or GT receptors (0.688). Under both conditions, particularly without a supplied contour level, Emap2lig-Find thus produced more false-positive candidates while achieving lower recall than LigandSeek-Find.</w:t>
      </w:r>
    </w:p>
    <w:p>
      <w:pPr>
        <w:pStyle w:val="CaptionedFigure"/>
        <w:keepNext/>
        <w:spacing w:line="240" w:lineRule="auto" w:before="0" w:after="0"/>
        <w:ind w:firstLine="0"/>
        <w:jc w:val="center"/>
      </w:pPr>
      <w:r>
        <w:rPr>
          <w:rFonts w:ascii="Times New Roman" w:hAnsi="Times New Roman"/>
          <w:sz w:val="24"/>
        </w:rPr>
        <w:drawing>
          <wp:inline>
            <wp:extent cx="5733415" cy="4324781"/>
            <wp:effectExtent b="0" l="0" r="0" t="0"/>
            <wp:docPr descr="Fig. 2 | Ligand-region detection without an explicitly supplied contour level. LigandSeek-Find uses deposited receptors (GT) or CryoAtom2-reconstructed receptors (CA2). Emap2lig-Find does not receive an explicit EMDB-recommended contour level. The top row shows all ligands (179 PDB entries, 2,502 instances); the next row shows only small molecules (94 PDB entries, 821 instances). a, c, Semantic Dice, instance-level \mathrm{PRAUC}_{0.3} and \mathrm{PRAUC}_{0.5} for all ligands and small molecules. Bars show PDB-equal means, faint points show individual PDB entries, and error bars show 95% intervals from 10,000 PDB bootstrap resamples. b, d, Instance-level precision and recall at bidirectional coverage thresholds of 0.3 and 0.5. Violins show PDB distributions; white circles and thick lines indicate medians and interquartile ranges." title="MDPPTFIG_eJztWc1uGzcQfpWBgAINIGsl2WriTWrAke0ggJwadpJLtxAoLqUlvEuyJFeS0_Rc9NBTi15a9NxTH6AB2qdpksfoDHclS04OQQwDVWED0vLn4zfDmdkROf6mYZjPGjE03vz06p9f_oqcZxPRefPqx9e__doyxs8bTWhY4XQ-FSnh-nGSPHPCuiTp9HY7u0lyINy51yZJ3v7x5-ufv3v7w_dvfv87SSrCJHkvo2KFILZqckvprVxMRb7FdWGYlU6rrSdfDAeHzw8HBOfMeKnVsGD2vDS48MvGg1lsYF7kysWzz5NG5r2Jo8jxTBTMtbQRCifH2hbMY9dOopm2qbGaC-ekmhR51G23P4sKJlXS2CO2ExseZ_4iFzCLpyxH3scFKtivxBMuWiAIey6EGUglXBhf6c1iZxhHMciT4xASdXfaSaPunpY5DbHS65qzhtNKqVKEjaV1flAtbdcgnKkUqDStvur2kVbe4TrmuJS45qkshIMnYganumAqiM72lXvvXGCtKIhsFPqj0OxXewtPVPPF0jDdnYXqL6rllSKefBK2Q5objBxhpwKhR3LSgi68hIGcMJVuWTFBk0IqvOBkXJhJn-nSA1Mg5iaXXPr8AlxpsC1S4KidLi2EOGmRRF_JvVFTXGPDsAE6Vr44E-J864jirnQoKRVGO-nR5lZwYby2Dj599PQOaAt9e6H3vS666D_0iPO25FeQ_f3unRYcFsx0czmpeFONvEr7gJNTsepkODw-eBjoikKo9B1Xw9NMAOYXsHoGLtMzByzPIQ-qo7zO3V04OXgIQnkrhWtCt9lrd0Gickzh237nPnhkUGLuVyi0ouAqiKnQueD4RiLX7s461b1uZ4XoNupuOkmwDbBwcwN03Owo4Btg4Sac4UFDecnhQHLRXKaJ6iCzATtYj5Ei1sd4EqxPVMUHnaj0eIxbP9C8xMTtF-cpn5EeRezOyhE9BX0FCUEjnPAXUNRKm6BzGAvPGuL3Tqjnq7GPIji9LsH-dQmeXZegv0YQ1aZ0lVlrTLu1fRUVANHCAVHt2c0Iw_-mjnjQ2AAtb1_o_8cL3bt9oW9aRwz6tUsEfl29DLTgIcPrDN0W6E6wJb4uGU4LpvBeMGZSeTBa0m4CBG85cipTwqzdIIhZWIvyRku63d4niPeoC8sdjK0uoNNuttvtsHSktcd7FcMLj3CsMKTLBph0s4-cow2w8O3F46ajYBN-5ZvweO2mATjHpaMKGuUa7FAaYx5GMpW2qq1hUuJ6KiybCPAZcmU6x6ynx4DHx7AMf3Va8FzqHK8xy5wHqcREJEclcbj7MMukF8Cl5VQsoWU-k_wcqKTpQgbkDAGFSCVmyQAIaQ4zp_UyF2CZmlzNZlTP3Gt81YTGsrjb6N3d3t7p9OY7292du_c6Lx8YyWP81IcZ9kGHmdSy2TuF3poBuT6GA5f50ooljf3oU5UVOQtWzaRxFAC0QzU9kZzcTx3-ZHpiIRWOk5R-HIWiexRq7lFdco9WK-6RF4XBbaoSl0jjh2M5QWXdUE6Hk1F76KNqYNimv27LqAluRKbI3ulhi0ry2D5Z7BFds9TjUqVKQUYWHGh-TlW9fkZu3ccfuVkmWOqIkPgWE85gFFaDyHm5dEVAxRq9Y4RRLs2RzHOSSO2wvmowPF5Z4XlGzTFiTlFKmF_rLEHROh_1nEELj2bHOl2txrN4PrYFPdFxMK_q73CxrMOHcZqmgiKn-TpcEcUJVkdtDUZUeC5IjXX-kcCffGogml7RSiybDlyFvWwt0DSvdKV6dNlkca6A_v2x2-v2Kpb3osgvh-G_ByttFnsm88XwajtXtb2cWfoFP3uNb_8FXTzevg" id="14" name="Picture"/>
            <a:graphic>
              <a:graphicData uri="http://schemas.openxmlformats.org/drawingml/2006/picture">
                <pic:pic>
                  <pic:nvPicPr>
                    <pic:cNvPr descr="C:/Users/15919/Desktop/论文草稿/temp/manuscript_figures_iv_gb0_t/figure_000002.png" id="15" name="Picture"/>
                    <pic:cNvPicPr>
                      <a:picLocks noChangeArrowheads="1" noChangeAspect="1"/>
                    </pic:cNvPicPr>
                  </pic:nvPicPr>
                  <pic:blipFill>
                    <a:blip r:embed="rId13"/>
                    <a:stretch>
                      <a:fillRect/>
                    </a:stretch>
                  </pic:blipFill>
                  <pic:spPr bwMode="auto">
                    <a:xfrm>
                      <a:off x="0" y="0"/>
                      <a:ext cx="5733415" cy="432478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Ligand-region detection without an explicitly supplied contour level.</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Emap2lig-Find does not receive an explicit EMDB-recommended contour level. The top row shows all ligands (179 PDB entries, 2,502 instances); the next row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Semantic Dice,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ascii="Times New Roman" w:hAnsi="Times New Roman"/>
          <w:sz w:val="24"/>
        </w:rPr>
        <w:t xml:space="preserve">for all ligands and small molecules. Bars show PDB-equal means, faint points show individual PDB entries, and error bars show 95% intervals from 10,000 PDB bootstrap resamples.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Instance-level precision and recall at bidirectional coverage thresholds of 0.3 and 0.5. Violins show PDB distributions; white circles and thick lines indicate medians and interquartile ranges.</w:t>
      </w:r>
    </w:p>
    <w:bookmarkEnd w:id="16"/>
    <w:bookmarkStart w:id="17" w:name="stage-1-ablation-of-ligandseek-find"/>
    <w:p>
      <w:pPr>
        <w:pStyle w:val="Heading2"/>
        <w:keepNext/>
        <w:spacing w:line="480" w:lineRule="auto"/>
        <w:ind w:firstLine="0"/>
      </w:pPr>
      <w:r>
        <w:rPr>
          <w:rFonts w:ascii="Times New Roman" w:hAnsi="Times New Roman"/>
          <w:sz w:val="24"/>
        </w:rPr>
        <w:t xml:space="preserve">Stage 1: Ablation of LigandSeek-Find</w:t>
      </w:r>
    </w:p>
    <w:p>
      <w:pPr>
        <w:pStyle w:val="FirstParagraph"/>
        <w:spacing w:line="480" w:lineRule="auto" w:after="120"/>
        <w:ind w:firstLine="480"/>
      </w:pPr>
      <w:r>
        <w:rPr>
          <w:rFonts w:ascii="Times New Roman" w:hAnsi="Times New Roman"/>
          <w:sz w:val="24"/>
        </w:rPr>
        <w:t xml:space="preserve">As shown in Table 1,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pPr>
        <w:pStyle w:val="BodyText"/>
        <w:spacing w:line="480" w:lineRule="auto" w:after="120"/>
        <w:ind w:firstLine="480"/>
      </w:pPr>
      <w:r>
        <w:rPr>
          <w:rFonts w:ascii="Times New Roman" w:hAnsi="Times New Roman"/>
          <w:sz w:val="24"/>
        </w:rPr>
        <w:t xml:space="preserve">According to Table 1,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480" w:lineRule="auto" w:after="120"/>
        <w:ind w:firstLine="480"/>
      </w:pPr>
      <w:r>
        <w:rPr>
          <w:rFonts w:ascii="Times New Roman" w:hAnsi="Times New Roman"/>
          <w:sz w:val="24"/>
        </w:rP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pPr>
        <w:pStyle w:val="TableCaption"/>
        <w:keepNext/>
        <w:spacing w:line="480" w:lineRule="auto"/>
        <w:ind w:firstLine="0"/>
        <w:pageBreakBefore/>
      </w:pPr>
      <w:r>
        <w:rPr>
          <w:rFonts w:ascii="Times New Roman" w:hAnsi="Times New Roman"/>
          <w:b/>
          <w:i w:val="0"/>
          <w:sz w:val="24"/>
        </w:rPr>
        <w:t xml:space="preserve">Table 1 | Internal ablation of LigandSeek-Find on the full test set.</w:t>
      </w:r>
    </w:p>
    <w:tbl>
      <w:tblPr>
        <w:tblW w:type="pct" w:w="5000"/>
        <w:tblLayout w:type="fixed"/>
        <w:tblCaption w:val="Table 1 | Internal ablation of LigandSeek-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instance-level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17"/>
    <w:bookmarkStart w:id="27" w:name="stage-3-end-to-end-top-k-success"/>
    <w:p>
      <w:pPr>
        <w:pStyle w:val="Heading2"/>
        <w:keepNext/>
        <w:spacing w:line="480" w:lineRule="auto"/>
        <w:ind w:firstLine="0"/>
      </w:pPr>
      <w:r>
        <w:rPr>
          <w:rFonts w:ascii="Times New Roman" w:hAnsi="Times New Roman"/>
          <w:sz w:val="24"/>
        </w:rPr>
        <w:t xml:space="preserve">Stage 3: End-to-end top-k success</w:t>
      </w:r>
    </w:p>
    <w:bookmarkStart w:id="18" w:name="evaluation-protocol-top-k-success"/>
    <w:p>
      <w:pPr>
        <w:pStyle w:val="Heading3"/>
        <w:keepNext/>
        <w:spacing w:line="480" w:lineRule="auto"/>
        <w:ind w:firstLine="0"/>
      </w:pPr>
      <w:r>
        <w:rPr>
          <w:rFonts w:ascii="Times New Roman" w:hAnsi="Times New Roman"/>
          <w:sz w:val="24"/>
        </w:rPr>
        <w:t xml:space="preserve">Evaluation protocol (top-k success)</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18"/>
    <w:bookmarkStart w:id="22"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2954732"/>
            <wp:effectExtent b="0" l="0" r="0" t="0"/>
            <wp:docPr descr="Fig. 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0tpq4IVjwJXtoKgdCI576hYCxR1pCe8uWZKrnyQFeit66ClFLy167qkP0ADtuxRonMfoDLmS5doBggQFGgMyh8OP3wyHw9l5Fmnuiihl0fUPL__-6Y_4JDm5fvni1S8_d7V2y2iHRQasKueQE2iYZtnnFozNsv5gv7-fZcdgr5zSWfb6t99f_fjt6--_u_71zywLbFl2l67mFRAVJNDhZdmZyjrvVNyJglYF106qelxxc9VoxH0RHSxSzZZVWdt08TCLCud0GsdWFFBx21UaalycKoMcODWzeKFMro0SYK2sZ1UZJ73ex3HFZZ1Fh8Q2Mn544lYlsEU65yXyflrxGQyDecLFawRhrwD0mazBev3WbJFazQWaQZ4SVUiU7PWyqJ1eNCWpeONUy9nCaSceHGFTaaw7C1t7LQhXggPB0_CvlU9V7Szu41ZIiXsuZQWWPYYFu1AVr73p4qi296551kBBZBM_n3hxGM7mR3Tz6SYwyd7a9adhe3DE0Z3445DnGrMEzBwQeipnXbbLnrMTvFinOoDHLOWM48zADKPLcnAgKM4MlUzmUDvpVswnAcamS1ZcsPWfHv89Dsk-AB8vC2CiQdkyW6gFczjXYASGG1OdqanX9B_sMwfWsdHxJwyXjET8QrqC2UbQG5o2JUPWXPorC2uSro5x56DSjk2afAYOCT-AoNy-uCpV51j_2vJSvVV5UdOpFHCsRFNhuNbFxRXkRxVI3eFnB3HlzbSa8G_kB0u53rqvvfdeF8CjluDhfQTusP--vH998-INzL1b-rgNzf_1HrvsFKvkR-dUM9ZZbuCrRhrALN4UHqGMwVrD7q08oSrdLUA7bFGAAW69DQ89qbhOEN_xmn_ZU3W5eqOl7g1JcBatKQfszBt_AnDV2QC2dB67g2xWE88cylWXPbpsd1sctbLSQY4QAdopw6wzjXANbtnxbMOjZAMfmpU6cqpKsAYLfMUeev_m2-WXvkKH0Zf4ad58kqPBg93dvf5gmewP9h7sJs8PtBQp_tpnxN_qGeWGL-58nlsG5HoXDtxGJ9jQmHd-zwZK7qtdIbWlxKQT1vORFJSWNBGP5yOD4bWCrAzT2LdFse-K4rYpird7ophqJR6zbnCL1G48lTMK91jOx7NJb-zioBj36G-3q-sZHkTm9Db6KFHfhPJofUa8mo0fNy4FBzlF8EyJK8tqNSx4PYMjYxRmNc8tkni-9YJPsKBEzputWwYCa3wnCJNS6lNZlmSRZL8_CBxLjwHMYRKniLlAK3791mQDim_z0cxi-8Mmi3OVb_dQPF1OTUUjXhxbhq6JrTbdk9fTMiwdE7TepiuiBMHarG3BiPLjmlRjN_YIVMVIQDS96WCWz89swN5IazSt1yq4Ht-IPC1rRk3r_iAZBJZ7UXQvJ77n25J56rgs1-ptuazbeFm9uRf8HUZf_wPMKRmk" id="20" name="Picture"/>
            <a:graphic>
              <a:graphicData uri="http://schemas.openxmlformats.org/drawingml/2006/picture">
                <pic:pic>
                  <pic:nvPicPr>
                    <pic:cNvPr descr="C:/Users/15919/Desktop/论文草稿/temp/manuscript_figures_iv_gb0_t/figure_000003.png" id="21" name="Picture"/>
                    <pic:cNvPicPr>
                      <a:picLocks noChangeArrowheads="1" noChangeAspect="1"/>
                    </pic:cNvPicPr>
                  </pic:nvPicPr>
                  <pic:blipFill>
                    <a:blip r:embed="rId19"/>
                    <a:stretch>
                      <a:fillRect/>
                    </a:stretch>
                  </pic:blipFill>
                  <pic:spPr bwMode="auto">
                    <a:xfrm>
                      <a:off x="0" y="0"/>
                      <a:ext cx="5733415" cy="295473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76 entries (42.5%)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104 entries (58.1%)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22"/>
    <w:bookmarkStart w:id="26"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5018708"/>
            <wp:effectExtent b="0" l="0" r="0" t="0"/>
            <wp:docPr descr="Fig. 4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DG-PocketXmol using deposited (GT, b) and CryoAtom2-reconstructed (CA2, c) receptor structures across charged attempts K. Success requires RMSD below 2 Å or 3 Å. Solid lines denote top-1 poses selected by model score; dashed lines denote best-of-50 poses." title="MDPPTFIG_eJztWF-PGzUQ_yrWPrUiySbphWtDe9KR-6OKaxXdFQmJRSfHO8lat7s2tje5lCLxghAPPBXxAuKZJz4AleCBb4JE24_BjL35c3ctqlpVNBJVc2uPx78Zzx977C8izV0W9Vn07Psnf__4e7zf3X_25PHTn39qae3OowaLDFiVTyElpkE_ST62YGySdHq3OreSZA_smVM6SZ7_-tvTH755_t23z375I0kCWpJchSt5AQQFXWjagud5U0sNuSyBRgXXTqrytODmrNLI92l0e9bX7LzIS9uf3UmizDndj2MrMii4bSkNJQ6OlSm4w66ZxDNlUm2UAGtlOSnyuNtuvx8XXJZJtENoQ-M_J26eA5v1pzxH3LsFn8AgiCe-eMFBvGcA-ghVtJ6-1pv1reYCxSAOrQGBulvtJKq7x1VOJF45VWPW7DRTlimyjaWx7ihMbddMOBIUCJqGP3X7QJXO4jxuhZQ454EswLL7MGPHquClF53tlvaFYx41QBDYyPdHvjkIa_NfVPPh0jDdrYXqD8P0oIgjn_jlkOYaowTMFJD1QE5abIs9Yvtl2nSqCbjMQqWQ52QmNWbe60jKQaB5bItAXYB-q6t9gzWxDdBxP5cTOcKIvmRfxg3S0PY5NJFbphUwTBNeSnGFdSZdxkrFuFOFZYX0GcQM5NzJKTCnmMtAGuag0EhD57FBheIts5ma0SDTYASUDpOJfE2U7W3kt44N9z5kOGLkQpCtBCXpuMoZriOVgnIvjMmScfzvSJBjoyqdgEO8DXDDxVAp-uoebrD1_lW80v6lxmMpYE-JqkBzLXYvl5EeRQB1Ox_djgsvpqaEP0P_sW7Oilp97bX3tMA8rAHuvAjA7XTeFPevrx6_BLl9gR7XpnlX_dhiB7RBc_yhmiJjKZTKATuSmDrpCcBZc8mwRvO8DUwZq0FQ0uTzFjt84NkGu90FSgpaWekgzB-YudrFlOtiggpMAWcqQWPYA-2UYYFSIeol6I1LiE07zfgGWLjhQ_W9EKYi7McGPq8kbvywOoSFMhhQDocmuM9iCDrwO64PwdyHMJMYn05SnhMYbv4NNsvAALerdNgvuO4if4j_S_JUmc9fKun_cH3b4TraAAs3NkDHzY4CsQEWbrCTUP4xQ4UkwwpofbPC4xHY2mlI-4gvGvcOm0MlzsB9gmUrq3yBujpNrx0-aLDR9X89Va_hOdxg4vqLjlfGhVGok8i4mdDpHCpQuwEG_U8Kz3e_iltGWTigLDu-d7LHRpDjfaXL_vwa70LsBn6RU-WSDkK82C_KNKd0s-NjEW84gLckip_RPNxnmcVzDj5gKbcZXJo4wgtPU42bvXaYffHko6v9TvRZg0XLd46ot33jxland95rd25ut28-uq2l6OOv9iB_JQ-mhs-uvHnUCIj1Ohg4jTJjCWNeO5TCNRITMZPakhtpheV0KAU5kTri_nRo0IRWkJRBP_ZvTbF_aorrl6Z4_aEppuzEZZYVTpHanY7lhNL4VE5PJ6P2qYsD4bRN_7ZaupzgQmRKkdTDFj1GYXu4WCO6ZqnHSqWgICcLHuHWY_GGPMh4OYFdYxSWRzy1CNIhvMWAL9EDETFXU9cEBNT4ihFGudQHMs9JIrX9_NDgeN0ygIUZNcfIc4xS_PiFzpIpvohHPavRwqPZPQzgtYcp3j8fm4K-6Dh2Hp6i2Hz5JOXpNAznjgkar8MVuQSx1VFbMyOX_y5AtbHuEFTBqIHcVBwGsXx6ZAPvqrXgpvFSBdXjVZP3czwKEOVWj3z4Ui7yy75_SFtr877jMl-Q19t5WdvL6qVf8LcTffkPVs5CDQ" id="24" name="Picture"/>
            <a:graphic>
              <a:graphicData uri="http://schemas.openxmlformats.org/drawingml/2006/picture">
                <pic:pic>
                  <pic:nvPicPr>
                    <pic:cNvPr descr="C:/Users/15919/Desktop/论文草稿/temp/manuscript_figures_iv_gb0_t/figure_000004.png" id="25" name="Picture"/>
                    <pic:cNvPicPr>
                      <a:picLocks noChangeArrowheads="1" noChangeAspect="1"/>
                    </pic:cNvPicPr>
                  </pic:nvPicPr>
                  <pic:blipFill>
                    <a:blip r:embed="rId23"/>
                    <a:stretch>
                      <a:fillRect/>
                    </a:stretch>
                  </pic:blipFill>
                  <pic:spPr bwMode="auto">
                    <a:xfrm>
                      <a:off x="0" y="0"/>
                      <a:ext cx="5733415" cy="501870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End-to-end modelling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DG-PocketXmol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eligible small molecules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4b,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DG-PocketXmol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4a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76.6% in this subset. Requiring both Find and Match to succeed yielded rates of 81.8% and 83.1%, respectively.</w:t>
      </w:r>
    </w:p>
    <w:bookmarkEnd w:id="26"/>
    <w:bookmarkEnd w:id="27"/>
    <w:bookmarkStart w:id="31" w:name="X9c1e71af165d87e9c7616a17e64efc2f5522419"/>
    <w:p>
      <w:pPr>
        <w:pStyle w:val="Heading2"/>
        <w:keepNext/>
        <w:spacing w:line="480" w:lineRule="auto"/>
        <w:ind w:firstLine="0"/>
      </w:pPr>
      <w:r>
        <w:rPr>
          <w:rFonts w:ascii="Times New Roman" w:hAnsi="Times New Roman"/>
          <w:sz w:val="24"/>
        </w:rPr>
        <w:t xml:space="preserve">Find–Build comparison with correct ligand identities</w:t>
      </w:r>
    </w:p>
    <w:p>
      <w:pPr>
        <w:pStyle w:val="FirstParagraph"/>
        <w:spacing w:line="480" w:lineRule="auto" w:after="120"/>
        <w:ind w:firstLine="480"/>
      </w:pPr>
      <w:r>
        <w:rPr>
          <w:rFonts w:ascii="Times New Roman" w:hAnsi="Times New Roman"/>
          <w:sz w:val="24"/>
        </w:rPr>
        <w:t xml:space="preserve">Full completion curves and per-PDB distributions for the Find–Build comparison with correct ligand identities are shown in</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5</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5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GtuOGzX0V6xI8JRksmmzZdN2pXYvFdJutepSgUTQyvGcZKx4bNf2JJtSpPKAULk8FfEC4pknPoBK8MAH8A-VaPsZnDOeZNPuIpW2VBuRlbLjOTefm31OHH9aszxktS6rPf3u0V8__JbstHeePnr45Kcfm9aG41qd1Rx4o8aQEtFWt9e77cH5Xm-ts7G20ettgx8FY3u9Z7_8-uT7L599--Dpz7_3elFar3danOY5kChfWNsYSJ02hHEORGjkPIis0S-kSokwld4qPj2ayDRq2Gl2pCaM4DZIo49y7kaFRdTHtSuTrmXHudK-O7naq2Uh2G6SeJFBzn3TWNCIHBiHc-CrGyYT41LrjADvpR7mKmm3WutJzqXu1TZJ2oErH4dhqoBNumOuUO77OR_CVpye6JIZBdGOAOxNOA5z6lZFMkPMiPakBj_HVG-TrrdcoC7IrhCE_O2LKKF6vVUoAvEimEpqRU6c6EUkG0jnw15knU2NmKhlNCf-q8a7RgePfNwLKZHnA5mDZzdhwm6ZnOty6uya9mfiSqlRBAnrl-_9crgVbSufqObduT_aF2eq343sUZFAgSvNIc0t5hu4MSDprhw2WYfdY7toxuP7D69TajBhcquAIsDMgPmcK8Vyo0Cgh3ydce-LnNxYpRVTcsjRPzIFHWSQ4Js0d4ga_KdOeQ3T2RLouIOelX1cHS_EgHGHMAyBggZSy7QAhkuOaylOkU5kyJg2jAeTe5bLcjUyB4oHOQYWDAsZSMcCYNB5wOCxnTG4KbNcg8IY64BL1hMV87izsEuX2MH2ddQBQ37x4jpDZOBaECPHFErrbCfntq0otQABWZ3tlQlyCDCK6my5qbmG-rRRDwE2GIfMEmnVadoUrPEyQLpI-yFipGbARcaGzhS2jobYUqW-CSiZOTPxzGdmQojGWkSBDw0zaHRaDGWCv8wUDEKJcnKYBTRWFTna6uBOIdHFGfDxtEGeY7f2D7eZD06KoKZLkDrPp3feNftYhar9O3-p_dsMBlLAthFFjut6tnuHjPTIo9BSibzrw5TllZ62VLOElc-KJGy-q8JlAoQInssIm-2zwY_vPzgL8W_m_OOL5yQklRuWI2bnU0dcLEug5RJl_4VV9seYzepOX5l-bC28NTqlaoVFiuNuf3Y1LOsClrJYomY9yeH--3s7h83FclLglj-rmhabGLZ9o3FgxAjCRyiLCYwz7vkpQpCmziYZOOB-Xs0iv0RX6Vg6h4UstSOFm-w6FyMqRVRnEBBrtMi4GwKWRKoxpiirjxeYbgxzDU6R-5G0FtImu61TCGgGVj3iHHCpcDivtGgy9dEIKG3GvstgQ4Z1yjXZrnGrBTpbRTeXagUsw_4fKKHDQipacNQP1k9ayn6RIskS2PKWkvDPz1dZ-Ka7EKWwv18CRc9dI_L4m6_ObjheyNJ_2EJfacavV_n_hnWs-gr8Uk9f2zFT2NbJmY2MnZAu8j7uzWbAUumD1NgU-ULQcdygUAsbeCrHMkVZ_dXX2iXtG5rshgPQjE4x47mMkE7Q4U88AMFkwArdgDsFx7YZuI79aF8VsMCTSp5jv73AlAPCdCl9yqyRZCxRjqVRdCRUEqLkMsGc7BeUfkiyqv3zROq0Xnf7fGepUrG-Cv0s9GutVezPnY5vKfbt_1vsl6FpWh1dLh47rjL0_OkYT05e-PkU_9vN2id1Vpv_Gl_rtNobGNfj9fbae-sbrXtXrBRd_FR5wl8qT1LHJ6d-ma8koKxXkYFsoXAwF-NeOWHjaRK2k5m0nrxIFurxgRTkQ3oRN8cHjqXgBc2y1U3KaxNJeWsiqS5NJIt3JhL6roRm6gJZpA1HAzlEZf2RHB8N-62jkETAUYv-Ok2rh2iITFH6BbomQPcqcHwwsxFDM9fjRKWoICcP7hkx8kybrYzrIVxzzkwy4KlHIWskb4bwFkSIQJR5wrowQZSanHJCX0m7K5WiGWlc8scBxxXrIIiMhgOkuYWzlPjnXuZEyfPy6M1b9HB_sm_SxZsRvHs8cDk9MXDs-Gp5F4JNr87uRJRwQtNNDUH4Kl2RShBZlbUVcXltIzkRap0PN8DkjAZITcf5cVo-3vOR9mQ0oya8NlH15GTIu0ozuq-y0Wl3opQzqSguO-VNjoUx7wYu1Qy8OFa68pe387jgZ7P22d-n40PC" id="29" name="Picture"/>
            <a:graphic>
              <a:graphicData uri="http://schemas.openxmlformats.org/drawingml/2006/picture">
                <pic:pic>
                  <pic:nvPicPr>
                    <pic:cNvPr descr="C:/Users/15919/Desktop/论文草稿/temp/manuscript_figures_iv_gb0_t/figure_000005.png" id="30" name="Picture"/>
                    <pic:cNvPicPr>
                      <a:picLocks noChangeArrowheads="1" noChangeAspect="1"/>
                    </pic:cNvPicPr>
                  </pic:nvPicPr>
                  <pic:blipFill>
                    <a:blip r:embed="rId28"/>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5 | Find–Build completion of small molecules, assuming correct ligand identities.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bookmarkEnd w:id="31"/>
    <w:bookmarkEnd w:id="3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UTUxJySzJzM9LzNFNBBKVxZnFNck6abW1AFIXECs">
    <w:name w:val="MDFIGREF_eJyrrk7LTC9KTbMqLklMTzXUTUxJySzJzM9LzNFNBBKVxZnFNck6abW1AFIXECs"/>
    <w:basedOn w:val="BodyTextChar"/>
  </w:style>
  <w:style w:type="character" w:customStyle="1" w:styleId="MDFIGREF_eJyrrk7LTC9KTbMqLklMTzXUTUxJySzJzM9LzNFNBBKVxZnFNSm1tQAy-g-a">
    <w:name w:val="MDFIGREF_eJyrrk7LTC9KTbMqLklMTzXUTUxJySzJzM9LzNFNBBKVxZnFNSm1tQAy-g-a"/>
    <w:basedOn w:val="BodyTextChar"/>
  </w:style>
  <w:style w:type="character" w:customStyle="1" w:styleId="MDFIGREF_eJyrrk7LTC9KTbMqLklMTzXUTUxJySzJzM9LzNFNBBKVxZnFNUk6qbW1AFIPECk">
    <w:name w:val="MDFIGREF_eJyrrk7LTC9KTbMqLklMTzXUTUxJySzJzM9LzNFNBBKVxZnFNUk6qbW1AFIPECk"/>
    <w:basedOn w:val="BodyTextChar"/>
  </w:style>
  <w:style w:type="character" w:customStyle="1" w:styleId="MDFIGREF_eJyrrk7LTC9KTbMqLklMTzXUTUxJySzJzM9LzNFNBBKVxZnFNYm1tQAy8Q-X">
    <w:name w:val="MDFIGREF_eJyrrk7LTC9KTbMqLklMTzXUTUxJySzJzM9LzNFNBBKVxZnFNYm1tQAy8Q-X"/>
    <w:basedOn w:val="BodyTextChar"/>
  </w:style>
  <w:style w:type="character" w:customStyle="1" w:styleId="MDFIGREF_eJyrrk7LTC9KTbMqLklMTzXUzcvXzUktS83RTc7PLUgsyizOz9P184_3cQ1z9alJ1EmurQUA5goSpw">
    <w:name w:val="MDFIGREF_eJyrrk7LTC9KTbMqLklMTzXUzcvXzUktS83RTc7PLUgsyizOz9P184_3cQ1z9alJ1EmurQUA5goSpw"/>
    <w:basedOn w:val="BodyTextChar"/>
  </w:style>
  <w:style w:type="character" w:customStyle="1" w:styleId="MDFIGREF_eJyrrk7LTC9KTbMqLklMTzXUzcvXzUktS83RTc7PLUgsyizOz9P184_3cQ1z9alJqq0FAMH4Ehk">
    <w:name w:val="MDFIGREF_eJyrrk7LTC9KTbMqLklMTzXUzcvXzUktS83RTc7PLUgsyizOz9P184_3cQ1z9alJqq0FAMH4Eh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VsrJLEktSsxRslJQqq5OKUpMK9HLTalJy0wvSk2zKi5JTE811M0vAynJ0S1ILUrLL8pNzEtO1Sgz1KxJ1EmprVXSUVAqzi8tSk4FmeFspR9anFpUrG9oamloqe-SWpxdkl-g_2LdrmfT2l_0dj5fsV8fZotSLQCLJzBH">
    <w:name w:val="MDFIGREF_eJyrVsrJLEktSsxRslJQqq5OKUpMK9HLTalJy0wvSk2zKi5JTE811M0vAynJ0S1ILUrLL8pNzEtO1Sgz1KxJ1EmprVXSUVAqzi8tSk4FmeFspR9anFpUrG9oamloqe-SWpxdkl-g_2LdrmfT2l_0dj5fsV8fZotSLQCLJzBH"/>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9" Type="http://schemas.openxmlformats.org/officeDocument/2006/relationships/image" Target="media/rId19.png"/><Relationship Id="rId23" Type="http://schemas.openxmlformats.org/officeDocument/2006/relationships/image" Target="media/rId23.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2026-10-30T07:13:03Z</dcterms:created>
  <dcterms:modified xsi:type="dcterms:W3CDTF">2026-10-30T07:13:03Z</dcterms:modified>
</cp:coreProperties>
</file>

<file path=docProps/custom.xml><?xml version="1.0" encoding="utf-8"?>
<Properties xmlns="http://schemas.openxmlformats.org/officeDocument/2006/custom-properties" xmlns:vt="http://schemas.openxmlformats.org/officeDocument/2006/docPropsVTypes"/>
</file>