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supplementary-information"/>
    <w:p>
      <w:pPr>
        <w:pStyle w:val="1"/>
        <w:keepNext/>
        <w:ind w:firstLine="0"/>
      </w:pPr>
      <w:r>
        <w:t xml:space="preserve">Supplementary Information</w:t>
      </w:r>
    </w:p>
    <w:bookmarkStart w:id="36" w:name="X79fe1fd3a7459b466bc6556a933066c252dbaf3"/>
    <w:p>
      <w:pPr>
        <w:pStyle w:val="2"/>
        <w:keepNext/>
        <w:ind w:firstLine="0"/>
      </w:pPr>
      <w:r>
        <w:t xml:space="preserve">Additional analyses of ligand-region detection</w:t>
      </w:r>
    </w:p>
    <w:p>
      <w:pPr>
        <w:pStyle w:val="FirstParagraph"/>
        <w:spacing w:line="360" w:lineRule="auto" w:after="120"/>
        <w:ind w:firstLine="420"/>
      </w:pPr>
      <w:r>
        <w:t xml:space="preserve">We evaluated instance-level</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t xml:space="preserve">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t xml:space="preserve"> </w:t>
      </w:r>
      <w:r>
        <w:t xml:space="preserve">(</w:t>
      </w:r>
      <w:r>
        <w:rPr>
          <w:rStyle w:val="MDFIGREF_eJyrrk7LTC9KTbMqLklMTzXUTUxJySzJzM9LzNFNBBKVxZnFNYm1tQAy8Q-X"/>
        </w:rPr>
        <w:t xml:space="preserve">Fig. 1a</w:t>
      </w:r>
      <w:r>
        <w:t xml:space="preserve">).</w:t>
      </w:r>
      <w:r>
        <w:t xml:space="preserve"> </w:t>
      </w:r>
      <w:r>
        <w:t xml:space="preserve">The corresponding small-molecule scores were 0.605, 0.499 and 0.337, preserving the same advantage</w:t>
      </w:r>
      <w:r>
        <w:t xml:space="preserve"> </w:t>
      </w:r>
      <w:r>
        <w:t xml:space="preserve">(</w:t>
      </w:r>
      <w:r>
        <w:rPr>
          <w:rStyle w:val="MDFIGREF_eJyrrk7LTC9KTbMqLklMTzXUTUxJySzJzM9LzNFNBBKVxZnFNSm1tQAy-g-a"/>
        </w:rPr>
        <w:t xml:space="preserve">Fig. 1d</w:t>
      </w:r>
      <w:r>
        <w:t xml:space="preserve">).</w:t>
      </w:r>
      <w:r>
        <w:t xml:space="preserve"> </w:t>
      </w:r>
      <w:r>
        <w:t xml:space="preserve">Instance-level precision and recall also remained higher with both LigandSeek-Find receptor inputs under this stricter criterion</w:t>
      </w:r>
      <w:r>
        <w:t xml:space="preserve"> </w:t>
      </w:r>
      <w:r>
        <w:t xml:space="preserve">(</w:t>
      </w:r>
      <w:r>
        <w:rPr>
          <w:rStyle w:val="MDFIGREF_eJyrrk7LTC9KTbMqLklMTzXUTUxJySzJzM9LzNFNBBKVxZnFNUk6qbW1AFIPECk"/>
        </w:rPr>
        <w:t xml:space="preserve">Fig. 1b, e</w:t>
      </w:r>
      <w:r>
        <w:t xml:space="preserve">).</w:t>
      </w:r>
      <w:r>
        <w:t xml:space="preserve"> </w:t>
      </w:r>
      <w:r>
        <w:t xml:space="preserve">Compared with the results at the 0.3 threshold</w:t>
      </w:r>
      <w:r>
        <w:t xml:space="preserve"> </w:t>
      </w:r>
      <w:r>
        <w:t xml:space="preserve">(</w:t>
      </w:r>
      <w:r>
        <w:rPr>
          <w:rStyle w:val="MDFIGREF_eJyrVsrJLEktSsxRslJQqq5OKUpMK9HLTalJy0wvSk2zKi5JTE811M0vAynJ0S1ILUrLL8pNzEtO1Sgz1KxJ1EmprVXSUVAqzi8tSk4FmeFspR9anFpUrG9oamloqe-SWpxdkl-g_2LdrmfT2l_0dj5fsV8fZotSLQCLJzBH"/>
        </w:rPr>
        <w:t xml:space="preserve">Fig. 5a, d</w:t>
      </w:r>
      <w:r>
        <w:t xml:space="preserve">),</w:t>
      </w:r>
      <w:r>
        <w:t xml:space="preserve"> </w:t>
      </w:r>
      <w:r>
        <w:t xml:space="preserve">the relative advantage of LigandSeek-Find over Emap2lig-Find became even more pronounced as the threshold was tightened from 0.3 to 0.5.</w:t>
      </w:r>
    </w:p>
    <w:p>
      <w:pPr>
        <w:pStyle w:val="BodyText"/>
        <w:spacing w:line="360" w:lineRule="auto" w:after="120"/>
        <w:ind w:firstLine="420"/>
      </w:pPr>
      <w:r>
        <w:t xml:space="preserve">To assess detection under limited candidate counts, we measured the fraction of distinct ligand instances recovered from ranked candidates</w:t>
      </w:r>
      <w:r>
        <w:t xml:space="preserve"> </w:t>
      </w:r>
      <w:r>
        <w:t xml:space="preserve">(</w:t>
      </w:r>
      <w:r>
        <w:rPr>
          <w:rStyle w:val="MDFIGREF_eJyrrk7LTC9KTbMqLklMTzXUTUxJySzJzM9LzNFNBBKVxZnFNck6abW1AFIXECs"/>
        </w:rPr>
        <w:t xml:space="preserve">Fig. 1c, f</w:t>
      </w:r>
      <w:r>
        <w:t xml:space="preserve">).</w:t>
      </w:r>
      <w:r>
        <w:t xml:space="preserve"> </w:t>
      </w:r>
      <w:r>
        <w:t xml:space="preserve">A ground-truth ligand instance was considered detected if at least one examined candidate shared a bidirectional coverage of at least 0.3 with it. Relative candidate counts of 100% and 300% allowed examining up to one and three times the ground-truth instance count per PDB, respectively. The small-molecule evaluation omitted only candidates assigned to non-small-molecule instances without omitting false-positive candidates.</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w:t>
      </w:r>
    </w:p>
    <w:p>
      <w:pPr>
        <w:pStyle w:val="CaptionedFigure"/>
        <w:keepNext/>
        <w:spacing w:line="240" w:lineRule="auto" w:before="0" w:after="0"/>
        <w:ind w:firstLine="0"/>
        <w:jc w:val="center"/>
      </w:pPr>
      <w:r>
        <w:drawing>
          <wp:inline>
            <wp:extent cx="5731510" cy="4338952"/>
            <wp:effectExtent b="0" l="0" r="0" t="0"/>
            <wp:docPr descr="Fig. 1 | Additional analyses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Emap2lig-Find receives the EMDB-recommended contour level. a, d, Instance-level \mathrm{PRAUC}_{0.5} for all ligands and small molecules at a bidirectional coverage threshold of 0.5. Bars show PDB-equal means, faint points show individual PDB entries, and error bars show 95% intervals from 10,000 PDB bootstrap resamples. b, e, Instance-level precision and recall at the same 0.5 threshold. Violins show PDB distributions; white circles and thick lines indicate medians and interquartile ranges. c, f, Mean detection completion at relative candidate counts of 100% and 300%. Detection retains a bidirectional coverage threshold of 0.3. Bars show PDB-equal means; error bars are defined as above." title="MDPPTFIG_eJztWd1u2zYUfhVCQIEVsC3ZqdtGbQO4TlMUSIagP7uZhoCmaIsIJXIkZcdddz0MQ3ezYTcbdr2rPsAKrC-z_jzGziFlx06LoWguFg8xYIk_H79zyHN0dCh-E2nqiigl0dufX77-9a_YOjrh3bcvf3rz-28drd1J1CKR4VbJKc8RN0yz7InlxmZZt7_d3c6yXW6PndJZ9u7Fn29--e7d8-_f_vEqywJhln2QsaIlR7bQ2aZ5LpxQFZVtCpe5FRZRjGpsPSqpOa414L-Mbs9STU5KWdl0dieLCud0GseWFbyktqM0r6BzrExJHVTNJJ4pk2ujGLdWVJNSxr0kuR6XVFRZtINsh8bfHrm55GSWTqkE3gcl6DUM4hEXLxCIPeZc74uKW9--UpulVlMGYoBHQhMQ9a4lWdRUH9YSm2jtVMPZwHGkqHKAjYWxbj8MTRoQ9AQFgqbh0pT3VOUsjKOWCQFjXj__EUzw98tXr1_84OVyat3ACvqhvmJQ2fcHeVmBGEWMfH3ki8MwY38H5Z8ul6t7czGhp2F4UM-hpfwkcT4a3IibKQfonph0SJc8I4Ol4UkwPLdEjYkUE1rlbcMn0Edy7jhDVAe5XZDwHyzFOSZMNlbzfW-KR5wft_fQR2s0Uc61ssLxnBjOuHbKWPLZ_cdXiTJkaOZq4FTZA_MxVVlnanYGORz0roK9cyIsYarU1ED_TLiCuIIDOczIzduqknNScleonNwrqe6BV3gdOuQxwCDkEKNmxBZqZgmVsvEa4O_e2CaHu3cJr5wR3LZIr9VPekSAMrSCSHD1lhdU8RO3QuHl2RKZSiU5g6cVuLavrVPd7HVXiDrrmvlJiimMQ_57B7t3_SKUJa9ymCIsh1O1IZJPubx05osUkejGWqO1sZr_H_0o31hrtMiDJqy1fXza2Imsu1WZqgNIcZucsfyonFGNx4LxXcVqCNxukTG6AvUoU_uoHuGd48VL8BpBh4P3VaO09jr7Nn9vIG7nEGsutH0SwcPzEgzOS_DkvATDNYK4WUoblrXBJJ3-WZQHxAsDxI1lN9k5N0lzeEDWsizM385mS9QRSkYiFyYk7JDWMzXlBjZTkBEBV6Fkjgk-WLdD7lJIBjH3wgyrzb-uAV5yWkGWNYb9mSNaCVwQD4HsSkxFjpi1fAzV4MaAcqMl3Xb_CuAdKE6lJWOjStJNWkmS-KEjpRxkpRTSR25pqUHxy1zsIr1DRxtrjctc7CL5Ed9Ya5zNxQj0MWHxYwgNu0yMuxBtcZsJMYxjQD2NsB3yhVASdqnL6EpyASFPjGqMyvYWmRWweydMGObDNnC6QrBjgp-prI-1jAKg5LmAeBz26hhQIUYbJyQnhlaTy7h5sfydbaw1LuPmRfKj8cZao0UOIH88_WDsvy5K7osQLQ2X1IkpBD4IaCLHCMdUjfOBlLSbJFd8oNuCQofsLjkMdxRj6cdmtlv_ktneWs1VqcGPnWMIuTmhUB0B4XpEhaveib5qkWh5BBL1b2x1-93k5NrW1s3tfu_ZbS1YCv9mh0s_aoebGzp77zikYQCuT-GAYa42fEljPnmrHcwE76lCaIsOgDOspoeCofmxwj6fHhpYO8tQyjCN_YlU7A-k4uY8Kl49joodLzVMs6phiNDuaCwmoKw9eippXhbdeRwajhL8dTu6msBERA7sW30o4XkVlA8XcwTTLPU4VSkoSHEF9xU7tqRSwwJflAMw-qzgNLfo1Mi36LAa_Ck0Aufp0BUBgTV-bxFGUug9ISVKxLIfHwoU9tzgtqzA4hgwD0GK71-rLEHxOh_WrIYVHs0OVL56ZkXTk7Ep8Q6GIyd3_CkVmd9ZnFb5duzGT-sM-xt3BRRDWOO1DRhQ_r4g1ca6-xy2a1gAND5sQSyd7tuAPS0t0NhfqaB6fFqkqawIHhKCvH5g-SAK7XLPn7GtlGkKD71cNK-WZdWsl9VLu8B_J_r2HwtNHKs" id="34" name="Picture"/>
            <a:graphic>
              <a:graphicData uri="http://schemas.openxmlformats.org/drawingml/2006/picture">
                <pic:pic>
                  <pic:nvPicPr>
                    <pic:cNvPr descr="C:/Users/15919/Desktop/论文草稿/temp/manuscript_figures_zladmh1y/figure_000001.png" id="35" name="Picture"/>
                    <pic:cNvPicPr>
                      <a:picLocks noChangeArrowheads="1" noChangeAspect="1"/>
                    </pic:cNvPicPr>
                  </pic:nvPicPr>
                  <pic:blipFill>
                    <a:blip r:embed="rId33"/>
                    <a:stretch>
                      <a:fillRect/>
                    </a:stretch>
                  </pic:blipFill>
                  <pic:spPr bwMode="auto">
                    <a:xfrm>
                      <a:off x="0" y="0"/>
                      <a:ext cx="5731510" cy="43389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Additional analyses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 Emap2lig-Find receives the EMDB-recommended contour level.</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Instance-level</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ascii="华文仿宋" w:hAnsi="华文仿宋" w:eastAsia="华文仿宋"/>
          <w:sz w:val="18"/>
        </w:rPr>
        <w:t xml:space="preserve"> </w:t>
      </w:r>
      <w:r>
        <w:rPr>
          <w:rFonts w:ascii="华文仿宋" w:hAnsi="华文仿宋" w:eastAsia="华文仿宋"/>
          <w:sz w:val="18"/>
        </w:rPr>
        <w:t xml:space="preserve">for all ligands and small molecules at a bidirectional coverage threshold of 0.5. Bars show PDB-equal means, faint points show individual PDB entries, and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Instance-level precision and recall at the same 0.5 threshold. Violins show PDB distributions; white circles and thick lines indicate medians and interquartile ranges.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Mean detection completion at relative candidate counts of 100% and 300%. Detection retains a bidirectional coverage threshold of 0.3. Bars show PDB-equal means; error bars are defined as above.</w:t>
      </w:r>
    </w:p>
    <w:bookmarkEnd w:id="36"/>
    <w:bookmarkStart w:id="40" w:name="Xa286c81aa9dba276b27d3ba5a7fbe4edefd38cb"/>
    <w:p>
      <w:pPr>
        <w:pStyle w:val="2"/>
        <w:keepNext/>
        <w:ind w:firstLine="0"/>
      </w:pPr>
      <w:r>
        <w:t xml:space="preserve">Ligand-region detection without a supplied contour level</w:t>
      </w:r>
    </w:p>
    <w:p>
      <w:pPr>
        <w:pStyle w:val="FirstParagraph"/>
        <w:spacing w:line="360" w:lineRule="auto" w:after="120"/>
        <w:ind w:firstLine="420"/>
      </w:pPr>
      <w:r>
        <w:t xml:space="preserve">We also evaluated Emap2lig-Find without an explicitly supplied EMDB-recommended contour level, using the same test cohorts and LigandSeek-Find predictions. Across all ligands, its mean semantic Dice, instance-level</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and</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t xml:space="preserve">were 0.050, 0.255 and 0.126, respectively. The corresponding small-molecule scores were 0.073, 0.462 and 0.293</w:t>
      </w:r>
      <w:r>
        <w:t xml:space="preserve"> </w:t>
      </w:r>
      <w:r>
        <w:t xml:space="preserve">(</w:t>
      </w:r>
      <w:r>
        <w:rPr>
          <w:rStyle w:val="MDFIGREF_eJyrrk7LTC9KTbMqLklMTzXUzcvXzUktS83RTc7PLUgsyizOz9P184_3cQ1z9alJ1EmurQUA5goSpw"/>
        </w:rPr>
        <w:t xml:space="preserve">Fig. 2a, c</w:t>
      </w:r>
      <w:r>
        <w:t xml:space="preserve">).</w:t>
      </w:r>
    </w:p>
    <w:p>
      <w:pPr>
        <w:pStyle w:val="BodyText"/>
        <w:spacing w:line="360" w:lineRule="auto" w:after="120"/>
        <w:ind w:firstLine="420"/>
      </w:pPr>
      <w:r>
        <w:t xml:space="preserve">Without a supplied contour level, Emap2lig-Find returned an average of 353.9 candidate regions per PDB entry, compared with 14.0 ground-truth ligand instances. At a bidirectional coverage threshold of 0.3, its PDB-equal mean instance-level precision and recall were 0.037 and 0.312, respectively</w:t>
      </w:r>
      <w:r>
        <w:t xml:space="preserve"> </w:t>
      </w:r>
      <w:r>
        <w:t xml:space="preserve">(</w:t>
      </w:r>
      <w:r>
        <w:rPr>
          <w:rStyle w:val="MDFIGREF_eJyrrk7LTC9KTbMqLklMTzXUzcvXzUktS83RTc7PLUgsyizOz9P184_3cQ1z9alJqq0FAMH4Ehk"/>
        </w:rPr>
        <w:t xml:space="preserve">Fig. 2b</w:t>
      </w:r>
      <w:r>
        <w:t xml:space="preserve">).</w:t>
      </w:r>
      <w:r>
        <w:t xml:space="preserve"> </w:t>
      </w:r>
      <w:r>
        <w:t xml:space="preserve">Despite this large candidate pool, recall still remained below that of Emap2lig-Find supplied with the recommended contour level (0.316), as well as LigandSeek-Find with CA2 receptors (0.594) or GT receptors (0.688). Under both conditions, particularly without a supplied contour level, Emap2lig-Find thus produced more false-positive candidates while achieving lower recall than LigandSeek-Find.</w:t>
      </w:r>
    </w:p>
    <w:p>
      <w:pPr>
        <w:pStyle w:val="CaptionedFigure"/>
        <w:keepNext/>
        <w:spacing w:line="240" w:lineRule="auto" w:before="0" w:after="0"/>
        <w:ind w:firstLine="0"/>
        <w:jc w:val="center"/>
      </w:pPr>
      <w:r>
        <w:drawing>
          <wp:inline>
            <wp:extent cx="5731510" cy="4323344"/>
            <wp:effectExtent b="0" l="0" r="0" t="0"/>
            <wp:docPr descr="Fig. 2 | Ligand-region detection without an explicitly supplied contour level. LigandSeek-Find uses deposited receptors (GT) or CryoAtom2-reconstructed receptors (CA2). Emap2lig-Find does not receive an explicit EMDB-recommended contour level. The top row shows all ligands (179 PDB entries, 2,502 instances); the next row shows only small molecules (94 PDB entries, 821 instances). a, c, Semantic Dice, instance-level \mathrm{PRAUC}_{0.3} and \mathrm{PRAUC}_{0.5} for all ligands and small molecules. Bars show PDB-equal means, faint points show individual PDB entries, and error bars show 95% intervals from 10,000 PDB bootstrap resamples. b, d, Instance-level precision and recall at bidirectional coverage thresholds of 0.3 and 0.5. Violins show PDB distributions; white circles and thick lines indicate medians and interquartile ranges." title="MDPPTFIG_eJztWc1uGzcQfhVCQIEGkLSSbDWRkhpwZDsIoKRGnOTSLQyKS2kJc0mW5Epymp6LokgvLXpp0XNPeYAGaF6m-XmMzpArWbJzCOJDo8ACpOXPx2-GnNnRkPyuZqjPa31Se_Pri1e__5M4Tye8_ebFL6___KNpjJ_X6qRmudNyyjPEDfpp-shx69K03e21e2m6x92J1yZN3z7_-_VvP7x99uObv16maSRM03cyKlpwZIudDaUbkk-5bDBdGGqF06px_6vj4f7j_SHCGTVeaHVcUHtSGhj4de3WrG_IvJDK9WdfprXce9NPEsdyXlDX1IYr6BxrW1APVTtJZtpmxmrGnRNqUsik02p9kRRUqLS2g2yHNjyO_KnkZNafUgm8dwtQcBDFIy5ZIBB7wrkZCsVdaF-pzfrOUAZigEdCExB1tltprao-KCU20dLrirOC40ihMoCNhXV-GIe2KhD0RAWipvGnKh9o5R2Mo44JAWNePfsZbPHvi5evnv8U5HLq_K4T9F19-a5yFwcFWZEYRYxCfRSKgzjj8ATlnyyXq31jMaEncXhUz6OlwiRxPgb8idspB-iBmDRJhzwlQzGhKmtYPoGFJhn3nOGSk5nwuS49oYrwuZGCCS9PiSsNlHlGGGinS0uC9zRRoo9y_4cFusQykI3VPNrtiPOTxgF6bum4A_MZ7YQH-1jOuPHaOvL5nYfXiLZkYE_1rtdFB2wN1nPeluwccrDbudYk-wU1HSkmkTfTwKu0Dzgx5asOQfbv7d0OdEXBVXbBLcjDnBOIUMTqGXG5njlCpSQyqA7y2td75HDvNuHKW8FdnXTq3VaHCFCOKogX124SDwyKz_0KhVboiAUyFVpyBu80cPW216ludNorRFce-jEFH7qx1qhvrOafoh-xjbVGnRxBuqS8YGRPMF5fhqqYjm3svNa9rOjre5DlVtli8V7Zoh6PYUH2NCvhL8UvckWfox5F3x2VI3xy_AkSgkbQ4U9JUSltgs6hLTwriN85xJqPbR9E8OCyBLuXJXh0WYLBGkFSLaWLy1phWs2t86gASBYGSCrLbrJzbpLmkC5trO5XIeHTCAndq5DwMWkOL8jaZgp-zm-KmuQ2hW0d7ppwb9Tg35YUujlVsD8aU6E8MVrgHAMEdntiKjLErO2kkJlbC_JGS7pe9zPAe9CFSkfGVhek3aq3Wq0wdKS1h_0lhY0fd7QwqMvGLvSnmDiPNtYaVxuwj8mPNjcrqZO7azsuAn1MODz5xHgHFQyl1JORyISNZ6IQGJmecksnnPgcuHItIfLqMYGEOQyDf8kmeSy0hO3cMu6STEAwFKMSOdxNMsuF54QJy_DgCof5XLATggfULkRhRgFQ8ExApA6AEGohelsvJCeWqsn5iIqn0zu1b-qktjyqr3Wvb7W77dZ8e6uztbW9_fSWEawP3yr5ou-VfGWWzi4c21cMwPUhHDDMl5YvaewHZ4GWSxpWNRfGoQPgDNX0UDA0P1bY_emhJRl3DKUM-km4QknCDUpSXaAkq_cnieeFgWmqEoYI44_HYgLKuuMnkmZF3j5NYsNxCz-dplETmIjIgH2rByW8YIHy4WKOYJqlHmcqRQUpruBQsxM8YR3kaNZd-KOd5ZxmDp0a-RYdzoAXxkbgPBu6IiCyJhcWYSSFORBSokQsh_GxQCEdtNyzHItjwDwAKaF_rbIEJet8WHMGVng0u6ez1bsV2p-PbYFPMByZx9sUcrq8VQnt2I2Huwz7K3cFFENY5bUVGFDhuSA11vk7HNIOLAAaX9Eolk6HLmLPSgs09isdVU_OirQvFcHLrF63040s70ShXfbDXdBKmfY9FXLRvFqWqlovZ5Z2ge9O7fv_AOQsgIk" id="38" name="Picture"/>
            <a:graphic>
              <a:graphicData uri="http://schemas.openxmlformats.org/drawingml/2006/picture">
                <pic:pic>
                  <pic:nvPicPr>
                    <pic:cNvPr descr="C:/Users/15919/Desktop/论文草稿/temp/manuscript_figures_zladmh1y/figure_000002.png" id="39" name="Picture"/>
                    <pic:cNvPicPr>
                      <a:picLocks noChangeArrowheads="1" noChangeAspect="1"/>
                    </pic:cNvPicPr>
                  </pic:nvPicPr>
                  <pic:blipFill>
                    <a:blip r:embed="rId37"/>
                    <a:stretch>
                      <a:fillRect/>
                    </a:stretch>
                  </pic:blipFill>
                  <pic:spPr bwMode="auto">
                    <a:xfrm>
                      <a:off x="0" y="0"/>
                      <a:ext cx="5731510" cy="432334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Ligand-region detection without an explicitly supplied contour level.</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Emap2lig-Find does not receive an explicit EMDB-recommended contour level. The top row shows all ligands (179 PDB entries, 2,502 instances); the next row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Semantic Dice, instance-level</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0.3</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ascii="华文仿宋" w:hAnsi="华文仿宋" w:eastAsia="华文仿宋"/>
          <w:sz w:val="18"/>
        </w:rPr>
        <w:t xml:space="preserve"> </w:t>
      </w:r>
      <w:r>
        <w:rPr>
          <w:rFonts w:ascii="华文仿宋" w:hAnsi="华文仿宋" w:eastAsia="华文仿宋"/>
          <w:sz w:val="18"/>
        </w:rPr>
        <w:t xml:space="preserve">for all ligands and small molecules. Bars show PDB-equal means, faint points show individual PDB entries, and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Instance-level precision and recall at bidirectional coverage thresholds of 0.3 and 0.5. Violins show PDB distributions; white circles and thick lines indicate medians and interquartile ranges.</w:t>
      </w:r>
    </w:p>
    <w:bookmarkEnd w:id="40"/>
    <w:bookmarkStart w:id="41" w:name="stage-1-ablation-of-ligandseek-find"/>
    <w:p>
      <w:pPr>
        <w:pStyle w:val="2"/>
        <w:keepNext/>
        <w:ind w:firstLine="0"/>
      </w:pPr>
      <w:r>
        <w:t xml:space="preserve">Stage 1: Ablation of LigandSeek-Find</w:t>
      </w:r>
    </w:p>
    <w:p>
      <w:pPr>
        <w:pStyle w:val="FirstParagraph"/>
        <w:spacing w:line="360" w:lineRule="auto" w:after="120"/>
        <w:ind w:firstLine="420"/>
      </w:pPr>
      <w:r>
        <w:t xml:space="preserve">As shown in Table 1,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1,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1 | Internal ablation of LigandSeek-Find on the full test set.</w:t>
      </w:r>
    </w:p>
    <w:tbl>
      <w:tblPr>
        <w:tblW w:type="pct" w:w="5000"/>
        <w:tblLayout w:type="fixed"/>
        <w:tblCaption w:val="Table 1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41"/>
    <w:bookmarkStart w:id="51" w:name="stage-3-end-to-end-top-k-success"/>
    <w:p>
      <w:pPr>
        <w:pStyle w:val="2"/>
        <w:keepNext/>
        <w:ind w:firstLine="0"/>
      </w:pPr>
      <w:r>
        <w:t xml:space="preserve">Stage 3: End-to-end top-k success</w:t>
      </w:r>
    </w:p>
    <w:bookmarkStart w:id="42"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42"/>
    <w:bookmarkStart w:id="46"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2953750"/>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hzV1cIx4Mp2UNQOhCQ9dQuD5o60hHeXLMnVj5sCvQVBkV5S9NKi557yADXQvEtRx3mMzpArWa4dIEgOhQ3YOxx-880PyfF8F2nu8ihh0eXP5xe__hXv9_Yvz1---f23ttZuHm2wyIBVxRQyAg2TNP3KgrFp2u0PuoM03QN76pRO07ev_nzzy7O3L55f_vE6TQNbmt6kq3gJRAU9aPGiaI1llbVK7kROu4JrJ1V1XHJzWmvEfR1tzxLN5mVR2WR2P41y53QSx1bkUHLbVhoq3Bwrgxy4NJN4pkymjRJgrawmZRH3Op1P45LLKo12iG1k_OexWxTAZsmUF8j7RcknMAzuCRcvEYQ9BdCHsgLr9WurWWI1F-gGeQpUIVHvXieNmuWjuiAVr51qOBs4WWLiCBtLY91hMO00INwJAYRIw59GPlCVs2jHrZASbS5e_IR1_-f89cWrH71f4NbtWslv28t3K3vTyPsKxOTixK9PvDgMGfsvBn-2Klf3s2VCZ8E8hOfopHySlI_GuwNmCgg9kJM222RP2T4et1MtwOQLOeG4MjDBmrMMHAiqPkMlkxlUTroF81cDK9YmLy74-h-K8hGpszsb-ZMcmKhRtszmasYcrjUYgUeDj4Wpsdd0twbMgXVstPc5wy0jET-TLme2FvQKx3XBkDWT_njDnqRjZtw5KLVjJ3U2AYeEd7ZU1w-5TNQR9tWmbZXv1bbUeCwF7ClRl1jEZdNyOcVRBlK38-V2XHo3jSb8GfmPpdfShK999F4XwKOG4P5tBG6n-7G8f__w8h3MnWv6uCnN3TrdNjvAnvzJEfWi5Ysw8G0tDeCNXzU0oYzBHsZu7Wih291sbBtsloPB7LwPD90vue4hvuU1__GnqmLxTk_tK5IQLHpTDtihd_4Y4LS1AqzpPHYD2awmnikUizZ78KSxtvjVykoHGUIEaKcMs87UwtVosuHZhru9FXxoFmrXqbKHvV3gi_fQ242vt3X6n7cTfYODwGoAiPpbm91-tzPvDfqbW_3O020tRYK_zePi7_W4MsNnN4aBhgG5PoQDzSiDFY354FduoOC-M-ZSW7qYlGE1HUlB15IW4uF0ZLC8VpCXYRL7ISz2M1jcjGDx-gQWU1_FNKsaTaR2x2M5oXIfnxU8K_PuIg6K4w79bLZ1NcFEZIbs9_oo0ZSG8miZIx7NKo6rkEKAnCp4qMSpZZUa5ryawK4xCm81zyw9NuJbbvgLFpTIeWW65iCwxjeKcFJIfSCLgjyS7O2DwLEhGcA7TOIYMY_Qi9-_tliB4ut8tLI4bLGT2ZHK1ic2nszHpqQvHhybhxmNLVazmtfTNswdE7TfXFdECYI1t7YBI8p_l6QaZ78HoEpGAqLpTQe3fHpoA_ZKWqJpv1Ih9PhK5ElRMRqRB_1eP7DciqJz2fcT5prME8dlsVSvy0XV1Mvq1bng7070_b_ek30r" id="44" name="Picture"/>
            <a:graphic>
              <a:graphicData uri="http://schemas.openxmlformats.org/drawingml/2006/picture">
                <pic:pic>
                  <pic:nvPicPr>
                    <pic:cNvPr descr="C:/Users/15919/Desktop/论文草稿/temp/manuscript_figures_zladmh1y/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3</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t xml:space="preserve"> </w:t>
      </w:r>
      <m:oMath>
        <m:r>
          <m:t>K</m:t>
        </m:r>
        <m:r>
          <m:rPr>
            <m:sty m:val="p"/>
          </m:rPr>
          <m:t>=</m:t>
        </m:r>
        <m:r>
          <m:t>1</m:t>
        </m:r>
      </m:oMath>
      <w:r>
        <w:t xml:space="preserve"> </w:t>
      </w:r>
      <w:r>
        <w:t xml:space="preserve">and 104 entries (58.1%) within</w:t>
      </w:r>
      <w:r>
        <w:t xml:space="preserve"> </w:t>
      </w:r>
      <m:oMath>
        <m:r>
          <m:t>K</m:t>
        </m:r>
        <m:r>
          <m:rPr>
            <m:sty m:val="p"/>
          </m:rPr>
          <m:t>≤</m:t>
        </m:r>
        <m:r>
          <m:t>10</m:t>
        </m:r>
      </m:oMath>
      <w:r>
        <w:t xml:space="preserve">.</w:t>
      </w:r>
    </w:p>
    <w:bookmarkEnd w:id="46"/>
    <w:bookmarkStart w:id="50"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5017040"/>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N2PGzUQ_1esfWpFkk3SC8ct7UlH7kOIK4p6RUJi0cnxOlnrvGtje5PLUSReEEKovBTxAuKZp_4BVKIP_CeIfvwZzNibj_soqtqHkoqqubVnxr8Ze2bssb-MNHV5lJDo2Y-Pnvz8R7zX3Xv26MHTX39pae1OowaJDLdKTniGQv0kTT-x3Ng07fS2OltpusvtiVM6TZ8__P3pT98-v__ds98ep2lAS9PLcCUtOELxLm_agkrZ1EJzKUqOXEa1E6o8Lqg5qTTIfRbdnCaanBaytMn0Vhrlzukkji3LeUFtS2leAnOkTEEddM04niqTaaMYt1aU40LG3Xb73bigokyjbUQbGP85cjPJyTSZUAm4HxZ0zPtBPcrFcwmUPeFcH4KJ1tNXetPEaspADeDgHACou9FOo7p7p5JIopVTNWYtjiNFmYHYSBjrDsPQdi0EnGBAsDT8qdv7qnQWxlHLhIAxT-7_AOv-96PHTx5-7_Vyat2OFfQqXr5T2suDvK4AjCqGvj_0zX6Ysf-C8WeL5eq8N5_QWRgezHPoKT9JnI-G2OFmwkF0X4xbZIPcI3tl1nSqyWHyhcq4lLh4akR8LABJcgaLZlsI6gL0G1iD15gpWVvL96QYiyHkxAVfEGqABn6SvAnSIqs4gUSjpWCXRKfC5aRUhDpVWFIIn4PEcEmdmHDiFHE5F4Y4XmiggaNJvwL1lthcTZFJNDeMlw7SEeMCKZubIG8dGex-QIBjxFyRrRim-aiSBOaRCYbZG3iiJBT-O1TkyLDKxtwB3to653xYFYm6DRt3vS8WL7UvqtFIML6rWFXAIs53RZejHUUAddsf3YwLr6amhD8D_7FuRorafO2t97QgPKgBbl0F4LY7r4v719cPXoDcPkeP66VZL--2yD4eBxR-YDzLScZL5Tg5FJBm2RHnJ82FwArNyzYgvazmDBNMzlrk4K4X6-905ygZ18oKx8P4vpmpHUjPLiQzg3RxpmLIgx7XThkSKBWgXoB-S5Ln7ThR6dp6o-GD_Z0Q6Czs_oZ_UQk4ZviyPGDKQEg6YI1hV4cgdtzv7z6IpU8CIiDCncD9A8HgqGmQac4NzG6ZUHsF1V2QDxl0QZ8q5eyFmv4P-P9SwA_X1huNtbX8bYwjtrbeaJCjUPASg6UzgepudcOEQ56TlTMd9zJfJu8eNAeKnXD3KRTqpPIl-bImuHZwt0GG1_-1NrgG1USDsOtXFQmEMqPAJpZTM8YaI9Tcdm2X-Y2U2utaty4iMhyolty5fbRLhlzCba5L_vwGborkBnxBUkmBB3cJQnVh6pRudnzcwv2Pwx0SY204Cy8DxMK5zN8nGbU5vzBwCNfBpho1e-0w-vxJjU8n29HnDRIt3pGi3uaNTq_TPu21O5vtjfa9m1qwBH61X-lL-TUzdHrpTalGAKxXwYBhmEULGPPKARYu2ZC0udAW3YgzLCcDwdCJ2GEfTwYGltAy1NJPYv-WF_unvLh-yYtXH_JizGSYZlnBEKHd8UiMMeWPzyTNirwziwPhuI3_Nlq6HMNERAboG1vQwsc-aA_mcwTXLOxYmhQMpLiCh7BNWVKqfk7LMd8xRkE5RzOLoYl4c4a_lAQiYC6HrigIqPGlRRhKofeFlKgR2358aFC4dhoOhSQ2RyBzB7R4_rnOQig-j4c9q2GFh9PbEMArD380OR2ZAr_gOHIanvrIbPHk5-nI5qeOMOTX4QpSDMXqqK2FQcp_56DaWHfAVUGwAdJYzAa1dHJog-yyNZdGfqmC6fGySRMJxwagbPW6vYBypRT6Zc8_VK60aeKokHPyaluW9XpZvfAL_Lajr_4BzYuATg" id="48" name="Picture"/>
            <a:graphic>
              <a:graphicData uri="http://schemas.openxmlformats.org/drawingml/2006/picture">
                <pic:pic>
                  <pic:nvPicPr>
                    <pic:cNvPr descr="C:/Users/15919/Desktop/论文草稿/temp/manuscript_figures_zladmh1y/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DG-PocketXmol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utSdJJrq0FANjnDNA"/>
        </w:rPr>
        <w:t xml:space="preserve">Fig. 4b, c</w:t>
      </w:r>
      <w:r>
        <w:t xml:space="preserve">).</w:t>
      </w:r>
      <w:r>
        <w:t xml:space="preserve"> </w:t>
      </w:r>
      <w:r>
        <w:t xml:space="preserve">In all evaluations, DG-PocketXmol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4b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4c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4a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50"/>
    <w:bookmarkEnd w:id="51"/>
    <w:bookmarkStart w:id="55"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UzcQfhUrUnuV5OyGDbABVoL9QZUWtGKFWqmpVo7PJMdaH9vYPsmGUoleVBWl9IaqN6163SseoEjlog_Qd0Dl5zE6c3ySzbJboCCVhmalbHzmzzPjz5mJ489rloes1mG1Z98_fPLjb8lma_PZw_tPf_6paW04qNVZzYE3aggpCa13ut3rHpzvdpfbq8ur3e4G-P1gbLf7_MGvT3_4-vm9O89-edTtRmvd7nFzmudApnxhbaMvddoQxjkQoZHzILJGr5AqJcFUeqv4eG8k0-hhu9mWmjiC2yCN3su52y8ssj6tnR91LDvIlfad0YVuLQvBdpLEiwxy7pvGgkZm3zicAx_dIBkZl1pnBHgv9SBXSWtp6XSSc6m7tTWytuPKt90wVsBGnSFXaPejnA9gPU5PcslEgmT3AexVOAhT6aVKZMKYCG1LDX7KqZ5GHW-5QF9QXSEJ9VsraKF6vFYoIvEimMpqJU6amEUU60vnw3ZUnUyNnOhlDCf-q8ZbRgePetwLKVHnyb3vcAX_fPjoyYO75bzAfbjoJT-Jl13U_rhSOVc0TFP0yudeOVyPEZfv6PzNaZaWz04CuhnVo3uBlrMMkuKxiEJwQ0DRLTlosja7xbYwuMe3718iwDBhcquA1oWZPvM5V4rlRoHAvPk6494XOSW3AhtTcsAxazIFHWSQ4Js0d4gevINUvUVC2Nx6vomrIHu4v15YL8Yd0nC5FDRQWqYFMNy0XEtxTHQkQ8a0YTyY3LNclvuZOVA8yCGwYFjIQDoWAAHCAy402xyCGzPLNSjEgw646T1JMY-fTezMGbazcQl9QHisrJxmyAxcC1LkCLe0zjZzbluKYAhIyOpsuwTTLsB-dGfdjc1F9KeFfgiwwThUliirjsumYI2XAdJZ2Y-RIzUDLjI2cKawdQzEli71TEDLzJmRZz4zI2I0liMLfGiYfqO9xNAm-HNMQT-ULCcHWcBgVZFjrA5uFBJTnAEfjhuUOXbtyu4G88FJEdR4bgF1dCvkHXMFq1tVF_LXqgum35cCNowocvxkmFSFkJEfeTRaOpF3fBizvPLTlm6WtPK9EglrH6pwjgghkqc2wlrrZPLj23dOYvyTOX__6oiFpErDPK_kPHmO221ufZ-j_XNqsX9etpKTKtdTphebHm-NTqk2YknkWFtOrr1lFcLCGQvipFvavfLR9uZuc7Z4FVhgJjXaYnvFNi43dozYh_AJ2mICVx8rTIoUlKmzUQYO8zGtnVFfYgJ1LNSDQpbekcNNdomLfSp8VNWQEDsCkXE3ACzAVNFMUdY6LxCEDBEIx8T9vrQW0ia7rlMIGAbWWNLsc6lwOK3rGDL1_UgoY8aO0GCriFXRNdmWcYvN_LLNHNauvge7ZX6rTaAtEWbAbMFR_1o_bIF7RYoicxvhvwTjP75c4Phddk1K4TeauXX_P9c4Pf72m5MbpBdw_jcf4280493FDnqHnlfdEeOBjjoQVWz98ExMxn5OF3kP64Pps1T6IDW2dr4QdAjaL9RMEUnlUKZoq7c4CvgfdD9NdtkBaEbnzPHcS0gn6HAtHjAhcLCjaMCNguMXBeA6duA9VcCMTip5jt8wZpRyQJourY-ZNZJSQJJDaRQduZWCaLkEo5O9gqCKIote5RWgay-97Yf1B-8BbOsLmLwcJstLC5wscPJqnLQWOJnv1m9x5PxKjJ9aYHy-MR5PsV74mR7_27XaZ3VWm94FqbWXWquIgYPTreWzp1eXb523UnTwVWGKvxamUsdHx-6FVBbQ1pvYQLVQOJiacW8M7niyh61yJq2nLFKEergjBeWQHsTV4Y5jKXhBs6x3kvLSTlLe2UmqKzvJ7I2dhL4zYpi6QBVpw15fDtBZv3dT8TTPlsdJJOwt0V-7afUAA5EpWm-v4Ihu9eB4ZxIjLs3Uj0OXooOcMrhtxL5n2qxnXA_gonNmlAFPPSGD7E0Y3oIIkYg2D1VnJohWk2NJ6Clpt6RSNCONS_044Li7HQSR0bCPMtdwlpJ_5GEqlBy1R0_eYoZ7oysmnb2XwzsHfZfTOy4cO7hQ3sRh4wuTGzklndh0T0gQv4IrSgkSq1BbCZeXhpJDo9b5cBlMzmiA0vTjTJyWD7d9lD0cTaSJr010PTkc8o7SjG5LrbZb7WjlRClal83yHtHMmHcCl2pCnh0rXeXL2-m64Gut9sVfYaGEvw" id="53" name="Picture"/>
            <a:graphic>
              <a:graphicData uri="http://schemas.openxmlformats.org/drawingml/2006/picture">
                <pic:pic>
                  <pic:nvPicPr>
                    <pic:cNvPr descr="C:/Users/15919/Desktop/论文草稿/temp/manuscript_figures_zladmh1y/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5"/>
    <w:bookmarkEnd w:id="5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MqLklMTzXUzcvXzUktS83RTc7PLUgsyizOz9P184_3cQ1z9alJqq0FAMH4Ehk">
    <w:name w:val="MDFIGREF_eJyrrk7LTC9KTbMqLklMTzXUzcvXzUktS83RTc7PLUgsyizOz9P184_3cQ1z9alJqq0FAMH4Eh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VsrJLEktSsxRslJQqq5OKUpMK9HLTalJy0wvSk2zKi5JTE811M0vAynJ0S1ILUrLL8pNzEtO1Sgz1KxJ1EmprVXSUVAqzi8tSk4FmeFspR9anFpUrG9oamloqe-SWpxdkl-g_2LdrmfT2l_0dj5fsV8fZotSLQCLJzBH">
    <w:name w:val="MDFIGREF_eJyrVsrJLEktSsxRslJQqq5OKUpMK9HLTalJy0wvSk2zKi5JTE811M0vAynJ0S1ILUrLL8pNzEtO1Sgz1KxJ1EmprVXSUVAqzi8tSk4FmeFspR9anFpUrG9oamloqe-SWpxdkl-g_2LdrmfT2l_0dj5fsV8fZotSLQCLJzBH"/>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2026-10-30T07:13:08Z</dcterms:created>
  <dcterms:modified xsi:type="dcterms:W3CDTF">2026-10-30T07:13:08Z</dcterms:modified>
</cp:coreProperties>
</file>

<file path=docProps/custom.xml><?xml version="1.0" encoding="utf-8"?>
<Properties xmlns="http://schemas.openxmlformats.org/officeDocument/2006/custom-properties" xmlns:vt="http://schemas.openxmlformats.org/officeDocument/2006/docPropsVTypes"/>
</file>