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t xml:space="preserve"> </w:t>
      </w:r>
      <m:oMath>
        <m:sSub>
          <m:e>
            <m:r>
              <m:rPr>
                <m:sty m:val="p"/>
              </m:rPr>
              <m:t>one-to-one PRAUC</m:t>
            </m:r>
          </m:e>
          <m:sub>
            <m:r>
              <m:t>0.3</m:t>
            </m:r>
          </m:sub>
        </m:sSub>
      </m:oMath>
      <w:r>
        <w:t xml:space="preserve"> </w:t>
      </w:r>
      <w: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33"/>
    <w:bookmarkStart w:id="34"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usually 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fFlRjogfm5qSUZ-im6ZSW0tAEGtD2Y"/>
        </w:rPr>
        <w:t xml:space="preserve">Figs. 1–2</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t xml:space="preserve"> </w:t>
      </w:r>
      <m:oMath>
        <m:sSub>
          <m:e>
            <m:r>
              <m:rPr>
                <m:sty m:val="p"/>
              </m:rPr>
              <m:t>one-to-one PRAUC</m:t>
            </m:r>
          </m:e>
          <m:sub>
            <m:r>
              <m:t>0.3</m:t>
            </m:r>
          </m:sub>
        </m:sSub>
      </m:oMath>
      <w:r>
        <w:t xml:space="preserve"> </w:t>
      </w:r>
      <w: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ltvHDUU_ivWPrVSs7O7yVIylEi5NKhSgqIGnhi08nrO7pp4bMv27KUUqW-AUHkB8cIPgKf-ACLR_4JIm5_BOfbsJSQPFTwgIm3m2Of4O9-5-PJly_IwaeWs9fbHy6uff8_evLi8_uUblNrWhnnrAWs58EZNoSSjw7woPvXgfFF0-7vd3aI4An8RjC2K61e_vfnp6-uX37799XVRJLSiuA2neQUENZLjLTMFN5UwG0x7pBLcBmn0oOLuorZo9Fnr0Sy3bF4p7fPZh0VrEoLNs8yLCVTct40FjcqRcRUPOHTjbGZcaZ0R4L3U40plvU7nvaziUhetPUI7c_FzHhYK2CyfcoW4Tyo-hsPknuyypQXZXgDYE6nBx_mN0Sz3lgt0gzgKpxCot9MpWs3waa1oitfBNJiNOa2UukSzkXQ-nKSlncYINYlAYpr-NfKx0cHjOu6FlLjm6uX3mPQ_L19fvfou-gXuw76X_C7dZF_724uirwRMLoZxPIziYYo4fpH8s1W6uu8vA3qWlid6gSoVg6R4LDYOlhfQ9FiO26zLnrN9zAWWCkoGutwKZgs_7Bgj_uPFD6c8iAl-D2qpMDfGXYyUmTEsLnMgjPbB1SJQtpUcc1xnjQfPRs5UTLiF2Xp8ykoeeJsYhcTrP0jgv0gT-98y_2QCTGpbI0PugHHNYG7ByQp04GpdHkAaYcEqbhlVEGSYgGMcFVhMSX2BpQYbsOap3DWiGbK4Y56nZpKCK4WYpgSlEGG4YIfobx-VvXZsLqaMwKbzTKBTiT0CyxZyMMYd79m9oTJDzw661H_9-4wLZ7xnyG6Tc5vFHmUjqQKegWzElYetyFxOgWE-SilCBCRwjkfQGGVMqSw3fC-dBrOkIdFJQBCkeM9BzKsOKZTz0ycnj8_vsxmmSurIyOMJys6ODnAPBbf4AFlHdwc9JpWqMT_kJMwMK6XH_SICo9T6hg_CrkAav4sHbIZ1wAZiB322IuBj2r8AQVT-Tr_N0j4VphrSaRhBmwzAOrFxd8YaUADRqKIcwo2go1XKLSZlDBpSDBMHsFVSF3lEw0a6sfNrOuFTMKASy8qgUCvuWGnERVQbo26eCHS07rU-x_tmdc-0-g-3u_1uZ97d3en2trefP7JS5Phrrh7-TldP6fjs1p3TICDWP8HAZdTqKxj3TiBmNJICjoyoaf8lJAeKx9acSOtpc1OEenomBW1tGoiPp2eYN_CCvBzmWbzos3jPZ801n23e8lmAymKYusYl0oYBXulI1g-0Nm5Q7-xkaWLQob9u2-oxBiJLRN9-iBK9BFA-W8aIpVnxWFNKBDll8ARr6pk2hxOux7DvnMG25aWnA4vwlgpvsRvSJGKul244SKjZrSQMlbTHuI3II8lxfRJ4jlsLsEdJxCNAPUUvUX9jsDLKbuLRyOOdzoazUzyqNh4GPJ-PXEVfLBybp6cAW6yeBHGe1DAPTJC-aVe0EmTWdG1jjFbxuwS1-MT4CHCDkYDWeJKG5JZPT3yyXUtLa9Jrk6hna5HnSjN6ie32e_2EcqcV1eVxfMhsyDwPXKrl9KasdJMvb1d1wd9e66u_AGvE6do" id="36" name="Picture"/>
            <a:graphic>
              <a:graphicData uri="http://schemas.openxmlformats.org/drawingml/2006/picture">
                <pic:pic>
                  <pic:nvPicPr>
                    <pic:cNvPr descr="C:/Users/15919/Desktop/论文草稿/temp/manuscript_figures_nnor_u44/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360" w:lineRule="auto" w:after="120"/>
        <w:ind w:firstLine="420"/>
      </w:pPr>
      <w:r>
        <w:t xml:space="preserve">LigandSeek takes protein and nucleic acid receptor structures, either deposited or automatically modelled by CryoAtom2, together with three-dimensional cryo-EM density maps.</w:t>
      </w:r>
    </w:p>
    <w:p>
      <w:pPr>
        <w:pStyle w:val="BodyText"/>
        <w:spacing w:line="360" w:lineRule="auto" w:after="120"/>
        <w:ind w:firstLine="420"/>
      </w:pPr>
      <w:r>
        <w:t xml:space="preserve">We represent protein and nucleic acid receptors uniformly as</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r>
          <m:t>n</m:t>
        </m:r>
      </m:oMath>
      <w:r>
        <w:t xml:space="preserve"> </w:t>
      </w:r>
      <w:r>
        <w:t xml:space="preserve">is the number of receptor atoms, and</w:t>
      </w:r>
      <w:r>
        <w:t xml:space="preserve"> </w:t>
      </w:r>
      <m:oMath>
        <m:sSub>
          <m:e>
            <m:r>
              <m:t>x</m:t>
            </m:r>
          </m:e>
          <m:sub>
            <m:r>
              <m:t>i</m:t>
            </m:r>
          </m:sub>
        </m:sSub>
        <m:r>
          <m:rPr>
            <m:sty m:val="p"/>
          </m:rPr>
          <m:t>∈</m:t>
        </m:r>
        <m:sSup>
          <m:e>
            <m:r>
              <m:rPr>
                <m:scr m:val="double-struck"/>
                <m:sty m:val="p"/>
              </m:rPr>
              <m:t>R</m:t>
            </m:r>
          </m:e>
          <m:sup>
            <m:r>
              <m:t>3</m:t>
            </m:r>
          </m:sup>
        </m:sSup>
      </m:oMath>
      <w:r>
        <w:t xml:space="preserve"> </w:t>
      </w:r>
      <w:r>
        <w:t xml:space="preserve">is the spatial position of atom</w:t>
      </w:r>
      <w:r>
        <w:t xml:space="preserve"> </w:t>
      </w:r>
      <m:oMath>
        <m:r>
          <m:t>i</m:t>
        </m:r>
      </m:oMath>
      <w:r>
        <w:t xml:space="preserve">. The representation</w:t>
      </w:r>
      <w:r>
        <w:t xml:space="preserve"> </w:t>
      </w:r>
      <m:oMath>
        <m:sSub>
          <m:e>
            <m:r>
              <m:t>a</m:t>
            </m:r>
          </m:e>
          <m:sub>
            <m:r>
              <m:t>i</m:t>
            </m:r>
          </m:sub>
        </m:sSub>
      </m:oMath>
      <w:r>
        <w:t xml:space="preserve"> </w:t>
      </w:r>
      <w:r>
        <w:t xml:space="preserve">encodes the atom’s attributes, such as its element type and amino acid or nucleotide type. These attributes are represented by a 50-dimensional feature vector for each receptor atom.</w:t>
      </w:r>
    </w:p>
    <w:p>
      <w:pPr>
        <w:pStyle w:val="BodyText"/>
        <w:spacing w:line="360" w:lineRule="auto" w:after="120"/>
        <w:ind w:firstLine="420"/>
      </w:pPr>
      <w:r>
        <w:t xml:space="preserve">Let</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denote the voxelised three-dimensional cryo-EM density map. The receptor structure yields a simulated density map</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of the same dimensions. From</w:t>
      </w:r>
      <w:r>
        <w:t xml:space="preserve"> </w:t>
      </w:r>
      <m:oMath>
        <m:sSub>
          <m:e>
            <m:r>
              <m:t>M</m:t>
            </m:r>
          </m:e>
          <m:sub>
            <m:r>
              <m:t>e</m:t>
            </m:r>
            <m:r>
              <m:t>x</m:t>
            </m:r>
            <m:r>
              <m:t>p</m:t>
            </m:r>
          </m:sub>
        </m:sSub>
      </m:oMath>
      <w:r>
        <w:t xml:space="preserve"> </w:t>
      </w:r>
      <w:r>
        <w:t xml:space="preserve">and</w:t>
      </w:r>
      <w:r>
        <w:t xml:space="preserve"> </w:t>
      </w:r>
      <m:oMath>
        <m:sSub>
          <m:e>
            <m:r>
              <m:t>M</m:t>
            </m:r>
          </m:e>
          <m:sub>
            <m:r>
              <m:t>s</m:t>
            </m:r>
            <m:r>
              <m:t>i</m:t>
            </m:r>
            <m:r>
              <m:t>m</m:t>
            </m:r>
          </m:sub>
        </m:sSub>
      </m:oMath>
      <w:r>
        <w:t xml:space="preserve">, we construct a 56-channel multi-view density bank</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t xml:space="preserve"> </w:t>
      </w:r>
      <w:r>
        <w:rPr>
          <w:rStyle w:val="MDFIGREF_eJyrrk7LTC9KTbMCUrq5qSUZ-Sm6ZSa1tQB3QQlZ"/>
        </w:rPr>
        <w:t xml:space="preserve">Fig. 2</w:t>
      </w:r>
      <w:r>
        <w:t xml:space="preserve"> </w:t>
      </w:r>
      <w:r>
        <w:t xml:space="preserve">shows the overall network architecture, with further details provided in Methods.</w:t>
      </w:r>
    </w:p>
    <w:p>
      <w:pPr>
        <w:pStyle w:val="BodyText"/>
        <w:spacing w:line="360" w:lineRule="auto" w:after="120"/>
        <w:ind w:firstLine="420"/>
      </w:pPr>
      <w:r>
        <w:t xml:space="preserve">Find combines receptor information and experimental density information to predict ligand regions. It produces</w:t>
      </w:r>
      <w:r>
        <w:t xml:space="preserve"> </w:t>
      </w:r>
      <m:oMath>
        <m:r>
          <m:t>J</m:t>
        </m:r>
      </m:oMath>
      <w:r>
        <w:t xml:space="preserve"> </w:t>
      </w:r>
      <w: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t xml:space="preserve">Each</w:t>
      </w:r>
      <w:r>
        <w:t xml:space="preserve"> </w:t>
      </w:r>
      <m:oMath>
        <m:sSub>
          <m:e>
            <m:r>
              <m:t>B</m:t>
            </m:r>
          </m:e>
          <m:sub>
            <m:r>
              <m:t>j</m:t>
            </m:r>
          </m:sub>
        </m:sSub>
      </m:oMath>
      <w:r>
        <w:t xml:space="preserve"> </w:t>
      </w:r>
      <w:r>
        <w:t xml:space="preserve">is a 26-connected region in the three-dimensional voxel grid.</w:t>
      </w:r>
    </w:p>
    <w:p>
      <w:pPr>
        <w:pStyle w:val="BodyText"/>
        <w:spacing w:line="360" w:lineRule="auto" w:after="120"/>
        <w:ind w:firstLine="420"/>
      </w:pPr>
      <w:r>
        <w:t xml:space="preserve">Match uses the density bank</w:t>
      </w:r>
      <w:r>
        <w:t xml:space="preserve"> </w:t>
      </w:r>
      <m:oMath>
        <m:r>
          <m:t>M</m:t>
        </m:r>
      </m:oMath>
      <w:r>
        <w:t xml:space="preserve">, the receptor pocket</w:t>
      </w:r>
      <w:r>
        <w:t xml:space="preserve"> </w:t>
      </w:r>
      <m:oMath>
        <m:r>
          <m:t>A</m:t>
        </m:r>
      </m:oMath>
      <w:r>
        <w:t xml:space="preserve"> </w:t>
      </w:r>
      <w:r>
        <w:t xml:space="preserve">surrounding each blob and auxiliary features from Find (</w:t>
      </w:r>
      <m:oMath>
        <m:r>
          <m:rPr>
            <m:sty m:val="p"/>
          </m:rPr>
          <m:t>A</m:t>
        </m:r>
        <m:r>
          <m:rPr>
            <m:sty m:val="p"/>
          </m:rPr>
          <m:t>U</m:t>
        </m:r>
        <m:r>
          <m:rPr>
            <m:sty m:val="p"/>
          </m:rPr>
          <m:t>X</m:t>
        </m:r>
      </m:oMath>
      <w:r>
        <w:t xml:space="preserve">) to associate the predicted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with user-provided ligand identities</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in the PDB entry. Here,</w:t>
      </w:r>
      <w:r>
        <w:t xml:space="preserve"> </w:t>
      </w:r>
      <m:oMath>
        <m:r>
          <m:t>K</m:t>
        </m:r>
      </m:oMath>
      <w:r>
        <w:t xml:space="preserve"> </w:t>
      </w:r>
      <w: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19"/>
                </w:rPr>
                <m:rPr>
                  <m:sty m:val="bi"/>
                </m:rPr>
                <m:t>M</m:t>
              </m:r>
              <m:r>
                <w:rPr>
                  <w:sz w:val="19"/>
                </w:rPr>
                <m:rPr>
                  <m:sty m:val="bi"/>
                </m:rPr>
                <m:t>a</m:t>
              </m:r>
              <m:r>
                <w:rPr>
                  <w:sz w:val="19"/>
                </w:rPr>
                <m:rPr>
                  <m:sty m:val="bi"/>
                </m:rPr>
                <m:t>t</m:t>
              </m:r>
              <m:r>
                <w:rPr>
                  <w:sz w:val="19"/>
                </w:rPr>
                <m:rPr>
                  <m:sty m:val="bi"/>
                </m:rPr>
                <m:t>c</m:t>
              </m:r>
              <m:r>
                <w:rPr>
                  <w:sz w:val="19"/>
                </w:rPr>
                <m:rPr>
                  <m:sty m:val="bi"/>
                </m:rPr>
                <m:t>h</m:t>
              </m:r>
              <m:r>
                <w:rPr>
                  <w:sz w:val="19"/>
                </w:rPr>
                <m:rPr>
                  <m:sty m:val="p"/>
                </m:rPr>
                <m:t>(</m:t>
              </m:r>
              <m:r>
                <w:rPr>
                  <w:sz w:val="19"/>
                </w:rPr>
                <m:t>M</m:t>
              </m:r>
              <m:r>
                <w:rPr>
                  <w:sz w:val="19"/>
                </w:rPr>
                <m:rPr>
                  <m:sty m:val="p"/>
                </m:rPr>
                <m:t>,</m:t>
              </m:r>
              <m:r>
                <w:rPr>
                  <w:sz w:val="19"/>
                </w:rPr>
                <m:t>A</m:t>
              </m:r>
              <m:r>
                <w:rPr>
                  <w:sz w:val="19"/>
                </w:rPr>
                <m:rPr>
                  <m:sty m:val="p"/>
                </m:rPr>
                <m:t>,</m:t>
              </m:r>
              <m:r>
                <w:rPr>
                  <w:sz w:val="19"/>
                </w:rPr>
                <m:t>A</m:t>
              </m:r>
              <m:r>
                <w:rPr>
                  <w:sz w:val="19"/>
                </w:rPr>
                <m:t>U</m:t>
              </m:r>
              <m:r>
                <w:rPr>
                  <w:sz w:val="19"/>
                </w:rPr>
                <m:t>X</m:t>
              </m:r>
              <m:r>
                <w:rPr>
                  <w:sz w:val="19"/>
                </w:rPr>
                <m:rPr>
                  <m:sty m:val="p"/>
                </m:rPr>
                <m:t>;</m:t>
              </m:r>
              <m:sSub>
                <m:e>
                  <m:r>
                    <w:rPr>
                      <w:sz w:val="19"/>
                    </w:rPr>
                    <m:t>B</m:t>
                  </m:r>
                </m:e>
                <m:sub>
                  <m:r>
                    <w:rPr>
                      <w:sz w:val="19"/>
                    </w:rPr>
                    <m:t>j</m:t>
                  </m:r>
                </m:sub>
              </m:sSub>
              <m:r>
                <w:rPr>
                  <w:sz w:val="19"/>
                </w:rPr>
                <m:rPr>
                  <m:sty m:val="p"/>
                </m:rPr>
                <m:t>,</m:t>
              </m:r>
              <m:r>
                <w:rPr>
                  <w:sz w:val="19"/>
                </w:rPr>
                <m:rPr>
                  <m:sty m:val="p"/>
                </m:rPr>
                <m:t>{</m:t>
              </m:r>
              <m:sSub>
                <m:e>
                  <m:r>
                    <w:rPr>
                      <w:sz w:val="19"/>
                    </w:rPr>
                    <m:t>S</m:t>
                  </m:r>
                </m:e>
                <m:sub>
                  <m:r>
                    <w:rPr>
                      <w:sz w:val="19"/>
                    </w:rPr>
                    <m:t>k</m:t>
                  </m:r>
                </m:sub>
              </m:sSub>
              <m:sSubSup>
                <m:e>
                  <m:r>
                    <w:rPr>
                      <w:sz w:val="19"/>
                    </w:rPr>
                    <m:rPr>
                      <m:sty m:val="p"/>
                    </m:rPr>
                    <m:t>}</m:t>
                  </m:r>
                </m:e>
                <m:sub>
                  <m:r>
                    <w:rPr>
                      <w:sz w:val="19"/>
                    </w:rPr>
                    <m:t>k</m:t>
                  </m:r>
                  <m:r>
                    <w:rPr>
                      <w:sz w:val="19"/>
                    </w:rPr>
                    <m:rPr>
                      <m:sty m:val="p"/>
                    </m:rPr>
                    <m:t>=</m:t>
                  </m:r>
                  <m:r>
                    <w:rPr>
                      <w:sz w:val="19"/>
                    </w:rPr>
                    <m:t>1</m:t>
                  </m:r>
                </m:sub>
                <m:sup>
                  <m:r>
                    <w:rPr>
                      <w:sz w:val="19"/>
                    </w:rPr>
                    <m:t>K</m:t>
                  </m:r>
                </m:sup>
              </m:sSubSup>
              <m:r>
                <w:rPr>
                  <w:sz w:val="19"/>
                </w:rPr>
                <m:rPr>
                  <m:sty m:val="p"/>
                </m:rPr>
                <m:t>)</m:t>
              </m:r>
              <m:r>
                <w:rPr>
                  <w:sz w:val="19"/>
                </w:rPr>
                <m:t>&amp;</m:t>
              </m:r>
              <m:r>
                <w:rPr>
                  <w:sz w:val="19"/>
                </w:rPr>
                <m:rPr>
                  <m:sty m:val="p"/>
                </m:rPr>
                <m:t>=</m:t>
              </m:r>
              <m:d>
                <m:dPr>
                  <m:begChr m:val="{"/>
                  <m:sepChr m:val=""/>
                  <m:endChr m:val=""/>
                  <m:grow/>
                </m:dPr>
                <m:e>
                  <m:m>
                    <m:mPr>
                      <m:baseJc m:val="center"/>
                      <m:plcHide m:val="on"/>
                      <m:mcs>
                        <m:mc>
                          <m:mcPr>
                            <m:mcJc m:val="left"/>
                            <m:count m:val="1"/>
                          </m:mcPr>
                        </m:mc>
                        <m:mc>
                          <m:mcPr>
                            <m:mcJc m:val="left"/>
                            <m:count m:val="1"/>
                          </m:mcPr>
                        </m:mc>
                      </m:mcs>
                    </m:mPr>
                    <m:mr>
                      <m:e>
                        <m:r>
                          <w:rPr>
                            <w:sz w:val="19"/>
                          </w:rPr>
                          <m:rPr>
                            <m:sty m:val="p"/>
                          </m:rPr>
                          <m:t>(</m:t>
                        </m:r>
                        <m:r>
                          <w:rPr>
                            <w:sz w:val="19"/>
                          </w:rPr>
                          <m:t>1</m:t>
                        </m:r>
                        <m:r>
                          <w:rPr>
                            <w:sz w:val="19"/>
                          </w:rPr>
                          <m:rPr>
                            <m:sty m:val="p"/>
                          </m:rPr>
                          <m:t>,</m:t>
                        </m:r>
                        <m:sSub>
                          <m:e>
                            <m:r>
                              <w:rPr>
                                <w:sz w:val="19"/>
                              </w:rPr>
                              <m:t>S</m:t>
                            </m:r>
                          </m:e>
                          <m:sub>
                            <m:r>
                              <w:rPr>
                                <w:sz w:val="19"/>
                              </w:rPr>
                              <m:t>k</m:t>
                            </m:r>
                          </m:sub>
                        </m:sSub>
                        <m:r>
                          <w:rPr>
                            <w:sz w:val="19"/>
                          </w:rPr>
                          <m:rPr>
                            <m:sty m:val="p"/>
                          </m:rPr>
                          <m:t>)</m:t>
                        </m:r>
                        <m:r>
                          <w:rPr>
                            <w:sz w:val="19"/>
                          </w:rPr>
                          <m:rPr>
                            <m:sty m:val="p"/>
                          </m:rPr>
                          <m:t>,</m:t>
                        </m:r>
                      </m:e>
                      <m:e>
                        <m:eqArr>
                          <m:e>
                            <m:r>
                              <w:rPr>
                                <w:sz w:val="19"/>
                              </w:rPr>
                              <m:t>&amp;</m:t>
                            </m:r>
                            <m:r>
                              <w:rPr>
                                <w:sz w:val="19"/>
                              </w:rPr>
                              <m:rPr>
                                <m:nor/>
                                <m:sty m:val="p"/>
                              </m:rPr>
                              <m:t>if </m:t>
                            </m:r>
                            <m:sSub>
                              <m:e>
                                <m:r>
                                  <w:rPr>
                                    <w:sz w:val="19"/>
                                  </w:rPr>
                                  <m:t>B</m:t>
                                </m:r>
                              </m:e>
                              <m:sub>
                                <m:r>
                                  <w:rPr>
                                    <w:sz w:val="19"/>
                                  </w:rPr>
                                  <m:t>j</m:t>
                                </m:r>
                              </m:sub>
                            </m:sSub>
                            <m:r>
                              <w:rPr>
                                <w:sz w:val="19"/>
                              </w:rPr>
                              <m:rPr>
                                <m:nor/>
                                <m:sty m:val="p"/>
                              </m:rPr>
                              <m:t> is not a false positive and corresponds to ligand identity </m:t>
                            </m:r>
                            <m:sSub>
                              <m:e>
                                <m:r>
                                  <w:rPr>
                                    <w:sz w:val="19"/>
                                  </w:rPr>
                                  <m:t>S</m:t>
                                </m:r>
                              </m:e>
                              <m:sub>
                                <m:r>
                                  <w:rPr>
                                    <w:sz w:val="19"/>
                                  </w:rPr>
                                  <m:t>k</m:t>
                                </m:r>
                              </m:sub>
                            </m:sSub>
                          </m:e>
                        </m:eqArr>
                      </m:e>
                    </m:mr>
                    <m:mr>
                      <m:e>
                        <m:r>
                          <w:rPr>
                            <w:sz w:val="19"/>
                          </w:rPr>
                          <m:rPr>
                            <m:sty m:val="p"/>
                          </m:rPr>
                          <m:t>(</m:t>
                        </m:r>
                        <m:r>
                          <w:rPr>
                            <w:sz w:val="19"/>
                          </w:rPr>
                          <m:t>0</m:t>
                        </m:r>
                        <m:r>
                          <w:rPr>
                            <w:sz w:val="19"/>
                          </w:rPr>
                          <m:rPr>
                            <m:sty m:val="p"/>
                          </m:rPr>
                          <m:t>,</m:t>
                        </m:r>
                        <m:r>
                          <w:rPr>
                            <w:sz w:val="19"/>
                          </w:rPr>
                          <m:rPr>
                            <m:sty m:val="p"/>
                          </m:rPr>
                          <m:t>∅</m:t>
                        </m:r>
                        <m:r>
                          <w:rPr>
                            <w:sz w:val="19"/>
                          </w:rPr>
                          <m:rPr>
                            <m:sty m:val="p"/>
                          </m:rPr>
                          <m:t>)</m:t>
                        </m:r>
                        <m:r>
                          <w:rPr>
                            <w:sz w:val="19"/>
                          </w:rPr>
                          <m:rPr>
                            <m:sty m:val="p"/>
                          </m:rPr>
                          <m:t>,</m:t>
                        </m:r>
                      </m:e>
                      <m:e>
                        <m:r>
                          <w:rPr>
                            <w:sz w:val="19"/>
                          </w:rPr>
                          <m:rPr>
                            <m:nor/>
                            <m:sty m:val="p"/>
                          </m:rPr>
                          <m:t>if </m:t>
                        </m:r>
                        <m:sSub>
                          <m:e>
                            <m:r>
                              <w:rPr>
                                <w:sz w:val="19"/>
                              </w:rPr>
                              <m:t>B</m:t>
                            </m:r>
                          </m:e>
                          <m:sub>
                            <m:r>
                              <w:rPr>
                                <w:sz w:val="19"/>
                              </w:rPr>
                              <m:t>j</m:t>
                            </m:r>
                          </m:sub>
                        </m:sSub>
                        <m:r>
                          <w:rPr>
                            <w:sz w:val="19"/>
                          </w:rPr>
                          <m:rPr>
                            <m:nor/>
                            <m:sty m:val="p"/>
                          </m:rPr>
                          <m:t> is a false positive</m:t>
                        </m:r>
                      </m:e>
                    </m:mr>
                  </m:m>
                </m:e>
              </m:d>
            </m:e>
          </m:eqArr>
        </m:oMath>
      </m:oMathPara>
    </w:p>
    <w:p>
      <w:pPr>
        <w:pStyle w:val="FirstParagraph"/>
        <w:spacing w:line="360" w:lineRule="auto" w:after="120"/>
        <w:ind w:firstLine="420"/>
      </w:pPr>
      <w: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360" w:lineRule="auto" w:after="120"/>
        <w:ind w:firstLine="420"/>
      </w:pPr>
      <w:r>
        <w:t xml:space="preserve">Build takes a specified initial binding site</w:t>
      </w:r>
      <w:r>
        <w:t xml:space="preserve"> </w:t>
      </w:r>
      <m:oMath>
        <m:r>
          <m:t>p</m:t>
        </m:r>
        <m:r>
          <m:rPr>
            <m:sty m:val="p"/>
          </m:rPr>
          <m:t>∈</m:t>
        </m:r>
        <m:sSup>
          <m:e>
            <m:r>
              <m:t>R</m:t>
            </m:r>
          </m:e>
          <m:sup>
            <m:r>
              <m:t>3</m:t>
            </m:r>
          </m:sup>
        </m:sSup>
      </m:oMath>
      <w:r>
        <w:t xml:space="preserve">, a small-molecule identity represented by SMILES and the surrounding pocket environment</w:t>
      </w:r>
      <w:r>
        <w:t xml:space="preserve"> </w:t>
      </w:r>
      <m:oMath>
        <m:r>
          <m:t>P</m:t>
        </m:r>
      </m:oMath>
      <w:r>
        <w:t xml:space="preserve">. It also accepts optional guiding density information</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t xml:space="preserve">and generates all-atom coordinates for the small molecule.</w:t>
      </w:r>
    </w:p>
    <w:p>
      <w:pPr>
        <w:pStyle w:val="BodyText"/>
        <w:spacing w:line="360" w:lineRule="auto" w:after="120"/>
        <w:ind w:firstLine="420"/>
      </w:pPr>
      <w: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drawing>
          <wp:inline>
            <wp:extent cx="3526416" cy="4165600"/>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 c, Foreground classification and identity assignment in Match. The candidate encoder processes a 48³ grid centred on each blob with a U-Net to generate voxel summary h_j^{\mathrm{vox}}. Find-derived blob, pocket and pseudo 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ztG9FuG7nxVwg9tajWchw7uAiJAV8cBynswIiTQ4GqMCju7C5rLsmSXMlKr0DeiqK4vrQoUPQH-nQvfesBPaCfcmju7jM6Q-7KcpyiiZ2LI1cG5N0lh8MZcmY4MyR_3bM8VL0h6333p69e_fWfgwMIlcm_fUkfa9aG016f9Rx4oyaQE9yD4Wj03IPzo9Gtrbu37o5Gu-BPgrGj0fdf_uPbP__2-y9-993fvh6NEsLR6I0YNa-BsBWyzOoIkE02qUJwG6TRxzV3J41FkJ_37k2Hlp3WSvvh9P6oV4Vgh4OBFxXU3K8ZCxorC-NqHvDTlYOpcbl1RoD3Upe1Gmysr98Z1FzqUW-bsB26-DgKMwVsOpxwhXgf17yEB6l7ght0EAR7AmD3pQYfyxe-pkNvucBuEI_CIkS0sbk-6rWfTxtFRbwJpsXZglNLqXMEK6TzYT81XW-BsCYRkChN_9r3PaODx3bcCymxzasv_oCj_u-vvn715e9jv8B92PGSv6mu2tH-YqPYV0JMXYzj9zi-PkgcxycS_2I-XLc-6Rh6kZon8gLNVGSS-LEoOeAmgKB7slxjG-xz9gQCTtAJ405UMoAIjQPGcShyHjgrlJkyU7B9WWLZEcDJNy__4tkejsg3L_94wIOo8PlpI1XOCodSRLjWiICQyLiG8brCqLDrpfwHmWm-tLPRZ0cVd5AzqW2DxoQ9PLXgZA06cMWEm5kMFEqsM5rVUjjjhbEzlgOSFWZLy_Z5IayHBtWsai1u_VYW1xSFFLBrRENj1dnbUBEd9dAfNWN6Av2LPYTtg3uDOvYZSwZtpU-AESZSjUVhxuqWMRv5imWp5WGLDc5huwSC06sisK_zE1kZdMwP2lFdLsHoMy_rRvGAKuFAgA3GraT92qXdX1VY5VUR1DdT2nNZFOBAC1hJ-bVLeX7tUl68XwQ3RE2u2WW9imOKQYY1qNZyAitdfzddP2rsSt0vpe70sJfC95OL-OzcfBy17ysL8gEpJ51hoQI25h5YIUHlGCU-15p0SUmPfjIZmRcZBoYOsoViBxENBpKUX_Ks0Tm40jAPE9AMuwoSQ8zguPZJMQmqj4GoUE1O6aVHvPHINcLWxoQKixb9lcwUWQfh2Y92zaMfI3kqYPSKbYmmzn_PNMiyGpvGVcbkDEWKCPPYXZ9ZZ_ImJrM427qTiYprDYphCBBkNpEw7Uwl8q9P1tihMwGkjvh1IxRIwbiQC8ECD6b2rOJocLfWs5xCaeoKWS2AU-bHMyTfRA7JPEmBVYSuBFNDcIhQ6vmArPI8H1OeZ7y0s9FnPzVSBzYxp5DEzdJ3JpRpcqaMIKWNEofSF3OPa2yH3d5lz7MnEJgw9Ziyv3NtOKdfJPJn0h0MahXkUrS9TdEaMBWTm5mDkrpArRvzsVTolwBak8dYwh1XClSfHUY6n3VmARz77HbSGMT9mpZFPjw0uWkLPK-tAsqTIkUVan121hWqMLJFapeoSLbGOGscMo7FaWwWlA_tnjNNWSVz4HGMoGMz9YStcJg021G24ntG5bczHzPsSOdMUDWrgWyK9DWTaJo4OWJqhvVFHM52oKJ95JRd82yMpo6NkX00Dp4MToSA14e74-XcUDKOlDVkfHESokFmAsdI5jx0U9Axz_ImGkpkN9nTPptWEkmHUzTJscOxMuM3jDH2OJE5JKFhosFuccRYTFSvzNXHZK7E0s5Gn-2h8JaofSh9QnFcrdFdT0pJAonyp0O0Q1hTanLhyW4lGWTPqkW5T7bDsXZ_jLSEbX7yr7-z0uG6LbAp5b8RMXBRRaFnU4k6yFvbh6pUgibdhdZE-KauuVtFT-8YPVX_M3oK2798zwHF5KoRjnm_efabE9KsRS8hQ83CJS0tFuhOG3GCKvPamnHmG9TobVNyfaU6K9X5_1Wd5c0GTCRHxxHdPmuMigF5dFrRJQ20ILer857cP-izGeUKYpQ7X4rPpwSWdhSuY6fh8hZgyZPvyZ2bO3ydN9eQI3d08Dh79nCXKa7Lhpfo69VjyEnoYhj6qwbcjD168iRLrXJcfxQIXIEcOn_cVmcLEwl2KpqLchcQCWQCg6KzioWwEVtiuIbktMFVSyaFYlLHtBnGicAOdz9l5GfOFrRiztFKKS6tFOVbKMXJzVQKdL64UihQnKLvLlSqgOddUsEvViykQVYS9m6-14VzLh_A97ryxswFzVi5Tte9keJMvbTErzyeD5r8IldCAXcaXRZhvNQQs7nkNowhTAFWbsJKkm60tUQNWFraV57wSsTfgvJ09IA2TDFMXNjHwIl28nRp2boO6ffvbOAv4VL334TghmrVah_3Y9rHXd6lkI5z-HgcwmgfXCO6EybxOltK7cUd17PDT2lDdmk5_qHN339LSiyhkemn_fosrX0Y6pxPos7aY0pxRxH0RDqTFkg65EKH-JRMB11yBKHQKBij_Lnt-hahRRn0SdhyKHijQoRl0qN4EvqfHeAXncjJQkOExP3_7qhT2cicawFr7DOpeZ_tyqLA2TmJ5D08ePh0Z3830sSVN5Ew4wLk500o_rfbvV_0WW9-zbd3e2vjzuatO6f427qzvv75PSvFEH-ttPC3kpbc8emFK78tBsR1GRzYjJLiczTu0mLrQKVjnZW0noSDONSTQylINOhDPJkc0gUrL6iXB8NBvGg9iPesB-0168HiLetBgNoim7rBJtKG40KWlME_phOpx83m5iAVHK_T38aa1SUyInPEHi8p0zVsfD_seMSpmdNxRlIikNMI7uNUe6bNg4rrEnacM1PKsnoSeMLXVXgLIqRCxHnWdKGDhHVwYRDGSto9qRT1SO-xfXrh6Ic4QC2h1wJhnmIvsf7cxxxocB4ffXmLIzyeHph88V42H54WrqYnThw7vR9vYrPZ_e5Gdiynatr6EFTfiitCCQJrpbYFRqj47JBa58MjtOmMXhAaV4CQuuWTfZ9gz946aKrXJpE-OHvlQ6UZXYS_u7WxlbC8EYrm5WG8R77wzoeBS9UVL74r3Y6Xt_N5wd927zf_AaCeG4Y" id="39" name="Picture"/>
            <a:graphic>
              <a:graphicData uri="http://schemas.openxmlformats.org/drawingml/2006/picture">
                <pic:pic>
                  <pic:nvPicPr>
                    <pic:cNvPr descr="C:/Users/15919/Desktop/论文草稿/temp/manuscript_figures_nnor_u44/figure_000002.png" id="40" name="Picture"/>
                    <pic:cNvPicPr>
                      <a:picLocks noChangeArrowheads="1" noChangeAspect="1"/>
                    </pic:cNvPicPr>
                  </pic:nvPicPr>
                  <pic:blipFill>
                    <a:blip r:embed="rId38"/>
                    <a:stretch>
                      <a:fillRect/>
                    </a:stretch>
                  </pic:blipFill>
                  <pic:spPr bwMode="auto">
                    <a:xfrm>
                      <a:off x="0" y="0"/>
                      <a:ext cx="3526416" cy="41656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Network architecture and data flow of LigandSeek’s Find–Match–Build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Shared inputs. Experimental cryo-electron microscopy density</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ascii="华文仿宋" w:hAnsi="华文仿宋" w:eastAsia="华文仿宋"/>
          <w:sz w:val="18"/>
        </w:rPr>
        <w:t xml:space="preserve">, simulated receptor density</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ascii="华文仿宋" w:hAnsi="华文仿宋" w:eastAsia="华文仿宋"/>
          <w:sz w:val="18"/>
        </w:rPr>
        <w:t xml:space="preserve">, difference density</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ascii="华文仿宋" w:hAnsi="华文仿宋" w:eastAsia="华文仿宋"/>
          <w:sz w:val="18"/>
        </w:rPr>
        <w:t xml:space="preserve">and positive difference density</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w:t>
      </w:r>
      <w:r>
        <w:rPr>
          <w:rFonts w:ascii="华文仿宋" w:hAnsi="华文仿宋" w:eastAsia="华文仿宋"/>
          <w:sz w:val="18"/>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Foreground classification and identity assignment in Match. The candidate encoder processes a 48³ grid centred on each blob with a U-Net to generate voxel summary</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Find-derived blob, pocket and pseudo atom features modulate</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w:t>
      </w:r>
      <w:r>
        <w:rPr>
          <w:rFonts w:ascii="华文仿宋" w:hAnsi="华文仿宋" w:eastAsia="华文仿宋"/>
          <w:sz w:val="18"/>
        </w:rPr>
        <w:t xml:space="preserve">via dual pooling, cross-attention and FiLM, yielding candidate representation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Finally, a foreground head predicts foreground probability</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ascii="华文仿宋" w:hAnsi="华文仿宋" w:eastAsia="华文仿宋"/>
          <w:sz w:val="18"/>
        </w:rPr>
        <w:t xml:space="preserve"> </w:t>
      </w:r>
      <w:r>
        <w:rPr>
          <w:rFonts w:ascii="华文仿宋" w:hAnsi="华文仿宋" w:eastAsia="华文仿宋"/>
          <w:sz w:val="18"/>
        </w:rPr>
        <w:t xml:space="preserve">from</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and learned cosine scoring between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ascii="华文仿宋" w:hAnsi="华文仿宋" w:eastAsia="华文仿宋"/>
          <w:sz w:val="18"/>
        </w:rPr>
        <w:t xml:space="preserve">produces the assignment matrix</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Pose reconstruction in Build. The blob geometric centre</w:t>
      </w:r>
      <w:r>
        <w:rPr>
          <w:rFonts w:ascii="华文仿宋" w:hAnsi="华文仿宋" w:eastAsia="华文仿宋"/>
          <w:sz w:val="18"/>
        </w:rPr>
        <w:t xml:space="preserve"> </w:t>
      </w:r>
      <m:oMath>
        <m:r>
          <m:t>p</m:t>
        </m:r>
      </m:oMath>
      <w:r>
        <w:rPr>
          <w:rFonts w:ascii="华文仿宋" w:hAnsi="华文仿宋" w:eastAsia="华文仿宋"/>
          <w:sz w:val="18"/>
        </w:rPr>
        <w:t xml:space="preserve">, Match-assigned ligand identity and pocket environment are supplied to docking tools to generate ligand poses. The default tool is PocketXMol fine-tuned with density guidance. Vina, DiffDock and EMERALD are also supported.</w:t>
      </w:r>
    </w:p>
    <w:bookmarkEnd w:id="41"/>
    <w:bookmarkStart w:id="103" w:name="results"/>
    <w:p>
      <w:pPr>
        <w:pStyle w:val="1"/>
        <w:keepNext/>
        <w:ind w:firstLine="0"/>
      </w:pPr>
      <w:r>
        <w:t xml:space="preserve">Results</w:t>
      </w:r>
    </w:p>
    <w:bookmarkStart w:id="54" w:name="stage-1"/>
    <w:p>
      <w:pPr>
        <w:pStyle w:val="2"/>
        <w:keepNext/>
        <w:ind w:firstLine="0"/>
      </w:pPr>
      <w:r>
        <w:t xml:space="preserve">Stage 1</w:t>
      </w:r>
    </w:p>
    <w:bookmarkStart w:id="42" w:name="stage-1-evaluation-metrics"/>
    <w:p>
      <w:pPr>
        <w:pStyle w:val="3"/>
        <w:keepNext/>
        <w:ind w:firstLine="0"/>
      </w:pPr>
      <w:r>
        <w:t xml:space="preserve">Stage 1: Evaluation metrics</w:t>
      </w:r>
    </w:p>
    <w:p>
      <w:pPr>
        <w:pStyle w:val="FirstParagraph"/>
        <w:spacing w:line="360" w:lineRule="auto" w:after="120"/>
        <w:ind w:firstLine="420"/>
      </w:pPr>
      <w:r>
        <w:t xml:space="preserve">For a given PDB structure, let the model predict</w:t>
      </w:r>
      <w:r>
        <w:t xml:space="preserve"> </w:t>
      </w:r>
      <m:oMath>
        <m:sSub>
          <m:e>
            <m:r>
              <m:t>N</m:t>
            </m:r>
          </m:e>
          <m:sub>
            <m:r>
              <m:t>p</m:t>
            </m:r>
            <m:r>
              <m:t>r</m:t>
            </m:r>
            <m:r>
              <m:t>e</m:t>
            </m:r>
            <m:r>
              <m:t>d</m:t>
            </m:r>
          </m:sub>
        </m:sSub>
      </m:oMath>
      <w:r>
        <w:t xml:space="preserve"> </w:t>
      </w:r>
      <w:r>
        <w:t xml:space="preserve">three-dimensional candidate blobs,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The structure contains</w:t>
      </w:r>
      <w:r>
        <w:t xml:space="preserve"> </w:t>
      </w:r>
      <m:oMath>
        <m:sSub>
          <m:e>
            <m:r>
              <m:t>N</m:t>
            </m:r>
          </m:e>
          <m:sub>
            <m:r>
              <m:t>g</m:t>
            </m:r>
            <m:r>
              <m:t>t</m:t>
            </m:r>
          </m:sub>
        </m:sSub>
      </m:oMath>
      <w:r>
        <w:t xml:space="preserve"> </w:t>
      </w:r>
      <w:r>
        <w:t xml:space="preserve">ground-truth ligand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where</w:t>
      </w:r>
      <w:r>
        <w:t xml:space="preserve"> </w:t>
      </w:r>
      <m:oMath>
        <m:sSub>
          <m:e>
            <m:r>
              <m:t>G</m:t>
            </m:r>
          </m:e>
          <m:sub>
            <m:r>
              <m:t>j</m:t>
            </m:r>
          </m:sub>
        </m:sSub>
      </m:oMath>
      <w:r>
        <w:t xml:space="preserve"> </w:t>
      </w:r>
      <w:r>
        <w:t xml:space="preserve">denotes the ligand region of instance</w:t>
      </w:r>
      <w:r>
        <w:t xml:space="preserve"> </w:t>
      </w:r>
      <m:oMath>
        <m:r>
          <m:t>j</m:t>
        </m:r>
      </m:oMath>
      <w:r>
        <w:t xml:space="preserve">. We set the bidirectional coverage threshold to</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t xml:space="preserve">We evaluated Find at both the semantic and instance levels. At the semantic level, performance was measured using the Dice score.</w:t>
      </w:r>
    </w:p>
    <w:p>
      <w:pPr>
        <w:pStyle w:val="BodyText"/>
        <w:spacing w:line="360" w:lineRule="auto" w:after="120"/>
        <w:ind w:firstLine="420"/>
      </w:pPr>
      <w:r>
        <w:t xml:space="preserve">At the instance level, predicted instances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t xml:space="preserve">and ground-truth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t xml:space="preserve">form the two vertex sets of a bipartite graph. An edge connects</w:t>
      </w:r>
      <w:r>
        <w:t xml:space="preserve"> </w:t>
      </w:r>
      <m:oMath>
        <m:sSub>
          <m:e>
            <m:r>
              <m:t>B</m:t>
            </m:r>
          </m:e>
          <m:sub>
            <m:r>
              <m:t>i</m:t>
            </m:r>
          </m:sub>
        </m:sSub>
      </m:oMath>
      <w:r>
        <w:t xml:space="preserve"> </w:t>
      </w:r>
      <w:r>
        <w:t xml:space="preserve">and</w:t>
      </w:r>
      <w:r>
        <w:t xml:space="preserve"> </w:t>
      </w:r>
      <m:oMath>
        <m:sSub>
          <m:e>
            <m:r>
              <m:t>G</m:t>
            </m:r>
          </m:e>
          <m:sub>
            <m:r>
              <m:t>j</m:t>
            </m:r>
          </m:sub>
        </m:sSub>
      </m:oMath>
      <w:r>
        <w:t xml:space="preserve"> </w:t>
      </w:r>
      <w:r>
        <w:t xml:space="preserve">if each covers at least a fraction</w:t>
      </w:r>
      <w:r>
        <w:t xml:space="preserve"> </w:t>
      </w:r>
      <m:oMath>
        <m:r>
          <m:t>τ</m:t>
        </m:r>
      </m:oMath>
      <w:r>
        <w:t xml:space="preserve"> </w:t>
      </w:r>
      <w:r>
        <w:t xml:space="preserve">of the other. We then used the Hungarian algorithm to obtain a maximum matching between the two sets. Let</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These quantities yield the one-to-one F1 score at threshold</w:t>
      </w:r>
      <w:r>
        <w:t xml:space="preserve"> </w:t>
      </w:r>
      <m:oMath>
        <m:r>
          <m:t>τ</m:t>
        </m:r>
      </m:oMath>
      <w:r>
        <w:t xml:space="preserve">,</w:t>
      </w:r>
      <w:r>
        <w:t xml:space="preserve"> </w:t>
      </w:r>
      <m:oMath>
        <m:sSub>
          <m:e>
            <m:r>
              <m:rPr>
                <m:sty m:val="p"/>
              </m:rPr>
              <m:t>1to1F1</m:t>
            </m:r>
          </m:e>
          <m:sub>
            <m:r>
              <m:t>τ</m:t>
            </m:r>
          </m:sub>
        </m:sSub>
      </m:oMath>
      <w:r>
        <w:t xml:space="preserve">. Ranking predicted instances by their mean voxel probability yields the corresponding one-to-one precision–recall area under the curve (PRAUC),</w:t>
      </w:r>
      <w:r>
        <w:t xml:space="preserve"> </w:t>
      </w:r>
      <m:oMath>
        <m:sSub>
          <m:e>
            <m:r>
              <m:rPr>
                <m:sty m:val="p"/>
              </m:rPr>
              <m:t>1to1PRAUC</m:t>
            </m:r>
          </m:e>
          <m:sub>
            <m:r>
              <m:t>τ</m:t>
            </m:r>
          </m:sub>
        </m:sSub>
      </m:oMath>
      <w:r>
        <w:t xml:space="preserve">. We use</w:t>
      </w:r>
      <w:r>
        <w:t xml:space="preserve"> </w:t>
      </w:r>
      <w:r>
        <w:t xml:space="preserve">“1to1”</w:t>
      </w:r>
      <w:r>
        <w:t xml:space="preserve"> </w:t>
      </w:r>
      <w:r>
        <w:t xml:space="preserve">and</w:t>
      </w:r>
      <w:r>
        <w:t xml:space="preserve"> </w:t>
      </w:r>
      <w:r>
        <w:t xml:space="preserve">“one-to-one”</w:t>
      </w:r>
      <w:r>
        <w:t xml:space="preserve"> </w:t>
      </w:r>
      <w:r>
        <w:t xml:space="preserve">interchangeably depending on the context.</w:t>
      </w:r>
    </w:p>
    <w:p>
      <w:pPr>
        <w:pStyle w:val="BodyText"/>
        <w:spacing w:line="360" w:lineRule="auto" w:after="120"/>
        <w:ind w:firstLine="420"/>
      </w:pPr>
      <w: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bookmarkEnd w:id="42"/>
    <w:bookmarkStart w:id="49" w:name="stage-1-results"/>
    <w:p>
      <w:pPr>
        <w:pStyle w:val="3"/>
        <w:keepNext/>
        <w:ind w:firstLine="0"/>
      </w:pPr>
      <w:r>
        <w:t xml:space="preserve">Stage 1: Results</w:t>
      </w:r>
    </w:p>
    <w:p>
      <w:pPr>
        <w:pStyle w:val="FirstParagraph"/>
        <w:spacing w:line="360" w:lineRule="auto" w:after="120"/>
        <w:ind w:firstLine="420"/>
      </w:pPr>
      <w:r>
        <w:t xml:space="preserve">Panels a, c and e of</w:t>
      </w:r>
      <w:r>
        <w:t xml:space="preserve"> </w:t>
      </w:r>
      <w:r>
        <w:rPr>
          <w:rStyle w:val="MDFIGREF_eJyrrk7LTC9KTbMqLklMTzXUzU3MzNMtzqwoSMxLzamtBQDDLQxG"/>
        </w:rPr>
        <w:t xml:space="preserve">Fig. 3</w:t>
      </w:r>
      <w:r>
        <w:t xml:space="preserve"> </w:t>
      </w:r>
      <w:r>
        <w:t xml:space="preserve">show predictions on the full test set. Panels b, d and f show evaluations restricted to small molecules. Ground-truth and predicted instances from other categories, such as sugars and metal ions, were excluded from both numerators and denominators.</w:t>
      </w:r>
    </w:p>
    <w:p>
      <w:pPr>
        <w:pStyle w:val="BodyText"/>
        <w:spacing w:line="360" w:lineRule="auto" w:after="120"/>
        <w:ind w:firstLine="420"/>
      </w:pPr>
      <w:r>
        <w:t xml:space="preserve">We compared LigandSeek-Find using either deposited or CryoAtom2-reconstructed receptors with the density-only method Emap2lig-Find</w:t>
      </w:r>
      <w:r>
        <w:t xml:space="preserve"> </w:t>
      </w:r>
      <w:r>
        <w:t xml:space="preserve">(</w:t>
      </w:r>
      <w:r>
        <w:rPr>
          <w:rStyle w:val="MDFIGREF_eJyrrk7LTC9KTbMqLklMTzXUzU3MzNMtzqwoSMxLzalJ1EmqrQUA9wANsQ"/>
        </w:rPr>
        <w:t xml:space="preserve">Fig. 3a, b</w:t>
      </w:r>
      <w:r>
        <w:t xml:space="preserve">).</w:t>
      </w:r>
      <w:r>
        <w:t xml:space="preserve"> </w:t>
      </w:r>
      <w:r>
        <w:t xml:space="preserve">Across the full test set, their mean Dice scores were 0.584, 0.477 and 0.050, respectively. Their mean</w:t>
      </w:r>
      <w:r>
        <w:t xml:space="preserve"> </w:t>
      </w:r>
      <m:oMath>
        <m:sSub>
          <m:e>
            <m:r>
              <m:rPr>
                <m:sty m:val="p"/>
              </m:rPr>
              <m:t>one-to-one PRAUC</m:t>
            </m:r>
          </m:e>
          <m:sub>
            <m:r>
              <m:t>0.3</m:t>
            </m:r>
          </m:sub>
        </m:sSub>
      </m:oMath>
      <w:r>
        <w:t xml:space="preserve"> </w:t>
      </w:r>
      <w:r>
        <w:t xml:space="preserve">scores were 0.663, 0.541 and 0.255, respectively</w:t>
      </w:r>
      <w:r>
        <w:t xml:space="preserve"> </w:t>
      </w:r>
      <w:r>
        <w:t xml:space="preserve">(</w:t>
      </w:r>
      <w:r>
        <w:rPr>
          <w:rStyle w:val="MDFIGREF_eJyrrk7LTC9KTbMqLklMTzXUzU3MzNMtzqwoSMxLzalJrK0FANzYDSM"/>
        </w:rPr>
        <w:t xml:space="preserve">Fig. 3a</w:t>
      </w:r>
      <w:r>
        <w:t xml:space="preserve">).</w:t>
      </w:r>
      <w:r>
        <w:t xml:space="preserve"> </w:t>
      </w:r>
      <w:r>
        <w:t xml:space="preserve">At the stricter matching threshold of 0.5, their mean</w:t>
      </w:r>
      <w:r>
        <w:t xml:space="preserve"> </w:t>
      </w:r>
      <m:oMath>
        <m:sSub>
          <m:e>
            <m:r>
              <m:rPr>
                <m:sty m:val="p"/>
              </m:rPr>
              <m:t>one-to-one PRAUC</m:t>
            </m:r>
          </m:e>
          <m:sub>
            <m:r>
              <m:t>0.5</m:t>
            </m:r>
          </m:sub>
        </m:sSub>
      </m:oMath>
      <w:r>
        <w:t xml:space="preserve"> </w:t>
      </w:r>
      <w:r>
        <w:t xml:space="preserve">scores were 0.558, 0.447 and 0.126, respectively. LigandSeek-Find outperformed Emap2lig-Find even without deposited receptor structures as input, and this trend persisted in the small-molecule test subset.</w:t>
      </w:r>
    </w:p>
    <w:p>
      <w:pPr>
        <w:pStyle w:val="BodyText"/>
        <w:spacing w:line="360" w:lineRule="auto" w:after="120"/>
        <w:ind w:firstLine="420"/>
      </w:pPr>
      <w:r>
        <w:t xml:space="preserve">Panels c and d compare LigandSeek-Find directly against Emap2lig-Find using</w:t>
      </w:r>
      <w:r>
        <w:t xml:space="preserve"> </w:t>
      </w:r>
      <m:oMath>
        <m:sSub>
          <m:e>
            <m:r>
              <m:rPr>
                <m:sty m:val="p"/>
              </m:rPr>
              <m:t>one-to-one PRAUC</m:t>
            </m:r>
          </m:e>
          <m:sub>
            <m:r>
              <m:t>0.3</m:t>
            </m:r>
          </m:sub>
        </m:sSub>
      </m:oMath>
      <w:r>
        <w:t xml:space="preserve"> </w:t>
      </w:r>
      <w:r>
        <w:t xml:space="preserve">(</w:t>
      </w:r>
      <w:r>
        <w:rPr>
          <w:rStyle w:val="MDFIGREF_eJyrrk7LTC9KTbMqLklMTzXUzU3MzNMtzqwoSMxLzalJ1kmprQUA9xANtQ"/>
        </w:rPr>
        <w:t xml:space="preserve">Fig. 3c, d</w:t>
      </w:r>
      <w:r>
        <w:t xml:space="preserve">).</w:t>
      </w:r>
      <w:r>
        <w:t xml:space="preserve"> </w:t>
      </w:r>
      <w:r>
        <w:t xml:space="preserve">With CryoAtom2-reconstructed receptors, LigandSeek-Find outperformed Emap2lig-Find on 112 structures, performed comparably on 40 and was inferior on only 27 across the full test set</w:t>
      </w:r>
      <w:r>
        <w:t xml:space="preserve"> </w:t>
      </w:r>
      <w:r>
        <w:t xml:space="preserve">(</w:t>
      </w:r>
      <w:r>
        <w:rPr>
          <w:rStyle w:val="MDFIGREF_eJyrrk7LTC9KTbMqLklMTzXUzU3MzNMtzqwoSMxLzalJrq0FANzeDSU"/>
        </w:rPr>
        <w:t xml:space="preserve">Fig. 3c</w:t>
      </w:r>
      <w:r>
        <w:t xml:space="preserve">),</w:t>
      </w:r>
      <w:r>
        <w:t xml:space="preserve"> </w:t>
      </w:r>
      <w:r>
        <w:t xml:space="preserve">demonstrating a substantial overall advantage. Emap2lig primarily targets small-molecule identification and modelling, and its detection performance was better for small molecules than across all ligand categories, as shown in</w:t>
      </w:r>
      <w:r>
        <w:t xml:space="preserve"> </w:t>
      </w:r>
      <w:r>
        <w:rPr>
          <w:rStyle w:val="MDFIGREF_eJyrrk7LTC9KTbMqLklMTzXUzU3MzNMtzqwoSMxLzalJ1EmqrQUA9wANsQ"/>
        </w:rPr>
        <w:t xml:space="preserve">Fig. 3a, b</w:t>
      </w:r>
      <w:r>
        <w:t xml:space="preserve">.</w:t>
      </w:r>
    </w:p>
    <w:p>
      <w:pPr>
        <w:pStyle w:val="BodyText"/>
        <w:spacing w:line="360" w:lineRule="auto" w:after="120"/>
        <w:ind w:firstLine="420"/>
      </w:pPr>
      <w: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t xml:space="preserve"> </w:t>
      </w:r>
      <w:r>
        <w:t xml:space="preserve">(</w:t>
      </w:r>
      <w:r>
        <w:rPr>
          <w:rStyle w:val="MDFIGREF_eJyrrk7LTC9KTbMqLklMTzXUzU3MzNMtzqwoSMxLzalJ1UmrrQUA9yANuQ"/>
        </w:rPr>
        <w:t xml:space="preserve">Fig. 3e, f</w:t>
      </w:r>
      <w:r>
        <w:t xml:space="preserve">).</w:t>
      </w:r>
      <w:r>
        <w:t xml:space="preserve"> </w:t>
      </w:r>
      <w:r>
        <w:t xml:space="preserve">Because downstream tasks cannot tolerate overwhelming candidate pools, inflating recall at the expense of precision is impractical. In contrast, LigandSeek-Find balanced precision and recall effectively</w:t>
      </w:r>
      <w:r>
        <w:t xml:space="preserve"> </w:t>
      </w:r>
      <w:r>
        <w:t xml:space="preserve">(</w:t>
      </w:r>
      <w:r>
        <w:rPr>
          <w:rStyle w:val="MDFIGREF_eJyrrk7LTC9KTbMqLklMTzXUzU3MzNMtzqwoSMxLzalJ1UmrrQUA9yANuQ"/>
        </w:rPr>
        <w:t xml:space="preserve">Fig. 3e, f</w:t>
      </w:r>
      <w:r>
        <w:t xml:space="preserve">).</w:t>
      </w:r>
      <w:r>
        <w:t xml:space="preserve"> </w:t>
      </w:r>
      <w:r>
        <w:t xml:space="preserve">While this low precision directly depressed the Dice score of Emap2lig-Find, its top-k success rates remained moderate</w:t>
      </w:r>
      <w:r>
        <w:t xml:space="preserve"> </w:t>
      </w:r>
      <w:r>
        <w:t xml:space="preserve">(</w:t>
      </w:r>
      <w:r>
        <w:rPr>
          <w:rStyle w:val="MDFIGREF_eJyrrk7LTC9KTbNKNUrVTczJ0U3LzEvRzU0sSc6orQUApM0LCA"/>
        </w:rPr>
        <w:t xml:space="preserve">Fig. 13</w:t>
      </w:r>
      <w:r>
        <w:t xml:space="preserve">,</w:t>
      </w:r>
      <w:r>
        <w:t xml:space="preserve"> </w:t>
      </w:r>
      <w:r>
        <w:rPr>
          <w:rStyle w:val="MDFIGREF_eJyrrk7LTC9KTbNKNUrVLc5NzMnRLcgsSM3JzEutSaytBQDAfQxA"/>
        </w:rPr>
        <w:t xml:space="preserve">Fig. 14a</w:t>
      </w:r>
      <w:r>
        <w:t xml:space="preserve">),</w:t>
      </w:r>
      <w:r>
        <w:t xml:space="preserve"> </w:t>
      </w:r>
      <w:r>
        <w:t xml:space="preserve">indicating that true instances were still ranked preferentially near the top. Because PRAUC evaluates candidate ranking quality rather than unranked voxel overlap, its PRAUC was correspondingly much higher than its Dice score.</w:t>
      </w:r>
    </w:p>
    <w:p>
      <w:pPr>
        <w:pStyle w:val="CaptionedFigure"/>
        <w:keepNext/>
        <w:spacing w:line="240" w:lineRule="auto" w:before="0" w:after="0"/>
        <w:ind w:firstLine="0"/>
        <w:jc w:val="center"/>
      </w:pPr>
      <w:r>
        <w:drawing>
          <wp:inline>
            <wp:extent cx="5731510" cy="6361300"/>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F-PGzUQ_yrWSkggJdnd5HLtpaXSkeshpAOilj6x6OR4nax1XtvYzr9SnhFC5QXEC4hnnvoBqES_DP3zMZixN7n0rgIED1zQnZRb2zPzm7HH-9PsfJEY6qtkQJKX3z99_uNvqfN0yvOXT7978fNPHWP8MmmRxHKn5ZyXqDccFMUDx60rirx_kB8UxRF3Z16bonj15NcXP3z16vHXL395VhQRsCjeiKhozREtCts1FartxNJQxSXKGTVeaHVaU3s2M6D5aXJ7MTBkWUvlBot3i6Ty3gzS1LGK19R1tOEKhBNta-phaqfpQtvSWM24c0JNa5l2s2w_RVdFcgfRRjY87vuV5GQxmFMJuB_UENEwuke9dK2BumecmxOhuAvrW7PFwBnKwA3gSFgCoO5eViTN9N5M4hKded1gNupoKVQJahNhnT-JplmjBJIYQIw0_mvGx1p5B3bUMSHA5vnjb-Hwf3_67PmTb4JfTp0_dIK-SVYdKnfZKPiKwOhiHObjMBzGHYcnBP9wc1z5zfWGHkbzGJ7HTIVN4n4MXCBu5xxUj8W0Q3rkETkRU6rKtuVTOGhScs8ZHjkZrxrRfc7P2sdwBB3E9RH9PziGf7FZsrORX0gBmTnuIElGO-F5SbQlQ7vSh17XXUgh08p5O2Moghk3HhTiygwwCUAR4QjTtaEWdBbCV8RXHBBhG37V1kquyJg6ji8LuVtT05ViGrNPPgFFySce7OWsVsRVegGYUhIZonTk7fzGARkdvUe48lZw1yLdVj_rEgFhUQUE8M6t4M6KaeUb--DS1QhTa8kZvKEAdLD3Os7Nbr6Fcn0TrxKV0J3NRmtnI_8_3qPxzmajRUbctpGwjgTjxDG9ZluteNtr4FVORvcOHwwJ9cCAIK20BMLUE5J1ekEz6_Q75K61wNhjal1gR3LQfwtoz4MbKh2BoirQZ82pIhOra5JnrSzLyFhrDzRPDbC-o7VBCgXoLQa9ZsyrdNPZzmbjmjGv0j0qdzYbLWBKqFB9U4sKB5UrUtblehe_5f6qxnWxkr1Qr17EMtziZ6kjY-6BUluNbzqGAhSYFT5THQfCJnneTfeytHtjm0AD-W7XusjZoNXbT_ObQXihhm0hFxv8mJpzubrm36v03vCdzcY1_16lezTZ2Wy0yMfnlSmsM-Gw6YOkBhMksu1CtalToT6lrCJGQ0kKagEO9xiq24YqV7cItgDJohKeEyYsk00p7CvBzmJtC2wsGAV5rGZLQaPrUOp-PqPWC8mJpWrK_4xGsSN3J_msRZJNezLp3-jl_Txb7vf2816WPbptBBvAr-lY0r_VsSwtXVxqVTYIgPVPMMAMezAbGPu3QPRkAh8UR5rNajjciGS5pNihc5UwDrOOO1TzkWCYc5ywj-YjS0ruGHoZDtLQJ05DmzhtusTpdpM49bw2sE01AxNh_OlETLFhdKqUtqezvb00Lpxm-NfrGDWFjYgS0Pf6MMIuMoxH6z1CajZxnIcUA6R4gieanTmi9LDCHB_CV8-i4rR0eJMRby0ImY-LgHluuuUgoqaXDmEshTkWUqJHHAf7OKADqCC4ZxUOJ6BzD7wE-WuTjVL6Oh7OnIETHi8-1OV2P5kOlhNb4xMSR5axg0xWm05yWEcxX0Llg_LmuoIWQ7Xm1jbKoBWea1BjnX-fw2cfDkAbC6jols5PXNQ9H621Ua50DD09H9KBhLcUUA763X5EeaMW5uVu6H9vjenAUyHXy9tjqZrzcmaTF_jdSb78A7KsfTI" id="44" name="Picture"/>
            <a:graphic>
              <a:graphicData uri="http://schemas.openxmlformats.org/drawingml/2006/picture">
                <pic:pic>
                  <pic:nvPicPr>
                    <pic:cNvPr descr="C:/Users/15919/Desktop/论文草稿/temp/manuscript_figures_nnor_u44/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Ligand-region detection by LigandSeek-Find.</w:t>
      </w:r>
      <w:r>
        <w:rPr>
          <w:rFonts w:ascii="华文仿宋" w:hAnsi="华文仿宋" w:eastAsia="华文仿宋"/>
          <w:sz w:val="18"/>
        </w:rPr>
        <w:t xml:space="preserve"> </w:t>
      </w:r>
      <w:r>
        <w:rPr>
          <w:rFonts w:ascii="华文仿宋" w:hAnsi="华文仿宋" w:eastAsia="华文仿宋"/>
          <w:sz w:val="18"/>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Per-PDB Dice scores and one-to-one PRAUC at thresholds of 0.3 and 0.5. Error bars show 95% intervals for the mean from 10,000 bootstrap resamples of PDB entries.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One-to-one precision and recall at threshold of 0.3. Each point represents one PDB entry; open white circles and thick bars indicate the median and interquartile range, respectively.</w:t>
      </w:r>
    </w:p>
    <w:p>
      <w:pPr>
        <w:pStyle w:val="BodyText"/>
        <w:spacing w:line="360" w:lineRule="auto" w:after="120"/>
        <w:ind w:firstLine="420"/>
      </w:pPr>
      <w:r>
        <w:t xml:space="preserve">At equal candidate counts, LigandSeek2-Find recovered more ligand instances than Emap2lig-Find</w:t>
      </w:r>
      <w:r>
        <w:t xml:space="preserve"> </w:t>
      </w:r>
      <w:r>
        <w:t xml:space="preserve">(</w:t>
      </w:r>
      <w:r>
        <w:rPr>
          <w:rStyle w:val="MDFIGREF_eJyrrk7LTC9KTbNKy8xL0c3Py6nUzcwrLknMS07VTc7PLchJLcnMz6utBQBF4BAX"/>
        </w:rPr>
        <w:t xml:space="preserve">Fig. 4</w:t>
      </w:r>
      <w:r>
        <w:t xml:space="preserve">).</w:t>
      </w:r>
      <w:r>
        <w:t xml:space="preserve"> </w:t>
      </w:r>
      <w:r>
        <w:t xml:space="preserve">We normalised the number of candidates examined by the reference instance count per PDB, with 100% denoting equal counts. At 100%, PDB-equal mean detection completion across all ligands was 66.4% with GT and 55.6% with CA2, compared with 25.9% for Emap2lig-Find. Across all small molecules (94 PDBs, 821 instances), the corresponding values were 70.5% and 59.8%, compared with 44.2% for Emap2lig-Find. At 300%, small-molecule completion reached 73.3% for GT and 68.5% for CA2, whereas Emap2lig-Find reached 51.6%. LigandSeek2-Find therefore concentrated more true ligand instances among the highest-ranked candidates under both receptor conditions.</w:t>
      </w:r>
    </w:p>
    <w:p>
      <w:pPr>
        <w:pStyle w:val="CaptionedFigure"/>
        <w:keepNext/>
        <w:spacing w:line="240" w:lineRule="auto" w:before="0" w:after="0"/>
        <w:ind w:firstLine="0"/>
        <w:jc w:val="center"/>
      </w:pPr>
      <w:r>
        <w:drawing>
          <wp:inline>
            <wp:extent cx="5731510" cy="4358285"/>
            <wp:effectExtent b="0" l="0" r="0" t="0"/>
            <wp:docPr descr="Fig. 4 | Ligand-instance detection by LigandSeek2-Find and Emap2lig-Find. a–c, All ligands, comprising 179 PDBs and 2,502 instances. d–f, All small molecules, comprising 94 PDBs and 821 instances. Left and middle, LigandSeek2-Find with deposited receptors (GT) and CryoAtom2-reconstructed receptors (CA2), respectively. Right, Emap2lig-Find. Each candidate is assigned to the instance with maximal geometric-mean coverage among pairs with bidirectional coverage of at least 0.3. The x-axis shows the number of candidates examined relative to the reference instance count per PDB; 100\% denotes equal counts. All candidates are examined for all ligands. For small molecules, candidates corresponding to out-of-scope ligands are omitted, while background candidates remain. The y-axis shows the fraction of distinct instances detected. Green lines and circles show the PDB-equal mean, and blue lines and diamonds show the median. Grey points and violins show PDB distributions at relative candidate counts of 50\%, 100\%, 200\% and 300\%." title="MDPPTFIG_eJztWd2KGzcUfhVhKDRge2yv3ey66cLGyYbCppgkveqURdbIHrGjn0oa_6Qp9KaUUtKbht70BXpRkotepYHmXUo3yWP0HGn8s9lQQkIbtnjBHs3ROd85kr6jo5W_rBnq81qf1J4_eHL68x_JoVBZ4yb1LG9cLUWRnX7z6-nj304fPX726EHTGD-v1UnNcqeLKc_QbtBP008dty5N27299l6aXuPuxGuTpi8e_v7sp29f3P_u-S9P0zQ6SNPX8qCo5Ig-RmWtikVDKOepYrzBtDQF90IrVGTUYPNYUntSGjD5rHZl1jdkLgvl-rOP0lruvekniWM5l9Q1teEKOsfaSurh1U6SmbaZsZpx54SayCLptFofJJIKldb2EW1ow-O2XxSczPpTWgDux5JO-CC6R71kqYG6J5ybI6G4C_KNt1nfGcrADeAUIAKgTreV1qrXW2WBIlp6XWFW6mgJcwFqY2GdP4qmrUoJemIAMdL4VbUPtfIO7KhjQoDN6f0fYFX-evL09OH3wS-nzh84QV_Vlx8od94o-IrA6GIU3kehOYgjDk8I_u5qutq7ywHdjeYxPI8rFQaJ4zHALG6nHFQPxaRJuuQeORITCiRYrj_JuOcMJ52MFlXnbc5POg0kFoE3cl1S0ynEJEia6MxHl-9gbt5iBsi7jfxfWVX659c_sgu7InVyUBSkCJxzdYI7kRW4Z5D25T0yvHbVBf516r1WhywJ65okg1GPo7GTFL6lLjiDVD8LstddY-x22psIR3zsg1yKLCt4_TzxZ8LnkBtGO-F5Rixn3HhtHXn_xp1LwXRgF_rAa9lpQKcGbFuyl1QHB51LdRA4gyk25cWiSW6JSe7rLyUVuU5ZThjAiox6TgREDbvnRAGe18TnfBV9jEzSuYChkwnXknsrWENyqmD0U25hHyVUapgBQ2FziwYjkQkbEx3MVnp6TKgnBbLgwtLobGLLvoZqmFcVS75WxdLjsWD8mmal5Mov65XPMQ4ZQf1-q7lzJZHBUZAllaeLNVlNcgfING8AfxxxuZ65wC5VyhG3SIcVCR3hcyqFCpQuKPJ3yUXLx9xyJOOKlUyXyhMDGJBzH2659M9cardaZ7i0_BqGh_MLIqsBmBB_kEXlYQXx3v-AjO-4JL9F5BlXOqTIF2XYToH8UFawIm3kD7V8nUPAEULX5a5JDkFwvnytrZm2WDk0CGArh8zTpW_occMxYN0SJvjQUnioPHUyywWcqEeUnUwshJRtwlmOJ_CY_ouX039saTwDwgaQCeeFYn5dL6szIoc6dcNyrggerWNdZcIyCDxABSTI_kacFCxI9aA0Kkq-YZMJrE7ZhpHkIFMBfUGMFrjwqDkVGswqRUAOsVkxKjFWh5VrtTOta2dcDBjJhSXXf7QJ9bZ7EB5CtzTZ1qotT96eJ50tTy72mQYq6IWN_T_i-M6W4-GfyDOzjRel-7XP66S2ujWu9S7vtHvt1ry709vt7PbuXTGC9eFTLQl9rSXJLJ2du0GuEADrTTDAzJeWr2DsG3MjnjzhGJoL43D6cIRqOhQMJw9f2CfToYWzs2PoZdBPwr1-Eq71k-pWP9m81E88lwaGqUowEcYfj8UEgnXHSml7XHa7SRQct_Cv2zRqAgMRGaB3YQUJ3vJDe7gcIyzNKo51SDFAijN4pNmJI0oPcqom_MBaPcs5zRxSAvGWHeH-KgoBc2264SCiJucmYVQIcyiKAj1iO9jHBoXksNyzHJtj0LkFXkL_mZeVUnIWD9-cgRkezW7qbPOan_bnYyvxCQtH5vFinyxWF_xBjt187gnD_oquoMVQrWJtpQxa4bkENdb5G1xLgg3Qxmu16JZOj1zUXbeW2tivdAw9WTdpv1AEf1fZ63V6EeWVWrgu18PPEhtt2vdUFEvxZrtQ1Xw5s1oX-OzXvvobwjcBCQ" id="47" name="Picture"/>
            <a:graphic>
              <a:graphicData uri="http://schemas.openxmlformats.org/drawingml/2006/picture">
                <pic:pic>
                  <pic:nvPicPr>
                    <pic:cNvPr descr="C:/Users/15919/Desktop/论文草稿/temp/manuscript_figures_nnor_u44/figure_000004.png" id="48" name="Picture"/>
                    <pic:cNvPicPr>
                      <a:picLocks noChangeArrowheads="1" noChangeAspect="1"/>
                    </pic:cNvPicPr>
                  </pic:nvPicPr>
                  <pic:blipFill>
                    <a:blip r:embed="rId46"/>
                    <a:stretch>
                      <a:fillRect/>
                    </a:stretch>
                  </pic:blipFill>
                  <pic:spPr bwMode="auto">
                    <a:xfrm>
                      <a:off x="0" y="0"/>
                      <a:ext cx="5731510" cy="435828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Ligand-instance detection by LigandSeek2-Find and Emap2lig-Find.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All ligands, comprising 179 PDBs and 2,502 instances. d–f, All small molecules, comprising 94 PDBs and 821 instances. Left and middle, LigandSeek2-Find with deposited receptors (GT) and CryoAtom2-reconstructed receptors (CA2), respectively. Right, Emap2lig-Find. Each candidate is assigned to the instance with maximal geometric-mean coverage among pairs with bidirectional coverage of at least</w:t>
      </w:r>
      <w:r>
        <w:rPr>
          <w:rFonts w:ascii="华文仿宋" w:hAnsi="华文仿宋" w:eastAsia="华文仿宋"/>
          <w:sz w:val="18"/>
        </w:rPr>
        <w:t xml:space="preserve"> </w:t>
      </w:r>
      <m:oMath>
        <m:r>
          <m:t>0.3</m:t>
        </m:r>
      </m:oMath>
      <w:r>
        <w:rPr>
          <w:rFonts w:ascii="华文仿宋" w:hAnsi="华文仿宋" w:eastAsia="华文仿宋"/>
          <w:sz w:val="18"/>
        </w:rPr>
        <w:t xml:space="preserve">. The x-axis shows the number of candidates examined relative to the reference instance count per PDB;</w:t>
      </w:r>
      <w:r>
        <w:rPr>
          <w:rFonts w:ascii="华文仿宋" w:hAnsi="华文仿宋" w:eastAsia="华文仿宋"/>
          <w:sz w:val="18"/>
        </w:rPr>
        <w:t xml:space="preserve"> </w:t>
      </w:r>
      <m:oMath>
        <m:r>
          <m:t>100</m:t>
        </m:r>
        <m:r>
          <m:rPr>
            <m:sty m:val="p"/>
          </m:rPr>
          <m:t>%</m:t>
        </m:r>
      </m:oMath>
      <w:r>
        <w:rPr>
          <w:rFonts w:ascii="华文仿宋" w:hAnsi="华文仿宋" w:eastAsia="华文仿宋"/>
          <w:sz w:val="18"/>
        </w:rPr>
        <w:t xml:space="preserve"> </w:t>
      </w:r>
      <w:r>
        <w:rPr>
          <w:rFonts w:ascii="华文仿宋" w:hAnsi="华文仿宋" w:eastAsia="华文仿宋"/>
          <w:sz w:val="18"/>
        </w:rPr>
        <w:t xml:space="preserve">denotes equal counts. All candidates are examined for all ligands. For small molecules, candidates corresponding to out-of-scope ligands are omitted, while background candidates remain. The y-axis shows the fraction of distinct instances detected. Green lines and circles show the PDB-equal mean, and blue lines and diamonds show the median. Grey points and violins show PDB distributions at relative candidate counts of</w:t>
      </w:r>
      <w:r>
        <w:rPr>
          <w:rFonts w:ascii="华文仿宋" w:hAnsi="华文仿宋" w:eastAsia="华文仿宋"/>
          <w:sz w:val="18"/>
        </w:rPr>
        <w:t xml:space="preserve"> </w:t>
      </w:r>
      <m:oMath>
        <m:r>
          <m:t>50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100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200</m:t>
        </m:r>
        <m:r>
          <m:rPr>
            <m:sty m:val="p"/>
          </m:rPr>
          <m:t>%</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t>300</m:t>
        </m:r>
        <m:r>
          <m:rPr>
            <m:sty m:val="p"/>
          </m:rPr>
          <m:t>%</m:t>
        </m:r>
      </m:oMath>
      <w:r>
        <w:rPr>
          <w:rFonts w:ascii="华文仿宋" w:hAnsi="华文仿宋" w:eastAsia="华文仿宋"/>
          <w:sz w:val="18"/>
        </w:rPr>
        <w:t xml:space="preserve">.</w:t>
      </w:r>
    </w:p>
    <w:bookmarkEnd w:id="49"/>
    <w:bookmarkStart w:id="53" w:name="stage-1-representative-cases"/>
    <w:p>
      <w:pPr>
        <w:pStyle w:val="3"/>
        <w:keepNext/>
        <w:ind w:firstLine="0"/>
      </w:pPr>
      <w:r>
        <w:t xml:space="preserve">Stage 1: Representative cases</w:t>
      </w:r>
    </w:p>
    <w:p>
      <w:pPr>
        <w:pStyle w:val="FirstParagraph"/>
        <w:spacing w:line="360" w:lineRule="auto" w:after="120"/>
        <w:ind w:firstLine="420"/>
      </w:pPr>
      <w:r>
        <w:t xml:space="preserve">Four representative cases showed that LigandSeek-Find covered ligand regions more completely than the density-only method Emap2lig-Find and detected regions that it missed</w:t>
      </w:r>
      <w:r>
        <w:t xml:space="preserve"> </w:t>
      </w:r>
      <w:r>
        <w:t xml:space="preserve">(</w:t>
      </w:r>
      <w:r>
        <w:rPr>
          <w:rStyle w:val="MDFIGREF_eJyrrk7LTC9KTbMqLklMTzXUTcsvLUpOLE7VzU3MzKtJfNQwOaW2FgAZVg9w"/>
        </w:rPr>
        <w:t xml:space="preserve">Fig. 5a–d</w:t>
      </w:r>
      <w:r>
        <w:t xml:space="preserve">).</w:t>
      </w:r>
      <w:r>
        <w:t xml:space="preserve"> </w:t>
      </w:r>
      <w:r>
        <w:t xml:space="preserve">In the viral replication-associated protein complex 9PQM, both methods detected most of the region occupied by the ATP analogue ATPγS. LigandSeek-Find and Emap2lig-Find achieved Dice scores of 0.816 and 0.766 for this ligand instance, respectively</w:t>
      </w:r>
      <w:r>
        <w:t xml:space="preserve"> </w:t>
      </w:r>
      <w:r>
        <w:t xml:space="preserve">(</w:t>
      </w:r>
      <w:r>
        <w:rPr>
          <w:rStyle w:val="MDFIGREF_eJyrrk7LTC9KTbMqLklMTzXUTcsvLUpOLE7VzU3MzKtJrK0FAN2PDRc"/>
        </w:rPr>
        <w:t xml:space="preserve">Fig. 5a</w:t>
      </w:r>
      <w:r>
        <w:t xml:space="preserve">).</w:t>
      </w:r>
      <w:r>
        <w:t xml:space="preserve"> </w:t>
      </w:r>
      <w: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t xml:space="preserve"> </w:t>
      </w:r>
      <w:r>
        <w:t xml:space="preserve">(</w:t>
      </w:r>
      <w:r>
        <w:rPr>
          <w:rStyle w:val="MDFIGREF_eJyrrk7LTC9KTbMqLklMTzXUTcsvLUpOLE7VzU3MzKtJqq0FAN2SDRg"/>
        </w:rPr>
        <w:t xml:space="preserve">Fig. 5b</w:t>
      </w:r>
      <w:r>
        <w:t xml:space="preserve">).</w:t>
      </w:r>
      <w:r>
        <w:t xml:space="preserve"> </w:t>
      </w:r>
      <w:r>
        <w:t xml:space="preserve">At the NADPH binding site in 9WUP, Emap2lig-Find produced no prediction overlapping the ground-truth ligand region. LigandSeek-Find covered 0.922 of that region in the same comparison</w:t>
      </w:r>
      <w:r>
        <w:t xml:space="preserve"> </w:t>
      </w:r>
      <w:r>
        <w:t xml:space="preserve">(</w:t>
      </w:r>
      <w:r>
        <w:rPr>
          <w:rStyle w:val="MDFIGREF_eJyrrk7LTC9KTbMqLklMTzXUTcsvLUpOLE7VzU3MzKtJrq0FAN2VDRk"/>
        </w:rPr>
        <w:t xml:space="preserve">Fig. 5c</w:t>
      </w:r>
      <w:r>
        <w:t xml:space="preserve">).</w:t>
      </w:r>
      <w:r>
        <w:t xml:space="preserve"> </w:t>
      </w:r>
      <w:r>
        <w:t xml:space="preserve">Similarly, at the ADP site in 9RMI, Emap2lig-Find covered only 0.103 of the ground-truth region, whereas LigandSeek-Find covered 0.883</w:t>
      </w:r>
      <w:r>
        <w:t xml:space="preserve"> </w:t>
      </w:r>
      <w:r>
        <w:t xml:space="preserve">(</w:t>
      </w:r>
      <w:r>
        <w:rPr>
          <w:rStyle w:val="MDFIGREF_eJyrrk7LTC9KTbMqLklMTzXUTcsvLUpOLE7VzU3MzKtJqa0FAN2YDRo"/>
        </w:rPr>
        <w:t xml:space="preserve">Fig. 5d</w:t>
      </w:r>
      <w:r>
        <w:t xml:space="preserve">).</w:t>
      </w:r>
      <w:r>
        <w:t xml:space="preserve"> </w:t>
      </w:r>
      <w:r>
        <w:t xml:space="preserve">These local comparisons demonstrated advantages in both detecting ligand regions and delineating their spatial boundaries more accurately.</w:t>
      </w:r>
    </w:p>
    <w:p>
      <w:pPr>
        <w:pStyle w:val="BodyText"/>
        <w:spacing w:line="360" w:lineRule="auto" w:after="120"/>
        <w:ind w:firstLine="420"/>
      </w:pPr>
      <w: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t xml:space="preserve"> </w:t>
      </w:r>
      <w:r>
        <w:t xml:space="preserve">(</w:t>
      </w:r>
      <w:r>
        <w:rPr>
          <w:rStyle w:val="MDFIGREF_eJyrrk7LTC9KTbMqLklMTzXUTcsvLUpOLE7VzU3MzKtJfNQwObm2FgAZUw9v"/>
        </w:rPr>
        <w:t xml:space="preserve">Fig. 5a–c</w:t>
      </w:r>
      <w:r>
        <w:t xml:space="preserve">).</w:t>
      </w:r>
      <w:r>
        <w:t xml:space="preserve"> </w:t>
      </w:r>
      <w:r>
        <w:t xml:space="preserve">The 9RMI case illustrated a loss of precision after receptor replacement. For this ligand instance, the predicted region extended beyond the ligand, reducing precision from 0.607 to 0.396 and the Dice score from 0.719 to 0.532</w:t>
      </w:r>
      <w:r>
        <w:t xml:space="preserve"> </w:t>
      </w:r>
      <w:r>
        <w:t xml:space="preserve">(</w:t>
      </w:r>
      <w:r>
        <w:rPr>
          <w:rStyle w:val="MDFIGREF_eJyrrk7LTC9KTbMqLklMTzXUTcsvLUpOLE7VzU3MzKtJqa0FAN2YDRo"/>
        </w:rPr>
        <w:t xml:space="preserve">Fig. 5d</w:t>
      </w:r>
      <w:r>
        <w:t xml:space="preserve">).</w:t>
      </w:r>
      <w:r>
        <w:t xml:space="preserve"> </w:t>
      </w:r>
      <w:r>
        <w:t xml:space="preserve">Nevertheless, the prediction still covered 0.810 of the ground-truth ligand region, and its Dice score exceeded the 0.131 achieved by Emap2lig-Find. Thus, across these four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drawing>
          <wp:inline>
            <wp:extent cx="5102437" cy="6303010"/>
            <wp:effectExtent b="0" l="0" r="0" t="0"/>
            <wp:docPr descr="Fig. 5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s2OG0UQfpWWT4m09tjOOmGHEMl4syHSJjK7iXJg0Ko9U_a0tme61d3jnxAkTiAEgQMoFx4ATuHAjUjkDXgIxJI8BlXd459kvVIEQhEreae7q-qr366uTxqau7wRs8aL75-d_fBbZB2fQOfs259f_vj52ddPWlq7eWOHNQxYJaeQEesgTpL7FoxNkk5vr7OXJPtgT53SSfLy6a9_Pfni5eMvX_z0PEkCZpJcBFryAggw0JtjVZmUW2gWXJRET7l2QpUnBTenlUbOjxrXZ7Fm80KWNp69lzRy53QcRTbNoeC2pTSUSBwrU3CHWzOJZspk2qgUrBXlpJBRt92-GpGGpHGD0IbGf47dQgKbxVMuEfd2gRYNgnrii5YcxHsKoA9FCdafb-xmsdU8RTWII_EIgbq77aRRb48qSUe8cqrGrNlJUpQZso2Fse4wiLZrJqQEA4Kl4V-9PlClsyjHbSoEypw9_gbj_-ez52dPv_J6gVvXt4Jvo-X90p4X8roCMKkY-f3ILwfBY_9F4x-uwtV5Z-nQwyAezHOUKe8k-aOxhsBMAVkPxKTFeuwROy64lM1CSUgxOMzABAPOMnCQUuhZVWZgWCbGYzBQOmRIQTtlWKrKTBCLbZFCF9S-hfj8iyiwt2v5f5JZ_sdn32X_24zssP694e-_HDNRsr3hh3fYpf6tYzyMd9udyzsszbFQrQOjpOe4_-A2uzQ4PNph78e9dhc57vb3hx942oP7Q3bp7v6QpDud9u5lxvGGI9lTj-6QZA2L-jXV-xTkosXu5cAkjB2bCpgxNWbA05wZNWM2VzPLHNLHlZR4BQotYc5mwuVMignhhwtkGfqUidRBxkYLduhpxwCnzQNqMxV1Qo-TgVZWENvyYrVYn43UnFHLDbos4OUkllrFCCFInuQYdtrAJOYslQp7d6W94Zbh7SWKEZPcBa_whXjNj_P6d_z5wCxU36miu3FOul-VqQ3y_gssqolR2C-azlSvB2SHjY0qQlid2rRppBzq8WZRPDnm4ly8vIKLzL2Q-SIfbhZcd9E6z77dsD5m1-UGYJlHaoUhqhS7EHF8O8_Hgn4w12BEge2SS-TAG-PqsvKvC3MzdR6XZ6GdYjterJWs8Ql45VETPcIqw0Cnm8Gw20p5S2VQ0fiipsceqxHWDikjyG5vGKm0KZfQYkdLDQwTRL7mDrMNgInd5i0TIVCIgRLEuWAF2PxdNpIVMCjRPBwV6miuCnx9aeprFBKm0QSP0dwmfXHRvfYy0Qt-o_ExjjWrcabR67S7u1euza9eaV9pd9qPrmuRxvirJxz-RhNOZvjs3GhTIyDWP8FAMVcZWMGYNwJR47FIYV-lFaUjIBmQPps2F9pSMyYPy-lQpNSKaZPenQ7xiQebkpZBHPnRMvKTZVQPltHmXBk5KDS6WVYoIrQ7GYsJGmtPylKZk2p3NwoHJ23667V0OUFHRIbovS6uaOrE9XDpI6ZmZcfapGAgpwgeqhR7YakGOS8n0DfYLHLgmaUHhvCWBF_64RAx16IbCgJqdC4IIyn0gZCSNNLay4cFj_GigUtzWo6RBy-D8_RXNium6FU82lkcHdlodkdlm_Mnj-djU9AXE8fmYeJki9Xk6c-JDHPHUqLX5YpcKbHVVVszI5f_LkE19ppbgM2NFsiNXcIFtXx6aAPverXkJnqpgunResljWTIa-Pd63V5A2cpFebnp5-WNNY8dF3J5vLmWZR0vq1d5wd-Nxqd_A3zlyY8" id="51" name="Picture"/>
            <a:graphic>
              <a:graphicData uri="http://schemas.openxmlformats.org/drawingml/2006/picture">
                <pic:pic>
                  <pic:nvPicPr>
                    <pic:cNvPr descr="C:/Users/15919/Desktop/论文草稿/temp/manuscript_figures_nnor_u44/figure_000005.png" id="52" name="Picture"/>
                    <pic:cNvPicPr>
                      <a:picLocks noChangeArrowheads="1" noChangeAspect="1"/>
                    </pic:cNvPicPr>
                  </pic:nvPicPr>
                  <pic:blipFill>
                    <a:blip r:embed="rId50"/>
                    <a:stretch>
                      <a:fillRect/>
                    </a:stretch>
                  </pic:blipFill>
                  <pic:spPr bwMode="auto">
                    <a:xfrm>
                      <a:off x="0" y="0"/>
                      <a:ext cx="5102437"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Small-molecule region detection under different receptor conditions.</w:t>
      </w:r>
      <w:r>
        <w:rPr>
          <w:rFonts w:ascii="华文仿宋" w:hAnsi="华文仿宋" w:eastAsia="华文仿宋"/>
          <w:sz w:val="18"/>
        </w:rPr>
        <w:t xml:space="preserve"> </w:t>
      </w:r>
      <w:r>
        <w:rPr>
          <w:rFonts w:ascii="华文仿宋" w:hAnsi="华文仿宋" w:eastAsia="华文仿宋"/>
          <w:b/>
          <w:bCs/>
          <w:sz w:val="18"/>
        </w:rPr>
        <w:t xml:space="preserve">a–d</w:t>
      </w:r>
      <w:r>
        <w:rPr>
          <w:rFonts w:ascii="华文仿宋" w:hAnsi="华文仿宋" w:eastAsia="华文仿宋"/>
          <w:sz w:val="18"/>
        </w:rPr>
        <w:t xml:space="preserve">,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53"/>
    <w:bookmarkEnd w:id="54"/>
    <w:bookmarkStart w:id="63" w:name="stage-2"/>
    <w:p>
      <w:pPr>
        <w:pStyle w:val="2"/>
        <w:keepNext/>
        <w:ind w:firstLine="0"/>
      </w:pPr>
      <w:r>
        <w:t xml:space="preserve">Stage 2</w:t>
      </w:r>
    </w:p>
    <w:bookmarkStart w:id="55" w:name="stage-2-evaluation-protocol"/>
    <w:p>
      <w:pPr>
        <w:pStyle w:val="3"/>
        <w:keepNext/>
        <w:ind w:firstLine="0"/>
      </w:pPr>
      <w:r>
        <w:t xml:space="preserve">Stage 2: Evaluation protocol</w:t>
      </w:r>
    </w:p>
    <w:p>
      <w:pPr>
        <w:pStyle w:val="FirstParagraph"/>
        <w:spacing w:line="360" w:lineRule="auto" w:after="120"/>
        <w:ind w:firstLine="420"/>
      </w:pPr>
      <w:r>
        <w:t xml:space="preserve">Let</w:t>
      </w:r>
      <w:r>
        <w:t xml:space="preserve"> </w:t>
      </w:r>
      <m:oMath>
        <m:sSub>
          <m:e>
            <m:r>
              <m:t>B</m:t>
            </m:r>
          </m:e>
          <m:sub>
            <m:r>
              <m:t>i</m:t>
            </m:r>
          </m:sub>
        </m:sSub>
      </m:oMath>
      <w:r>
        <w:t xml:space="preserve"> </w:t>
      </w:r>
      <w:r>
        <w:t xml:space="preserve">denote the</w:t>
      </w:r>
      <w:r>
        <w:t xml:space="preserve"> </w:t>
      </w:r>
      <m:oMath>
        <m:r>
          <m:t>i</m:t>
        </m:r>
      </m:oMath>
      <w:r>
        <w:t xml:space="preserve">-th candidate blob predicted by Find, and let</w:t>
      </w:r>
      <w:r>
        <w:t xml:space="preserve"> </w:t>
      </w:r>
      <m:oMath>
        <m:sSub>
          <m:e>
            <m:r>
              <m:t>G</m:t>
            </m:r>
          </m:e>
          <m:sub>
            <m:r>
              <m:t>j</m:t>
            </m:r>
          </m:sub>
        </m:sSub>
      </m:oMath>
      <w:r>
        <w:t xml:space="preserve"> </w:t>
      </w:r>
      <w:r>
        <w:t xml:space="preserve">denote the ground-truth ligand region of instance</w:t>
      </w:r>
      <w:r>
        <w:t xml:space="preserve"> </w:t>
      </w:r>
      <m:oMath>
        <m:r>
          <m:t>j</m:t>
        </m:r>
      </m:oMath>
      <w:r>
        <w:t xml:space="preserve"> </w:t>
      </w:r>
      <w: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t xml:space="preserve">where</w:t>
      </w:r>
      <w:r>
        <w:t xml:space="preserve"> </w:t>
      </w:r>
      <m:oMath>
        <m:sSubSup>
          <m:e>
            <m:r>
              <m:t>c</m:t>
            </m:r>
          </m:e>
          <m:sub>
            <m:r>
              <m:t>i</m:t>
            </m:r>
            <m:r>
              <m:t>j</m:t>
            </m:r>
          </m:sub>
          <m:sup>
            <m:r>
              <m:t>B</m:t>
            </m:r>
          </m:sup>
        </m:sSubSup>
      </m:oMath>
      <w:r>
        <w:t xml:space="preserve"> </w:t>
      </w:r>
      <w:r>
        <w:t xml:space="preserve">is the fraction of the blob covered by the ground-truth ligand region, and</w:t>
      </w:r>
      <w:r>
        <w:t xml:space="preserve"> </w:t>
      </w:r>
      <m:oMath>
        <m:sSubSup>
          <m:e>
            <m:r>
              <m:t>c</m:t>
            </m:r>
          </m:e>
          <m:sub>
            <m:r>
              <m:t>i</m:t>
            </m:r>
            <m:r>
              <m:t>j</m:t>
            </m:r>
          </m:sub>
          <m:sup>
            <m:r>
              <m:t>G</m:t>
            </m:r>
          </m:sup>
        </m:sSubSup>
      </m:oMath>
      <w:r>
        <w:t xml:space="preserve"> </w:t>
      </w:r>
      <w:r>
        <w:t xml:space="preserve">is the fraction of the ground-truth ligand region covered by the blob. For each candidate blob</w:t>
      </w:r>
      <w:r>
        <w:t xml:space="preserve"> </w:t>
      </w:r>
      <m:oMath>
        <m:sSub>
          <m:e>
            <m:r>
              <m:t>B</m:t>
            </m:r>
          </m:e>
          <m:sub>
            <m:r>
              <m:t>i</m:t>
            </m:r>
          </m:sub>
        </m:sSub>
      </m:oMath>
      <w: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t xml:space="preserve">A candidate blob</w:t>
      </w:r>
      <w:r>
        <w:t xml:space="preserve"> </w:t>
      </w:r>
      <m:oMath>
        <m:sSub>
          <m:e>
            <m:r>
              <m:t>B</m:t>
            </m:r>
          </m:e>
          <m:sub>
            <m:r>
              <m:t>i</m:t>
            </m:r>
          </m:sub>
        </m:sSub>
      </m:oMath>
      <w:r>
        <w:t xml:space="preserve"> </w:t>
      </w:r>
      <w:r>
        <w:t xml:space="preserve">is labeled as foreground if</w:t>
      </w:r>
      <w:r>
        <w:t xml:space="preserve"> </w:t>
      </w:r>
      <m:oMath>
        <m:sSub>
          <m:e>
            <m:r>
              <m:rPr>
                <m:scr m:val="script"/>
                <m:sty m:val="p"/>
              </m:rPr>
              <m:t>J</m:t>
            </m:r>
          </m:e>
          <m:sub>
            <m:r>
              <m:t>i</m:t>
            </m:r>
          </m:sub>
        </m:sSub>
      </m:oMath>
      <w:r>
        <w:t xml:space="preserve"> </w:t>
      </w:r>
      <w: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t xml:space="preserve">The SMILES string of this instance defines the ground-truth ligand identity for</w:t>
      </w:r>
      <w:r>
        <w:t xml:space="preserve"> </w:t>
      </w:r>
      <m:oMath>
        <m:sSub>
          <m:e>
            <m:r>
              <m:t>B</m:t>
            </m:r>
          </m:e>
          <m:sub>
            <m:r>
              <m:t>i</m:t>
            </m:r>
          </m:sub>
        </m:sSub>
      </m:oMath>
      <w:r>
        <w:t xml:space="preserve">.</w:t>
      </w:r>
    </w:p>
    <w:p>
      <w:pPr>
        <w:pStyle w:val="BodyText"/>
        <w:spacing w:line="360" w:lineRule="auto" w:after="120"/>
        <w:ind w:firstLine="420"/>
      </w:pPr>
      <w: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360" w:lineRule="auto" w:after="120"/>
        <w:ind w:firstLine="420"/>
      </w:pPr>
      <w: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360" w:lineRule="auto" w:after="120"/>
        <w:ind w:firstLine="420"/>
      </w:pPr>
      <w: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55"/>
    <w:bookmarkStart w:id="62" w:name="stage-2-results"/>
    <w:p>
      <w:pPr>
        <w:pStyle w:val="3"/>
        <w:keepNext/>
        <w:ind w:firstLine="0"/>
      </w:pPr>
      <w:r>
        <w:t xml:space="preserve">Stage 2: Results</w:t>
      </w:r>
    </w:p>
    <w:p>
      <w:pPr>
        <w:pStyle w:val="CaptionedFigure"/>
        <w:keepNext/>
        <w:spacing w:line="240" w:lineRule="auto" w:before="0" w:after="0"/>
        <w:ind w:firstLine="0"/>
        <w:jc w:val="center"/>
      </w:pPr>
      <w:r>
        <w:drawing>
          <wp:inline>
            <wp:extent cx="5731510" cy="5750253"/>
            <wp:effectExtent b="0" l="0" r="0" t="0"/>
            <wp:docPr descr="Fig. 6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9vHDUQ_yqjkypRcbm9vT_5s5RK0SVBlVIUpSAeWBQ5u75bK7u2sb23d215BaGqCAnEC4hXeKEfgIrmyzRNPwYz670_bVpa0QdEpMuO7fFv5jczHvteSzOXtSJoXf74-OLnJ4F1bMJ7l49_ePbrLycX5389_-3r3vu9p08eXPzxfUdrN2u1oWW4VfmUp7RvFMXxp5YbG8fhcCfcieM9bs-c0nH8_NGfz3765vnDby9_P49jbyCO38qCZAUndK-8YVjKzIZmwtBiwrQTSp4UzJyVGtU-b92oIg2zIpc2qj6MW5lzOgoCm2S8YLajNJe4OFamYA6HZhJUyqTaqIRbK-SkyINet7sZFEzIuHWT0I5M_bnj5jmHKpqyHHFvFejOyJsnvWChQbpnnOtDIbmt59dGVWQ1S9AM4uQ4hUC9QTduNcPjMqcpVjrVYDbqtFPIFNXGwlh36Ld2GyVc8Q54T_2_Rj5Q0lncx2wiBO65ePgdZuLp4_OLRw9qu5xZt2sFe9Vativt1U21LQ9MJk7r8Wktjjzj-ovO312GK9xeELrrt3v3HGWqJkl8NFYTN1OOqgdi0oFNuA8HyvCJUSWSPwiB4ScXE_qIlEsn3BwwkUlGIWVJUhqWzEGNgbMkg0KlPIdKuAxSrpUVjqdgeMK1U8bCe-x6DTgyc7XrVIHFxRMlrTNl8pLm6fUOee287_9BkN8hlPC_9XyUq-SsEpbD2KgCXMYBu0m7FqyYAZtxCzZTFagpNyzP4c7tW4f7d9pgCxoVKucJHimLE-WEGfyO18upDQV3LAc8wrauBI35xrqyHThmqcAV9LtEG4bJSeNEr3sNnYCw273Wgc9eU1ptCNubwxASBBUpcwTBvyyF4ZDkDPvMWCSMOkdtdVHAbSrcKhNYuWG7198GhvorhzvwSYahgUQV2lBQ-ts7V4n2tgdLssPNwcsMwwXHxvk31n5NZbDzLlTCze4bqQy2X0Fla2tFpf9PVI6avFELQHxHpkDJfA7dTnf7Gjmz6BpIkUns9SjVdTQu0SjyYpa7D3BGULaJHFKdKDOHilmQygFLU0E80ck5cGmQG0_bGAxb5o7aDwIyoCsEb4nGM8BwOYSy6OOeYIWSKRlOKWQc9m_vH-8e7m3c2ltrXRRHUuF4UVGH82HZWITFI6KvbWBU8xPMVU2UTgBQGVJ-XGkkuYTlK7CqDUeL5DsW9tFqABVHol4bYZjD4uk1GK9tmhTEfthfV3tjDb3YO-miutn6Am_v5a3dGm71w2HYnQ23ht3esH__hhZJhL_mImdvdZGnhlVXbvAGAbH-DQZuw-jwJYx5KxA1xkPB91RSFphBj2R4Xh8TmwltqQ0SQzk9Egk1QRokH0-PDMbcJmRlFAX1Wyqon1JB85IK1h9SgeOFRpqyxC1Cu5OxmKCz9kRKZU7KwSDwEydd-tvsaDlBIiJF9CF2YqCXFcpHC46YmqUfK5e8g4wieIjtmA7DKKN-uGuMqjLOUkutnfAWC1bzxPlJxFxtXTPgUYMrQTjNhT4QeU4WSa73e4FFWFkc-wuJY9Q5Riv1-guDpVLwIh6NLL6Q4LS6je-CtWcWi2ZjU9AXEwcz_7CC-fKBVc_TMp_hYab1plxRK5nXw7pqG2XUqr8LUI0Pto84Xh0koDYeC-fNsumh9boraaFN61J514OVyKJcAr1rd4a9oUd5pRblZb9-Fq7JLHJM5IvpdTmXTbysXuYFfzdbX_0NbE1ojA" id="57" name="Picture"/>
            <a:graphic>
              <a:graphicData uri="http://schemas.openxmlformats.org/drawingml/2006/picture">
                <pic:pic>
                  <pic:nvPicPr>
                    <pic:cNvPr descr="C:/Users/15919/Desktop/论文草稿/temp/manuscript_figures_nnor_u44/figure_000006.png" id="58" name="Picture"/>
                    <pic:cNvPicPr>
                      <a:picLocks noChangeArrowheads="1" noChangeAspect="1"/>
                    </pic:cNvPicPr>
                  </pic:nvPicPr>
                  <pic:blipFill>
                    <a:blip r:embed="rId56"/>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Foreground F1 and ligand identity matching accuracy of each model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360" w:lineRule="auto" w:after="120"/>
        <w:ind w:firstLine="420"/>
      </w:pPr>
      <w:r>
        <w:rPr>
          <w:rStyle w:val="MDFIGREF_eJyrrk7LTC9KTbMqLklMTzXSLUpMSSzSLUjMLKpJrK0FALa-C9E"/>
        </w:rPr>
        <w:t xml:space="preserve">Fig. 6a</w:t>
      </w:r>
      <w:r>
        <w:t xml:space="preserve"> </w:t>
      </w:r>
      <w:r>
        <w:t xml:space="preserve">shows false-positive detection and ligand identity matching for four model variants with deposited receptors.</w:t>
      </w:r>
      <w:r>
        <w:t xml:space="preserve"> </w:t>
      </w:r>
      <w:r>
        <w:rPr>
          <w:rStyle w:val="MDFIGREF_eJyrrk7LTC9KTbMqLklMTzXSLUpMSSzSLUjMLKpJqq0FALbBC9I"/>
        </w:rPr>
        <w:t xml:space="preserve">Fig. 6b</w:t>
      </w:r>
      <w:r>
        <w:t xml:space="preserve"> </w:t>
      </w:r>
      <w: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360" w:lineRule="auto" w:after="120"/>
        <w:ind w:firstLine="420"/>
      </w:pPr>
      <w: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360" w:lineRule="auto" w:after="120"/>
        <w:ind w:firstLine="420"/>
      </w:pPr>
      <w: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t xml:space="preserve"> </w:t>
      </w:r>
      <w:r>
        <w:t xml:space="preserve">(</w:t>
      </w:r>
      <w:r>
        <w:rPr>
          <w:rStyle w:val="MDFIGREF_eJyrrk7LTC9KTbMqLklMTzXUzU3MzNMtzqwoSMxLzalJ1EmqrQUA9wANsQ"/>
        </w:rPr>
        <w:t xml:space="preserve">Fig. 3a, b</w:t>
      </w:r>
      <w:r>
        <w:t xml:space="preserve">).</w:t>
      </w:r>
      <w:r>
        <w:t xml:space="preserve"> </w:t>
      </w:r>
      <w:r>
        <w:t xml:space="preserve">Match was therefore more robust to the change in receptor source.</w:t>
      </w:r>
    </w:p>
    <w:p>
      <w:pPr>
        <w:pStyle w:val="CaptionedFigure"/>
        <w:keepNext/>
        <w:spacing w:line="240" w:lineRule="auto" w:before="0" w:after="0"/>
        <w:ind w:firstLine="0"/>
        <w:jc w:val="center"/>
      </w:pPr>
      <w:r>
        <w:drawing>
          <wp:inline>
            <wp:extent cx="5731510" cy="5606201"/>
            <wp:effectExtent b="0" l="0" r="0" t="0"/>
            <wp:docPr descr="Fig. 7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LI0UQ_yrNgOBhNjOTTbKX4VxYs64Iqy4n4oMjodPTSZqd6W66e_LnvHs9OY4TQfFF8U30xfsALt5-F7nc7sewanryZ29XXPRBDGSmuutX_7qquuaLQFM3CRISXHx7tvz-RWgdHfPWxdk3r378YbA8__3y58ett1ovXzxd_vp1U2s3DxokMNyqfMozlOsnafqJ5camadzpxb00PeT21CmdppfPf3v13ZeXz55c_HKept5Amt7KgqQFR-0evGOdUXLMrdvRVBgEMKqdUHJQUHNaaoB-FtybJZrMi1zaZPZ2Gkyc00kYWjbhBbVNpbkE5kiZgjpYmnE4UybTRjFurZDjIg9bUdQNCypkGuyjthNTvT52i5yTWTKlOeh9vwCX-t484sIVArGnnOtjIbmt9rdWs8RqysAM6MlhCxS12lEa1Mv7ZY5btHSq1lnDUVLIDGAjYaw79qJRDQKOd8B76h81faSksyBHLRMCZJbPvoJsvDw7Xz5_Wtnl1LoDK-hNvMmBtNeFKlteMZoYVuthRfZ9xNUbnH-wPq747iqgB17cu-cwU1WQGI-GiuJmygF6JMZNskcekmMxphC4yLh0wi0IpI1N8AApY6WhbEHUiKwLg0yhBEtL3IQTWRZDbpDNQIPIqOMkv6JNcNsgM-EmJONaWeF4RgxnXDtlLHmT3iEI7puFOnCqaO0AT0mwVbLXkMM7TQzK-dD-gxz8i5Mm_1vPP_2LzDXI2KhSW5_auEFaDbLbIO0qm388-alDmCo0d1hF1woCeNJB75N23AOZDjziGKTvdirxuNsiaA6MgCOaMyemPF80SeXM35ZKo6pMpgwKK6hKcKF2dmMXfW3Doweud3e92U50s9mPJN8q702XcCqxC6gjNM-3EIaP4cKyZMhz6BiAKELJyeE7BATNYuUEuqVkDr0lX--ZRYNYtWk-YYmkDugc0HEUvXG1EfBS2g8-h5t6fUMHnb3duBNH80436rai-OE9LVgC__rSpre6tDNDZ9du61oD6PonOkAMAuFrNeZWStRoJBg_VKws4Hy8JsNzinPBToS2WNMYoZyeCIYVjQv24fTEQO1ahlb6SVjNzrAanWE9OcPtwRk6XmgIU5YgIrQbjMQYnLUDKZUZlO126DcGEf72mlqOIRCRgfZuDBROUqBPVjFCatZ-bFzyDlI8wWPFTiG3qj-hcLMeGKNmE04zi32K-laMqhj9JujciG4Z8FrDa4cwzIU-EnmOFpGu5D1BE-gdDjc9kiPA3AcrFf_KYg0Kr-rDlYVpSIazD1S2PVJpMh-ZAt-QODL3Q5Qs1sO02kc2nzvCkF-XK6AYwuqqrcGAqt4rpRqG83tcFQQJQEPjO2-WTo-tx26oFRr5UnnXww1Jk1wS_IbpdVodr-VGFObl3eoTYIumCTRyvtrepnNZn5fV67zAfz949CcH0qy_" id="60" name="Picture"/>
            <a:graphic>
              <a:graphicData uri="http://schemas.openxmlformats.org/drawingml/2006/picture">
                <pic:pic>
                  <pic:nvPicPr>
                    <pic:cNvPr descr="C:/Users/15919/Desktop/论文草稿/temp/manuscript_figures_nnor_u44/figure_000007.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Ligand identity matching accuracy of strongest versus the number of candidate ligand identities,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360" w:lineRule="auto" w:after="120"/>
        <w:ind w:firstLine="420"/>
      </w:pPr>
      <w:r>
        <w:rPr>
          <w:rStyle w:val="MDFIGREF_eJyrrk7LTC9KTbMqLklMTzXSLS4pys9LTy0u0S1IzCyqSdRJqq0FAAjSDj4"/>
        </w:rPr>
        <w:t xml:space="preserve">Fig. 7a, b</w:t>
      </w:r>
      <w:r>
        <w:t xml:space="preserve"> </w:t>
      </w:r>
      <w: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360" w:lineRule="auto" w:after="120"/>
        <w:ind w:firstLine="420"/>
      </w:pPr>
      <w: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360" w:lineRule="auto" w:after="120"/>
        <w:ind w:firstLine="420"/>
      </w:pPr>
      <w: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counts small-molecule ligand instances and</w:t>
      </w:r>
      <w:r>
        <w:t xml:space="preserve"> </w:t>
      </w:r>
      <m:oMath>
        <m:r>
          <m:t>K</m:t>
        </m:r>
      </m:oMath>
      <w:r>
        <w:t xml:space="preserve"> </w:t>
      </w:r>
      <w: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360" w:lineRule="auto" w:after="120"/>
        <w:ind w:firstLine="420"/>
      </w:pPr>
      <w: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subset for EMERALD-ID within the original test set. Among entries containing small molecules, we excluded the 10% with the highest</w:t>
      </w:r>
      <w:r>
        <w:t xml:space="preserve"> </w:t>
      </w:r>
      <m:oMath>
        <m:sSub>
          <m:e>
            <m:r>
              <m:t>N</m:t>
            </m:r>
          </m:e>
          <m:sub>
            <m:r>
              <m:t>g</m:t>
            </m:r>
          </m:sub>
        </m:sSub>
        <m:r>
          <m:rPr>
            <m:sty m:val="p"/>
          </m:rPr>
          <m:t>×</m:t>
        </m:r>
        <m:r>
          <m:t>K</m:t>
        </m:r>
      </m:oMath>
      <w: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t xml:space="preserve"> </w:t>
      </w:r>
      <w:r>
        <w:rPr>
          <w:rStyle w:val="MDFIGREF_eJyrrk7LTC9KTbMqLklMTzXSLUpMSSzSLUjMLKpJrK0FALa-C9E"/>
        </w:rPr>
        <w:t xml:space="preserve">Fig. 6a</w:t>
      </w:r>
      <w:r>
        <w:t xml:space="preserve"> </w:t>
      </w:r>
      <w:r>
        <w:t xml:space="preserve">and</w:t>
      </w:r>
      <w:r>
        <w:t xml:space="preserve"> </w:t>
      </w:r>
      <w:r>
        <w:rPr>
          <w:rStyle w:val="MDFIGREF_eJyrrk7LTC9KTbMqLklMTzXSLUpMSSzSLUjMLKpJqq0FALbBC9I"/>
        </w:rPr>
        <w:t xml:space="preserve">Fig. 6b</w:t>
      </w:r>
      <w:r>
        <w:t xml:space="preserve"> </w:t>
      </w:r>
      <w:r>
        <w:t xml:space="preserve">show its performance with deposited and CryoAtom2-reconstructed receptors, respectively.</w:t>
      </w:r>
    </w:p>
    <w:bookmarkEnd w:id="62"/>
    <w:bookmarkEnd w:id="63"/>
    <w:bookmarkStart w:id="79" w:name="stage-3"/>
    <w:p>
      <w:pPr>
        <w:pStyle w:val="2"/>
        <w:keepNext/>
        <w:ind w:firstLine="0"/>
      </w:pPr>
      <w:r>
        <w:t xml:space="preserve">Stage 3</w:t>
      </w:r>
    </w:p>
    <w:bookmarkStart w:id="67" w:name="X91e1e06dd91711c282eeed02d5c10f441569161"/>
    <w:p>
      <w:pPr>
        <w:pStyle w:val="3"/>
        <w:keepNext/>
        <w:ind w:firstLine="0"/>
      </w:pPr>
      <w:r>
        <w:t xml:space="preserve">Stage 3: Comparison of PocketXMol-official and PocketXMol-tuned</w:t>
      </w:r>
    </w:p>
    <w:p>
      <w:pPr>
        <w:pStyle w:val="FirstParagraph"/>
        <w:spacing w:line="360" w:lineRule="auto" w:after="120"/>
        <w:ind w:firstLine="420"/>
      </w:pPr>
      <w:r>
        <w:t xml:space="preserve">We compared the official PocketXMol model with our fine-tuned version. The official model accepts a ligand SMILES string and its binding pocket or binding site, generating 50 candidate poses by default.</w:t>
      </w:r>
    </w:p>
    <w:p>
      <w:pPr>
        <w:pStyle w:val="BodyText"/>
        <w:spacing w:line="360" w:lineRule="auto" w:after="120"/>
        <w:ind w:firstLine="420"/>
      </w:pPr>
      <w: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360" w:lineRule="auto" w:after="120"/>
        <w:ind w:firstLine="420"/>
      </w:pPr>
      <w:r>
        <w:t xml:space="preserve">We treated these pocket definitions as separate training and testing conditions. We trained one fine-tuned model for each definition and evaluated each model under its corresponding condition.</w:t>
      </w:r>
    </w:p>
    <w:p>
      <w:pPr>
        <w:pStyle w:val="BodyText"/>
        <w:spacing w:line="360" w:lineRule="auto" w:after="120"/>
        <w:ind w:firstLine="420"/>
      </w:pPr>
      <w:r>
        <w:t xml:space="preserve">To assess fine-tuning, we used all single-residue organic small molecules with no atoms missing relative to their templates from the 179 PDB entries. This test set comprised a total of 446 ligand instances.</w:t>
      </w:r>
    </w:p>
    <w:p>
      <w:pPr>
        <w:pStyle w:val="BodyText"/>
        <w:spacing w:line="360" w:lineRule="auto" w:after="120"/>
        <w:ind w:firstLine="420"/>
      </w:pPr>
      <w: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360" w:lineRule="auto" w:after="120"/>
        <w:ind w:firstLine="420"/>
      </w:pPr>
      <w:r>
        <w:t xml:space="preserve">Across the 446 test instances, density-guided PocketXMol-tuned achieved substantially greater pose accuracy than PocketXMol-official under every test condition</w:t>
      </w:r>
      <w:r>
        <w:t xml:space="preserve"> </w:t>
      </w:r>
      <w:r>
        <w:t xml:space="preserve">(</w:t>
      </w:r>
      <w:r>
        <w:rPr>
          <w:rStyle w:val="MDFIGREF_eJyrrk7LTC9KTbMqLklMTzXWzU9Ly0zOTMzRLSnNS02prQUAz88MnA"/>
        </w:rPr>
        <w:t xml:space="preserve">Fig. 8</w:t>
      </w:r>
      <w:r>
        <w:t xml:space="preserve">).</w:t>
      </w:r>
      <w:r>
        <w:t xml:space="preserve"> </w:t>
      </w:r>
      <w: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360" w:lineRule="auto" w:after="120"/>
        <w:ind w:firstLine="420"/>
      </w:pPr>
      <w: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360" w:lineRule="auto" w:after="120"/>
        <w:ind w:firstLine="420"/>
      </w:pPr>
      <w: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drawing>
          <wp:inline>
            <wp:extent cx="5731510" cy="4420308"/>
            <wp:effectExtent b="0" l="0" r="0" t="0"/>
            <wp:docPr descr="Fig. 8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9rG0cQ_yqLnlqwdJIjObaaBlw5KQWnGKeFQq-Y1d5It3hvd9nd08lpCnkppZT0JaVQWvrcp3yABpqHfpPQ_PkYndk9yUrth9BS0kANsnZ3fvOb2Zm5udHnHctD2RmzzvPvHj398bfMBz6HK88fPXj28089a8Oys8U6DrxRCygINxnn-ccenM_zwWhvsJfnB-BPg7F5_uLhr8--_-rF_a-f__I4zxNhnl_KqHkFxJaEXTObSSG56oZaoxkECG6DNPqk4u60tgj9tHOtGVu2rJT24-bdvFOGYMdZ5kUJFfc9Y0GjcGZcxQNu3TxrjCusMwK8l3peqWy739_JKi513rlObEcuft0OZwpYM15whbwfVOjSJJknXLZCEPYUwB5KDT6eb-yasbdcoBnkUXiERNvDft5pt8e1oiNeB9NytnDSlLpA2Ew6Hw6Tar8FoSQ5kDxN_9r1TaODRz3uhZSo8_T-txj9Px49fvrwm2gXuA_7XvLLZOW-9heVoq1ETCamcT-Ny0m6cfxG5--swzXYXV3oTlJP7gXKVLwk3cdiBYFbAEJvynmP7bK7bGIqy530RjMzY0dGnEL45JZR62JgHONSADoazrrzWhZQbMJiqTDUHg53mK-4Ut3KKBAYaVYgjHIRuD_1PXIrJOdeQxT_QazY6_X8X8k_f2OzscUOpA9OTmtqDVS02PW6A3Z86_bBFuNCYLuJRWcYcFGyyhSgntz7wTPTaOZRDP-X4n-pFKdvbDYuluIUfGgr0QN2wYC9kXsWSmDKNCjskpBZ44HxymCZjvpMYIeVBQ_ge-wYfK3wxvgCZQJ0cNAtYCapxw5G7PcvmbclOCmwL9vYhD17axJx7f5txq0F7qglR7MwCy_TrvRWvNMzxtmgT-SgF6DwFc64MzW2fSXn1P15MBXaubGSXm7JyXmJpt4zoWwRyYSk4HikBAYY55pTUBqJqAIwEDLGCK1M3JnZR0vbXQcCNYKrY_xwBzYYh9G5QQ-0NVIHPI2JoOowGlaeSlTjWgC5sQS_lWKIwaK3v49mmlL6UxycEFtgHANE57dHoXxy78HVETkPjtSkIoIKCsl11EyQvQsQ9MNiqiVG56zHPkK2BbgQc8SXEg15TP4cX7KhrKR4h5k6KEke8KlZAFUAhr6NJRWLQ4NzRe6G6Bv2t0S7fiXHnsZmHO0XMacUgkC1twoAVqLgtU-XW5dimxaMbuAx99owTIlEiTMBpE6pJmvk94qrQa9gKVRN7_6ZMxWTGHYUBix_Kf7yaqdB6XrnM5we11NjZ3T1ymA06C-Hw-3-lf7u3WtWijF-2kGSv9IgWTjeXJggWwbk-jscqBZqB2sa90okMQ9wYERdYREkJgeKx0IvpfXURuiGenEkBTUR2ogPF0cOa94LsjIZZ3F-z-L4nrXTe7Y5vGcBKovX1DWqSBtOZnKOzvoTrY07qYfDLB2c9Olvt2f1HC8iC2Tf2cEVTfe4PlrdEVOz9uPcpeQgpwgeYnl4rIlJiQUI-86ZpgReeGqNxLcSxHJPh8h5rrphILFmF4IwVdLelEqRRVpH_bTgY3zkIYiSljPEHKOVKH9pswZlL_PRzuOEzqbNLXw8NsZ8Pl7OXEXfmDi2TIM9O1sP-PGcxLDEZ4PkbbkiShCsrdoWjKj4vSK1-IPhfcCHghaIxn4Vklm-OPQJe75aoUmuTXI9O1_ysdKMflftjbZHieVSFOXlRvxZsrHmY3ys1ep4c610Gy9v13nBz_XOF38CXgFk2A" id="65" name="Picture"/>
            <a:graphic>
              <a:graphicData uri="http://schemas.openxmlformats.org/drawingml/2006/picture">
                <pic:pic>
                  <pic:nvPicPr>
                    <pic:cNvPr descr="C:/Users/15919/Desktop/论文草稿/temp/manuscript_figures_nnor_u44/figure_000008.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Comparison of PocketXMol-official and density-guided PocketXMol-tuned on 446 small-molecule docking tasks.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Distribution of top-1 RMSD, according to each model’s own score.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67"/>
    <w:bookmarkStart w:id="74" w:name="stage-3-comparison-with-emap2lig-build"/>
    <w:p>
      <w:pPr>
        <w:pStyle w:val="3"/>
        <w:keepNext/>
        <w:ind w:firstLine="0"/>
      </w:pPr>
      <w:r>
        <w:t xml:space="preserve">Stage 3: Comparison with Emap2lig-Build</w:t>
      </w:r>
    </w:p>
    <w:p>
      <w:pPr>
        <w:pStyle w:val="FirstParagraph"/>
        <w:spacing w:line="360" w:lineRule="auto" w:after="120"/>
        <w:ind w:firstLine="420"/>
      </w:pPr>
      <w:r>
        <w:t xml:space="preserve">We also compared PocketXMol-tuned using Centre pockets with Emap2lig-Build, a ligand pose prediction tool that uses cryo-EM density without receptor information. Emap2lig-Build accepts a guiding region and a cryo-EM density map; in its default workflow, the guiding region is the three-dimensional blob predicted by Emap2lig-Find in the preceding stage. A fair comparison therefore required restricting evaluation to ligand instances for which Emap2lig-Find returned a corresponding blob. We tested instances successfully detected by Emap2lig-Find with at least 30% bidirectional coverage of the reference ligand region. We compared PocketXMol-tuned and Emap2lig-Build on the 237 instances with evaluable poses</w:t>
      </w:r>
      <w:r>
        <w:t xml:space="preserve"> </w:t>
      </w:r>
      <w:r>
        <w:t xml:space="preserve">(</w:t>
      </w:r>
      <w:r>
        <w:rPr>
          <w:rStyle w:val="MDFIGREF_eJyrrk7LTC9KTbMqLklMTzXWTcvMS9HNyCzRzUhNTNEtyQfTtbUAKZIOsw"/>
        </w:rPr>
        <w:t xml:space="preserve">Fig. 9</w:t>
      </w:r>
      <w:r>
        <w:t xml:space="preserve">).</w:t>
      </w:r>
    </w:p>
    <w:p>
      <w:pPr>
        <w:pStyle w:val="BodyText"/>
        <w:spacing w:line="360" w:lineRule="auto" w:after="120"/>
        <w:ind w:firstLine="420"/>
      </w:pPr>
      <w:r>
        <w:t xml:space="preserve">Across these 237 jointly evaluable instances, PocketXMol-tuned using Centre pockets substantially outperformed Emap2lig-Build. With deposited and CryoAtom2-reconstructed receptors, median top-1 RMSD was 0.90 Å and 1.01 Å, respectively, substantially below Emap2lig-Build’s 1.85 Å. Median best-of-50 RMSD was 0.65 Å and 0.70 Å, respectively, also substantially below Emap2lig-Build’s 1.33 Å.</w:t>
      </w:r>
    </w:p>
    <w:p>
      <w:pPr>
        <w:pStyle w:val="CaptionedFigure"/>
        <w:keepNext/>
        <w:spacing w:line="240" w:lineRule="auto" w:before="0" w:after="0"/>
        <w:ind w:firstLine="0"/>
        <w:jc w:val="center"/>
      </w:pPr>
      <w:r>
        <w:drawing>
          <wp:inline>
            <wp:extent cx="5731510" cy="4321573"/>
            <wp:effectExtent b="0" l="0" r="0" t="0"/>
            <wp:docPr descr="Fig. 9 | Docking performance of PocketXMol-tuned and Emap2lig-Build on instances detected by Emap2lig-Find (n = 237). a, Distribution of top-1 RMSD, according to each model’s own score. b, Distribution of best RMSD, selected as the lowest-RMSD pose among 50 candidates. PocketXMol-tuned is evaluated with deposited and CryoAtom2-reconstructed receptors, using a 15 Å sphere centred on the binding site. Emap2lig-Build uses the native three-dimensional candidate blob predicted by Emap2lig-Find as its guiding region. Each point represents one ligand instance. Boxes, central lines and whiskers indicate the 25th–75th percentiles, median and 5th–95th percentiles, respectively. The vertical axis is logarithmic." title="MDPPTFIG_eJztV19rG0cQ_yqLnlqwdJJs1dWRGBw5LgU7GKeFQq-Y1d1It3hvd9ndk-Q0hbyUUkr6klIoLX3uUz5ADc1Dv0mo43yMzuyeJKf2Q2gpaaBC8s3uzvzm786NP28Z7stWylqX351f_Phb4jyfwubl-ZMXP__UMcYvWhusZcFpOYOC-EZpln3swLos6w2GvWGW7YE79dpk2cunv774_quXj7--_OVZlkXALLsRUfEKCC0etidCFe1S-HYJvGh7HZ7El3PjhVYnFbentUGJT1u35qlhi0oql85vZ63Se5MmictLqLjraAMKDyfaVtzj0k6TubaFsToH54SaVjLpd7vvJRUXKmvtENqRDY_7_kwCm6czLhH3wwotG0X1xJcsOYj3FMAcCAUu7F9ZzVNneI5qEEfiFgL1t7pZq1ke15K2eO11g9mwkyTGANkmwjp_EEW7DROeRAOipfFPQ-9r5R3KcZcLgTIXj7_FJPxx_uzi6TdBL3Dnd53gN52Vu8pdFwq6IjCpGIf1OJCj6HF4ovEPVuHqvb906EEUj-Z5ylRwkvwxWEhgZ4Cs-2LaYUP2kO3p_JTiZcCGpKkcmJ6wI9wG_8mhlm1fKygYx-jcrbjpSzFt36mFLJhWTCisIBRxrAAPuUfG8dmab59i-o5it1l_c_vdDhnmo3lvII7_IFrszVr-r1QAf2uzscH2hPNWjGtqDlSt2P7aPXZ8eH9vg_E8x4ZDJe01A56XrNIFyOePfnBMzxVzeAz_l-J_qRTHb202rpfiGJxvKtGBjC2RO-ZLYFLP8bBNh8xoB4xXGst00GU5dldRcA-uc73zCscAras5Qc2FL7HXorjwTVce2TO963XVb1vINTZkWwetuALjtXUbrKY3L-OsN2C_f8mcKcECy0F5C6GNk3Vj7NXERcCdv7b62kH0QXEvZoCkBWgXogKMr1Zcrl1gY6nHDGNUiJvfBxgNgRmd1iLoszBFBNRIV9VooTxuhRBT3rXCuIkp-bl813TYHb0A9Co4gKrpze5CKOalcKc4GzHyJSdjyOb-wJfPHz3Zxge95khMSAKo0EaugmRkGV5jQTsMJhF9lmcd9hGizcB6xJaMLzAz-JV6yi2mpRL5q22FJoad1mc4Rq3Gp9Zge7M36HUXW5v9HtIPbxmRp_hrJir-WhNVYfn82ijVICDW38FAMV9bWMHY1wLRk4nIAUeIGgvBRyQLktNlcKUwjm4TeahmRyKnu0SL_N7syGIRu5y0jNIkzLNJGGeTZppNrg6ziYfKoJuqRhFh_MlETNFYd6KUtif11lYSN0669Bl2jJqiI6JA9G0a_mjaRfpo6SOmZmXH2qRoIKcIHuAddEzpUcnVFHat1XOaiB11CMJbHoTaiJuIuRa9oiCiJteCMJbC7AspSSPRQT4SPMU7DD4viZwgzzFqCeevLFZMyat4tHI4qrLx_BDffFfmXZ4uJraiJyaOLeKEy85Wk27Yp2NYeJbTeVOuyJUTW1O1DTNyhecS1ODk_AHoihGB3NiAfFTLZwcu8q6pJTedKx1NT9YkT6Vi9A_GcNAfRJQbuSgvd8N8foXmqedCLrev0lI18XJmlRf87bS--BPdmAoJ" id="69" name="Picture"/>
            <a:graphic>
              <a:graphicData uri="http://schemas.openxmlformats.org/drawingml/2006/picture">
                <pic:pic>
                  <pic:nvPicPr>
                    <pic:cNvPr descr="C:/Users/15919/Desktop/论文草稿/temp/manuscript_figures_nnor_u44/figure_000009.png" id="70" name="Picture"/>
                    <pic:cNvPicPr>
                      <a:picLocks noChangeArrowheads="1" noChangeAspect="1"/>
                    </pic:cNvPicPr>
                  </pic:nvPicPr>
                  <pic:blipFill>
                    <a:blip r:embed="rId68"/>
                    <a:stretch>
                      <a:fillRect/>
                    </a:stretch>
                  </pic:blipFill>
                  <pic:spPr bwMode="auto">
                    <a:xfrm>
                      <a:off x="0" y="0"/>
                      <a:ext cx="5731510" cy="432157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Docking performance of PocketXMol-tuned and Emap2lig-Build on instances detected by Emap2lig-Find (n = 237).</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Distribution of top-1 RMSD, according to each model’s own score.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Distribution of best RMSD, selected as the lowest-RMSD pose among 50 candidates. PocketXMol-tuned is evaluated with deposited and CryoAtom2-reconstructed receptors, using a 15 Å sphere centred on the binding site. Emap2lig-Build uses the native three-dimensional candidate blob predicted by Emap2lig-Find as its guiding region. Each point represents one ligand instance. Boxes, central lines and whiskers indicate the 25th–75th percentiles, median and 5th–95th percentiles, respectively. The vertical axis is logarithmic.</w:t>
      </w:r>
    </w:p>
    <w:p>
      <w:pPr>
        <w:pStyle w:val="BodyText"/>
        <w:spacing w:line="360" w:lineRule="auto" w:after="120"/>
        <w:ind w:firstLine="420"/>
      </w:pPr>
      <w:r>
        <w:t xml:space="preserve">We next guided docking with each Find model’s predicted regions and compared the two Build models on jointly detected instances</w:t>
      </w:r>
      <w:r>
        <w:t xml:space="preserve"> </w:t>
      </w:r>
      <w:r>
        <w:t xml:space="preserve">(</w:t>
      </w:r>
      <w:r>
        <w:rPr>
          <w:rStyle w:val="MDFIGREF_eJyrrk7LTC9KTbMqLklMTzXWLShKTclMLklN0S1KTc_Mz9PNSE1M0S3JB9O1tQC1BBIF"/>
        </w:rPr>
        <w:t xml:space="preserve">Fig. 10</w:t>
      </w:r>
      <w:r>
        <w:t xml:space="preserve">).</w:t>
      </w:r>
      <w:r>
        <w:t xml:space="preserve"> </w:t>
      </w:r>
      <w:r>
        <w:t xml:space="preserve">LigandSeek2-Find and Emap2lig-Find jointly detected 235 instances with GT receptors and 230 with CA2 receptors. Both Build models received the correct, exact SMILES for each instance. PocketXMol-tuned defined its Centre pocket around the LigandSeek2-Find blob centroid, whereas Emap2lig-Build used the three-dimensional blob predicted by Emap2lig-Find.</w:t>
      </w:r>
    </w:p>
    <w:p>
      <w:pPr>
        <w:pStyle w:val="BodyText"/>
        <w:spacing w:line="360" w:lineRule="auto" w:after="120"/>
        <w:ind w:firstLine="420"/>
      </w:pPr>
      <w:r>
        <w:t xml:space="preserve">For the GT comparison, median top-1 RMSD was 0.85 Å for PocketXMol-tuned and 1.83 Å for Emap2lig-Build. Median best-of-50 RMSD was 0.63 Å and 1.32 Å, respectively. With CA2 receptors, median top-1 RMSD was 1.02 Å and 1.83 Å, respectively. The corresponding median best-of-50 RMSD values were 0.71 Å and 1.32 Å. Across 231 GT pairs and 228 CA2 pairs, PocketXMol-tuned produced a lower top-1 RMSD in 83.1% and 79.4% of instances, respectively. PocketXMol-tuned therefore retained higher pose accuracy under both receptor conditions when docking was guided by the respective predicted ligand regions.</w:t>
      </w:r>
    </w:p>
    <w:p>
      <w:pPr>
        <w:pStyle w:val="CaptionedFigure"/>
        <w:keepNext/>
        <w:spacing w:line="240" w:lineRule="auto" w:before="0" w:after="0"/>
        <w:ind w:firstLine="0"/>
        <w:jc w:val="center"/>
      </w:pPr>
      <w:r>
        <w:drawing>
          <wp:inline>
            <wp:extent cx="5731510" cy="4510150"/>
            <wp:effectExtent b="0" l="0" r="0" t="0"/>
            <wp:docPr descr="Fig. 10 | Docking performance of PocketXMol-tuned and Emap2lig-Build using predicted ligand regions. a,b, Deposited receptor (GT) comparison, comprising 235 instances detected by both LigandSeek2-Find and Emap2lig-Find. c,d, CryoAtom2-reconstructed receptor (CA2) comparison, comprising 230 instances detected by both methods. The RMSD distributions contain 231 and 228 paired instances, respectively. PocketXMol-tuned uses the full LigandSeek2-Find blob centroid to define a 15\,\mathrm{Å} centre pocket; Emap2lig-Build uses its native predicted three-dimensional blob. Both receive the correct SMILES and generate 50 candidates over 100 sampling steps. Left, model-ranked top-1 poses. Right, lowest heavy-atom RMSD among 50 candidates. Points represent instances, boxes span the 25th–75th percentiles, centre lines show medians and whiskers span the 5th–95th percentiles. The y-axis is logarithmic. Dashed lines mark 2\,\mathrm{Å} and 3\,\mathrm{Å}." title="MDPPTFIG_eJztWE-LGzcU_yrCpxZsj-1dN9lpurDxZkPBW5bdFAqdssga2SM8IwlJ4z9pCrmEEkp6aeilX6CHkhx6SgPNod8kdJN8jL4njb12N4SQ0gSHLHjnSXr6vX_Smzfv25qmLqvFpPb8_uOzX_6MDoRMG4fUsaxxtRR5enbnt7NHv589fPTs4f2m1m5Wq5Oa4VblE57ivl6cJF9abmyStLs77Z0k2ed27JROkhcP_nj28_cv7t19_uuTJAkCkuS1JEhacES3jo74VkMbngrmeNowfCSUbGScpg2n_BP5GdUO5k8Lasalhp1f165MY01mRS5tPP0sqWXO6TiKLMt4QW1TaS5hcahMQR0MzSiaKpNqoxi3VshRkUedVuuTqKBCJrVdRDsy_nHi5jkn03hCc8D9vAANe0E88kULDuQdc677QnLr51dG09hqykAM4OQwBUCd7VZSq4bHZY5TtHSqwqzYcSf4D9iGwljXD1tbFROsBAWCpuFfRR8o6Szso5YJAXvO7v0Iwfn78ZOzBz94uZxat2cFfdlatiftxU1eVgBGEQM_HniyFyz2T1D-5tJd7csLg26G7UE9h5HyRqI9EG44URMOrAdi1CTtFrlF9hUbo8M0Nz5qknGihuQIprn76lDlDVdKnhIK7rlWUN3JxSicMFJav3FxiAisIFc4S7aJerigzTtw239wDnm3mv8vAacbG436exiNweZGg-xzrazA-24449opQz66fuNjwlShqRFWybqngcT00NnqEiHhhQOJxZKUO-5zxWBOBsplpO9zxgnn404DX2HreQZnmoTV0zrpmbnac6rowLuKQXpxpmTrSvT2Oq_QovUqLQruMpXaJrmRcXJ8eLJPUgESxKDE948FJOnghQUwba9gp3OZaCog852j1kEVqwFXTHg-b17MoKUF0Q4EDMs8v2j4IFcDwrh0RomUOAVaDuE9RDb35q7n0SJWUJ5kVe1QvFbtoIZDwTi8osoCHLOoHFyGehQB1O22u1eiwsuppqr5p7fvvmzBa13E1s1JURmmvV1-LjAfVRB_3VlDiCobNjkMm6S5vw2caH-TPr1YfsB9EqC9pHjnVgoRlxnOG6mAQ2Ph_tLcX64muYp3HRMGsuNNZMrA0JGTw8_710781R5xyQ11nHRbhMGESGFgiZpwAwVTi1ha6BxTinVcQ8bo86Grk0KlPG8YKscoXulGG7QG_ZrkWIwyYMjVlFtHoLCezBsU8lhIM7RQALUmCjOHwKAY7l0h3WqOGagZaAO-kt6ATtdlT2__dAkeWMGhw0SOfJXrsOoF9kxNIcelgkIuQyOnmbBj-Lg4Bwo4O__CCQkRFJ4JcLUFK0aQXF1WCNYk-9RmvupDEfiFsLHn7C0lqs6HPPV-5im4Uhur-1s6-1sfzv6rorD-sYy9ht3aN3VSWzZeat1LW-1uuzXbhn_tbuvWFS1YDL8qVPS1QpUaOr3QhKkQAOtNMGCbKw1fwpg3PjOG59SX25nQFt2HFsrJkWDoPBywLyZHBupiy1BKL458hyzyDbKo6o9Fq-2xyPFCg5myhC1Cu9OhGIGy9lRKZU7L7e0oTJy24K_damo5AkNECuiXtoDCfhnQRwsbITRLPc5VCgpS9GAfShUoSFQvo3LE94xRU-ylWTwSiLdY8B8KYRIwz7euCAio0QUnDHKhD0Seo0Sk_f5AULgdhjuWITkEnmOQ4tfXBkumaB0PR1aDhwfTQ6hnVjplNJ4NTYFPCByZhd4YmS97ZH4el_nMEYbr1XEFLoZs1amtmIHLPxeg2lh3nUNNhARwY00WxNJJ3wbec2rBjetSBdWjc5LGuSTYmtzpdroB5aVcGJdrvrO3QtMYvvPyxfQqncvKX1Yv4wK_3dp3_wDSEDoC" id="72" name="Picture"/>
            <a:graphic>
              <a:graphicData uri="http://schemas.openxmlformats.org/drawingml/2006/picture">
                <pic:pic>
                  <pic:nvPicPr>
                    <pic:cNvPr descr="C:/Users/15919/Desktop/论文草稿/temp/manuscript_figures_nnor_u44/figure_000010.png" id="73" name="Picture"/>
                    <pic:cNvPicPr>
                      <a:picLocks noChangeArrowheads="1" noChangeAspect="1"/>
                    </pic:cNvPicPr>
                  </pic:nvPicPr>
                  <pic:blipFill>
                    <a:blip r:embed="rId71"/>
                    <a:stretch>
                      <a:fillRect/>
                    </a:stretch>
                  </pic:blipFill>
                  <pic:spPr bwMode="auto">
                    <a:xfrm>
                      <a:off x="0" y="0"/>
                      <a:ext cx="5731510" cy="45101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Docking performance of PocketXMol-tuned and Emap2lig-Build using predicted ligand regions.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ascii="华文仿宋" w:hAnsi="华文仿宋" w:eastAsia="华文仿宋"/>
          <w:sz w:val="18"/>
        </w:rPr>
        <w:t xml:space="preserve">, Deposited receptor (GT) comparison, comprising 235 instances detected by both LigandSeek2-Find and Emap2lig-Find. c,d, CryoAtom2-reconstructed receptor (CA2) comparison, comprising 230 instances detected by both methods. The RMSD distributions contain 231 and 228 paired instances, respectively. PocketXMol-tuned uses the full LigandSeek2-Find blob centroid to define a</w:t>
      </w:r>
      <w:r>
        <w:rPr>
          <w:rFonts w:ascii="华文仿宋" w:hAnsi="华文仿宋" w:eastAsia="华文仿宋"/>
          <w:sz w:val="18"/>
        </w:rPr>
        <w:t xml:space="preserve"> </w:t>
      </w:r>
      <m:oMath>
        <m:r>
          <m:t>15</m:t>
        </m:r>
        <m:r>
          <m:t> </m:t>
        </m:r>
        <m:r>
          <m:rPr>
            <m:sty m:val="p"/>
          </m:rPr>
          <m:t>Å</m:t>
        </m:r>
      </m:oMath>
      <w:r>
        <w:rPr>
          <w:rFonts w:ascii="华文仿宋" w:hAnsi="华文仿宋" w:eastAsia="华文仿宋"/>
          <w:sz w:val="18"/>
        </w:rPr>
        <w:t xml:space="preserve"> </w:t>
      </w:r>
      <w:r>
        <w:rPr>
          <w:rFonts w:ascii="华文仿宋" w:hAnsi="华文仿宋" w:eastAsia="华文仿宋"/>
          <w:sz w:val="18"/>
        </w:rPr>
        <w:t xml:space="preserve">centre pocket; Emap2lig-Build uses its native predicted three-dimensional blob. Both receive the correct SMILES and generate 50 candidates over 100 sampling steps. Left, model-ranked top-1 poses. Right, lowest heavy-atom RMSD among 50 candidates. Points represent instances, boxes span the 25th–75th percentiles, centre lines show medians and whiskers span the 5th–95th percentiles. The y-axis is logarithmic. Dashed lines mark</w:t>
      </w:r>
      <w:r>
        <w:rPr>
          <w:rFonts w:ascii="华文仿宋" w:hAnsi="华文仿宋" w:eastAsia="华文仿宋"/>
          <w:sz w:val="18"/>
        </w:rPr>
        <w:t xml:space="preserve"> </w:t>
      </w:r>
      <m:oMath>
        <m:r>
          <m:t>2</m:t>
        </m:r>
        <m:r>
          <m:t> </m:t>
        </m:r>
        <m:r>
          <m:rPr>
            <m:sty m:val="p"/>
          </m:rPr>
          <m:t>Å</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t>3</m:t>
        </m:r>
        <m:r>
          <m:t> </m:t>
        </m:r>
        <m:r>
          <m:rPr>
            <m:sty m:val="p"/>
          </m:rPr>
          <m:t>Å</m:t>
        </m:r>
      </m:oMath>
      <w:r>
        <w:rPr>
          <w:rFonts w:ascii="华文仿宋" w:hAnsi="华文仿宋" w:eastAsia="华文仿宋"/>
          <w:sz w:val="18"/>
        </w:rPr>
        <w:t xml:space="preserve">.</w:t>
      </w:r>
    </w:p>
    <w:bookmarkEnd w:id="74"/>
    <w:bookmarkStart w:id="78" w:name="stage-3-representative-cases"/>
    <w:p>
      <w:pPr>
        <w:pStyle w:val="3"/>
        <w:keepNext/>
        <w:ind w:firstLine="0"/>
      </w:pPr>
      <w:r>
        <w:t xml:space="preserve">Stage 3: Representative cases</w:t>
      </w:r>
    </w:p>
    <w:p>
      <w:pPr>
        <w:pStyle w:val="FirstParagraph"/>
        <w:spacing w:line="360" w:lineRule="auto" w:after="120"/>
        <w:ind w:firstLine="420"/>
      </w:pPr>
      <w:r>
        <w:t xml:space="preserve">We analysed six representative instances to examine how receptor pockets and experimental density provide complementary constraints on pose generation</w:t>
      </w:r>
      <w:r>
        <w:t xml:space="preserve"> </w:t>
      </w:r>
      <w:r>
        <w:t xml:space="preserve">(</w:t>
      </w:r>
      <w:r>
        <w:rPr>
          <w:rStyle w:val="MDFIGREF_eJyrrk7LTC9KTbMqLklMTzXWTU4sTi3WzU3MzKutBQCftQrz"/>
        </w:rPr>
        <w:t xml:space="preserve">Fig. 11</w:t>
      </w:r>
      <w:r>
        <w:t xml:space="preserve">).</w:t>
      </w:r>
    </w:p>
    <w:p>
      <w:pPr>
        <w:pStyle w:val="BodyText"/>
        <w:spacing w:line="360" w:lineRule="auto" w:after="120"/>
        <w:ind w:firstLine="420"/>
      </w:pPr>
      <w:r>
        <w:t xml:space="preserve">The first group illustrated typical errors in receptor-only docking without experimental density guidance</w:t>
      </w:r>
      <w:r>
        <w:t xml:space="preserve"> </w:t>
      </w:r>
      <w:r>
        <w:t xml:space="preserve">(</w:t>
      </w:r>
      <w:r>
        <w:rPr>
          <w:rStyle w:val="MDFIGREF_eJyrrk7LTC9KTbMqLklMTzXWTU4sTi3WzU3MzKtJfNQwObm2FgDtUw4o"/>
        </w:rPr>
        <w:t xml:space="preserve">Fig. 11a–c</w:t>
      </w:r>
      <w:r>
        <w:t xml:space="preserve">).</w:t>
      </w:r>
      <w:r>
        <w:t xml:space="preserve"> </w:t>
      </w:r>
      <w: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360" w:lineRule="auto" w:after="120"/>
        <w:ind w:firstLine="420"/>
      </w:pPr>
      <w:r>
        <w:t xml:space="preserve">The second group illustrated the shortcomings of density-only fitting that ignores receptor steric constraints</w:t>
      </w:r>
      <w:r>
        <w:t xml:space="preserve"> </w:t>
      </w:r>
      <w:r>
        <w:t xml:space="preserve">(</w:t>
      </w:r>
      <w:r>
        <w:rPr>
          <w:rStyle w:val="MDFIGREF_eJyrrk7LTC9KTbMqLklMTzXWTU4sTi3WzU3MzKtJedQwOa22FgDtcQ4u"/>
        </w:rPr>
        <w:t xml:space="preserve">Fig. 11d–f</w:t>
      </w:r>
      <w:r>
        <w:t xml:space="preserve">).</w:t>
      </w:r>
      <w:r>
        <w:t xml:space="preserve"> </w:t>
      </w:r>
      <w: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360" w:lineRule="auto" w:after="120"/>
        <w:ind w:firstLine="420"/>
      </w:pPr>
      <w: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drawing>
          <wp:inline>
            <wp:extent cx="4891003" cy="6303010"/>
            <wp:effectExtent b="0" l="0" r="0" t="0"/>
            <wp:docPr descr="Fig. 11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opu7Obn6a7KpXSpClFKdqmRG3FoMiZ8exY8Ywt27ObLUXiBhCCwgWoNzwAXJV7KtEL3gQR2sfgO-PZzaZNUQVCpVKjJOOf4-_8fbaPP24Z7vPWgLWefv_4-IdfI-f5SKwcf_vzsx8_P_76YccYf9RaYi0rnFZjkZLo5iCO95ywLo57a_1eP463hDv02sTxs0e__Pnwi2cPvnz605M4Dphx_DLQkheCAMN8O-FOuHbBZUmTCTde6nK_4PawMhD7sHVpMjDsqFClG0zeiVu592YQRS7JRcFdRxtRYjLTtuAeXTuKJtqmxupEOCfLUaGi5W73QkQa4tZlQhva-nPLT5Vgk8GYK-BeL2DOZlBPctFMgmQPhTA7shSuHl_oTQbO8ARqgKMwBKDl1W7carq7laIhXnndYDbitFKWKcQyaZ3fCUu7jRBmggHB0vCvaW_r0jus4y6REmuOH3yD4P_x-Mnxo69qvYI7v-EkP2su3yjdi4tqXQGYVBzU_YO6uRk8rr8w_t48XL2LM4fuheXBPE-Zqp0kfwwIJOxYQHRbjjqs12P32aYujBKFKD23U5bo0nmL3MCpzOqCWZEI47VlRieHAqMcYRJHRlhZr1EsFXDCTzuk1gflryFK_yIW7PVa_p_kl__-6XfJG5uRJfZBboVgEmTkJU4OtNgkl0nOhjUN79zQqq2zTCYSDMSp1-6BoDi5wMax5F4E8p7F0wHr3-xdQHjuXFtdYv29K-to3-32amL3d1e20L3-7vAtnf9PdE6RlOyNzcjf0Plqwc2ykqP2lUqq9BSTE8VdzibS58znYn4Qg7976-8hHte29sDf23tDtLc3tgJ_b99cQbd3626HXdF-cbuwQqdCOVY5ga0AFdKLdI4azvUEO8WKdioyXIDp7MjvsKscplo9YS7XE3fmHjynLS9H4vzS4qyvCObcgarE-VrBc-6eM5XF5YNFwc0F751QIiELD6bBcuYSbUWHbc1tBw4wYbkVzAuulha9wZhWcizYCJEvX3prMW6M4LQAvyQLbcLlHbYLBSkSUOtBbVEjzC9D7nXhGFVFIU1UceDq9DyhcG0RuvZYRInLLEZRxTCdMZAilbVbueDjaYMzyeEy81aSJm7VFPzwwhqtOInOTLUCaWhAYYku4EqKeem0q2wG2mEKrMu1Sjtss6ZPoivaGCFUYAYRMOU2bc9dqQ1pkyHMcBQ_iLzhljehRzEAe2GRQvkGeF6ybmd9jXnEMVjiqoI8Q1NaNsZ8Kiy7zTmoZnkqZQfkF3VQG_bQogWTKfPYDsvst88IJ30uvYuB6rANpWofCdDnGsl3eZ1-MgSFLEulM4pPa2aPEPQlNpZiQukBO1FeEqJLuAKRbtGHHSD5S2wN2pFzMBzqUogD2IhEZqiIclRDTfadTCsYj4R4mUkU36dvCSoRL7c-Qt08r5dbqxf7vW535ejCSnel2-vev2RkMsBfU0LzVyqhU8snL9TODQKw_gkGlvnKijmMfSWQeruLLZ1UtI0CkhWgKUKNXWAcHYzkYTkeyoSOReok74-HFpl1CWnZHET1wyWq3y1R82yJFl8tkReFgZtlhSXS-P1MjmCs2y9Lbfer1dUoDOx38dPrdUw5giMyBfr6Olr0pkF7OPMRqZnbcWJSMJBTBHdwZjlW6s2cDrENi7OOiODosCe82QSRwodBYJ4sXVAQUKMXgnCgpNmWSpFGatfrQ4MPsM2ET3JqZpDZhZZ6_lRnLhSdxqOew9uEHUxu4KRceODwwVFmC_oicewoPGnYdP60qcdpWhx5ltB8Q1dIJSTWsLYRhlT9nYEaPJWuCTo40IA0zhQf1PLxjguyJ62ZNM2XOpgenTT5QOFSBEp_bXktoJwpRXm5Wj_IFtp84LlUs-HFtiqbeDkzzwv-Lrc--QvTgMQG" id="76" name="Picture"/>
            <a:graphic>
              <a:graphicData uri="http://schemas.openxmlformats.org/drawingml/2006/picture">
                <pic:pic>
                  <pic:nvPicPr>
                    <pic:cNvPr descr="C:/Users/15919/Desktop/论文草稿/temp/manuscript_figures_nnor_u44/figure_000011.png" id="77" name="Picture"/>
                    <pic:cNvPicPr>
                      <a:picLocks noChangeArrowheads="1" noChangeAspect="1"/>
                    </pic:cNvPicPr>
                  </pic:nvPicPr>
                  <pic:blipFill>
                    <a:blip r:embed="rId75"/>
                    <a:stretch>
                      <a:fillRect/>
                    </a:stretch>
                  </pic:blipFill>
                  <pic:spPr bwMode="auto">
                    <a:xfrm>
                      <a:off x="0" y="0"/>
                      <a:ext cx="4891003"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Complementary constraints from receptor pockets and experimental density.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Three instances in which PocketXMol-official top-1 poses deviate from experimental density: 9Q16–XG4, 9UB7–Y01 and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78"/>
    <w:bookmarkEnd w:id="79"/>
    <w:bookmarkStart w:id="102" w:name="end-to-end"/>
    <w:p>
      <w:pPr>
        <w:pStyle w:val="2"/>
        <w:keepNext/>
        <w:ind w:firstLine="0"/>
      </w:pPr>
      <w:r>
        <w:t xml:space="preserve">End-to-end</w:t>
      </w:r>
    </w:p>
    <w:bookmarkStart w:id="83" w:name="evaluation-protocol"/>
    <w:p>
      <w:pPr>
        <w:pStyle w:val="3"/>
        <w:keepNext/>
        <w:ind w:firstLine="0"/>
      </w:pPr>
      <w:r>
        <w:t xml:space="preserve">Evaluation protocol</w:t>
      </w:r>
    </w:p>
    <w:p>
      <w:pPr>
        <w:pStyle w:val="FirstParagraph"/>
        <w:spacing w:line="360" w:lineRule="auto" w:after="120"/>
        <w:ind w:firstLine="420"/>
      </w:pPr>
      <w: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CaptionedFigure"/>
        <w:keepNext/>
        <w:spacing w:line="240" w:lineRule="auto" w:before="0" w:after="0"/>
        <w:ind w:firstLine="0"/>
        <w:jc w:val="center"/>
      </w:pPr>
      <w:r>
        <w:drawing>
          <wp:inline>
            <wp:extent cx="5731510" cy="3827532"/>
            <wp:effectExtent b="0" l="0" r="0" t="0"/>
            <wp:docPr descr="Fig. 12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A “+1” indicates that the charged attempt increases by one; the algorithm stops once the attempt limit is reached or no further candidates are generated by the LigandSeek2-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WN1rXEUU_1eGfTXZm9022l5rIaSNCFFCi09eCbNzz-4OuXfmMjN3N6kV-lBQkfokgqgPPulTfRFEC_Z_KY3Nn-HvzNzdbD-UYpEQaCC583HO75yZ8zUnn_QaGaa9XPSefP3g-Ls_s-vD6ye_3H384LeT-z-e_Pr7yU93jz__tt804bC3JnqOvK1mVDLDdl4UH3pyvigGm5cHl4viGvmDYJuiOLn_x1_ffHZy74snPz8sioRcFP8ObWRNDEtDWpdK2dYEbSbrrq3Ir5dOjgNTKdkEbc1-Ld1B24D-o96Ved6Iw7oyPp-_U_SmITR5lnk1pVr6vm3IYHNsXS0Dpm6Sza0rG2cVeQ8JdZUNNzbezGqpTdG7ymh7Ln5uhqOKxDyfyQq479VyQttJPNNlCwqmPSBqdrUhH9dXZvPcN1JBDHAqLAFoeHGj6HXTGzgdlmQbbIfZkTOnNiXIxtr5sJtYNzoi7CQFkqbpTzfesSZ48EmvtAbP8b2vYIvHDx4e3_8yyiXpw5bX8kV70y3jn2eKshIwixjF-SgOt9OJ4xfK31pe1-DS4kC3EntSL7Cl4iH5PA38idyMQLqjJ30xGIrbYnsq3YRvLJpewHIizK0gU64Hu46PIIhoJRtCeArsJr7PMkKSdAZX8goHF2er-f9iTHlurbEmdvVEwtUcTdi_SgqkoqdhUeiSkJXCkUAuUVP2Uamc9V7IqhJVZBSqkt6T74vRP2KtvQgIrI31JBwpa3xwbRLL7k-A1iPkIl-zoNpWpDg21gA5RmYohfSCc1lFkOV12ZJAopNGq2dZxFyHqTBWyGBrL2odc2BfbJ1bi51x_LyC5o_ufP_G4NGdH87tAc7v1aOAaiUD4iFMZcAfEorLDodSCFQ3QWijHFQEyehIWENvRypZTaxDCNXC46XjsaEobXRsla41mD3iWOIJUiIQOdzGrQOVEwpxrssoWToSEzLkMCtZCMOkjHGT6GC4vgMtX9e1M4nLHUfItge6eR2eZ6F5TdL4eP8N18YYnq1zqJmnARQrmW1joGIv1VAhy1Jz3ZRVF9B9cY2U9lxKjS0RdtrM0MIweVewpzqgknaTcNRwaK7WemUhWQU851PMrrw-FVIBOS3FCIkCoW6iqo7GBF2RGKQxNkTShMnsWBHoPmbAhzgbOWpoVnER16ZpwzOPWX7nX-19jOZn2fT0Nt-6MNgcbBxeuDR8a_PC8PaVRqscv10fJF-qD0JTNX-uAeoQgPVfMMAWWkdLGPdSIHY81oquWdXWuPOE5KhKFzfVjWfv4ROa2Z5W7Ds8UR_M9hxeQF6xlO08i81oFnvRrGtFs9VONOMMjWOaFiy6CftjPYGyfh9WcvvtxYtZWtjfwM9g2G_MBAfRJdAvDTHiDhXjvcUZYZqlHqcqJQUl3-CuVQceBkdHYya05ZydT0mWniOC8RYbvoF_pUVgnrKuCEio2XOXMKp0s6OriiXyOPKngczxiiQ8L3k4Bs0NSIn7T02WRNnTeDzzaDDFaP4-3HOlS5X54djV_IXhxGHqS8XRsj-N67xNh4hX3u_cFVSKyTqv7YhBFb8L0Ab97rtka8EDUHPwJbFytusT7eloQc37xibVs9OhzCsj-N8ClzeHmwnlhVRsl-uxq14ZyzxIXS2WV8eV6e7LN0u74Pdq79O_AdrQoCU" id="81" name="Picture"/>
            <a:graphic>
              <a:graphicData uri="http://schemas.openxmlformats.org/drawingml/2006/picture">
                <pic:pic>
                  <pic:nvPicPr>
                    <pic:cNvPr descr="C:/Users/15919/Desktop/论文草稿/temp/manuscript_figures_nnor_u44/figure_000012.png" id="82" name="Picture"/>
                    <pic:cNvPicPr>
                      <a:picLocks noChangeArrowheads="1" noChangeAspect="1"/>
                    </pic:cNvPicPr>
                  </pic:nvPicPr>
                  <pic:blipFill>
                    <a:blip r:embed="rId80"/>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Charging rules for two end-to-end evaluation settings.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Ligand-region detection and identity matching across all ligand classes. b, Ligand-region detection, identity matching and pose reconstruction for eligible small molecules, defined as single-residue organic small molecules with no atoms missing. A</w:t>
      </w:r>
      <w:r>
        <w:rPr>
          <w:rFonts w:ascii="华文仿宋" w:hAnsi="华文仿宋" w:eastAsia="华文仿宋"/>
          <w:sz w:val="18"/>
        </w:rPr>
        <w:t xml:space="preserve"> </w:t>
      </w:r>
      <w:r>
        <w:rPr>
          <w:rFonts w:ascii="华文仿宋" w:hAnsi="华文仿宋" w:eastAsia="华文仿宋"/>
          <w:sz w:val="18"/>
        </w:rPr>
        <w:t xml:space="preserve">“+1”</w:t>
      </w:r>
      <w:r>
        <w:rPr>
          <w:rFonts w:ascii="华文仿宋" w:hAnsi="华文仿宋" w:eastAsia="华文仿宋"/>
          <w:sz w:val="18"/>
        </w:rPr>
        <w:t xml:space="preserve"> </w:t>
      </w:r>
      <w:r>
        <w:rPr>
          <w:rFonts w:ascii="华文仿宋" w:hAnsi="华文仿宋" w:eastAsia="华文仿宋"/>
          <w:sz w:val="18"/>
        </w:rPr>
        <w:t xml:space="preserve">indicates that the charged attempt increases by one; the algorithm stops once the attempt limit is reached or no further candidates are generated by the LigandSeek2-Find.</w:t>
      </w:r>
      <w:r>
        <w:rPr>
          <w:rFonts w:ascii="华文仿宋" w:hAnsi="华文仿宋" w:eastAsia="华文仿宋"/>
          <w:sz w:val="18"/>
        </w:rPr>
        <w:t xml:space="preserve"> </w:t>
      </w:r>
      <w:r>
        <w:rPr>
          <w:rFonts w:ascii="华文仿宋" w:hAnsi="华文仿宋" w:eastAsia="华文仿宋"/>
          <w:sz w:val="18"/>
        </w:rPr>
        <w:t xml:space="preserve">“Free skip”</w:t>
      </w:r>
      <w:r>
        <w:rPr>
          <w:rFonts w:ascii="华文仿宋" w:hAnsi="华文仿宋" w:eastAsia="华文仿宋"/>
          <w:sz w:val="18"/>
        </w:rPr>
        <w:t xml:space="preserve"> </w:t>
      </w:r>
      <w:r>
        <w:rPr>
          <w:rFonts w:ascii="华文仿宋" w:hAnsi="华文仿宋" w:eastAsia="华文仿宋"/>
          <w:sz w:val="18"/>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360" w:lineRule="auto" w:after="120"/>
        <w:ind w:firstLine="420"/>
      </w:pPr>
      <w:r>
        <w:t xml:space="preserve">Find ranks candidate ligand regions by descending mean probability, yielding Rank 1, Rank 2 and subsequent candidates. For each PDB entry, the pipeline examines these candidates in order for up to</w:t>
      </w:r>
      <w:r>
        <w:t xml:space="preserve"> </w:t>
      </w:r>
      <m:oMath>
        <m:r>
          <m:t>K</m:t>
        </m:r>
      </m:oMath>
      <w:r>
        <w:t xml:space="preserve"> </w:t>
      </w:r>
      <w:r>
        <w:t xml:space="preserve">attempts. A PDB entry is classified as successful if any attempt within this budget succeeds. The attempt-accounting rules for the two end-to-end evaluation settings are summarised in</w:t>
      </w:r>
      <w:r>
        <w:t xml:space="preserve"> </w:t>
      </w:r>
      <w:r>
        <w:rPr>
          <w:rStyle w:val="MDFIGREF_eJyrrk7LTC9KTbNKNUrVTUxOzi_NK8nMS9ctKs1JLdZNKUpMK6mtBQAQ2w6I"/>
        </w:rPr>
        <w:t xml:space="preserve">Fig. 12</w:t>
      </w:r>
      <w:r>
        <w:t xml:space="preserve">.</w:t>
      </w:r>
    </w:p>
    <w:p>
      <w:pPr>
        <w:pStyle w:val="BodyText"/>
        <w:spacing w:line="360" w:lineRule="auto" w:after="120"/>
        <w:ind w:firstLine="420"/>
      </w:pPr>
      <w:r>
        <w:t xml:space="preserve">For end-to-end region detection and identity matching across all ligand categories, we applied the following accounting rules. A false-positive candidate predicted by Find consumes one attempt, after which the pipeline examines the next candidate. If a candidate corresponds to a ground-truth ligand with at least 30% coverage in both directions, Match assigns its ligand identity. Correct identity matching completes the task; incorrect matching consumes one attempt. The pipeline continues until the task succeeds or the</w:t>
      </w:r>
      <w:r>
        <w:t xml:space="preserve"> </w:t>
      </w:r>
      <m:oMath>
        <m:r>
          <m:t>K</m:t>
        </m:r>
      </m:oMath>
      <w:r>
        <w:t xml:space="preserve">-attempt budget is exhausted.</w:t>
      </w:r>
    </w:p>
    <w:p>
      <w:pPr>
        <w:pStyle w:val="BodyText"/>
        <w:spacing w:line="360" w:lineRule="auto" w:after="120"/>
        <w:ind w:firstLine="420"/>
      </w:pPr>
      <w:r>
        <w:t xml:space="preserve">For end-to-end modelling of single-residue small molecules with no missing atoms, false-positive candidates likewise consume one attempt before the next candidate is examined.</w:t>
      </w:r>
    </w:p>
    <w:p>
      <w:pPr>
        <w:pStyle w:val="BodyText"/>
        <w:spacing w:line="360" w:lineRule="auto" w:after="120"/>
        <w:ind w:firstLine="420"/>
      </w:pPr>
      <w:r>
        <w:t xml:space="preserve">If a candidate corresponds to a non-small-molecule ligand but Match assigns a small-molecule identity, the attempt is counted as a failure and charged. Otherwise, the candidate is skipped without consuming the attempt budget.</w:t>
      </w:r>
    </w:p>
    <w:p>
      <w:pPr>
        <w:pStyle w:val="BodyText"/>
        <w:spacing w:line="360" w:lineRule="auto" w:after="120"/>
        <w:ind w:firstLine="420"/>
      </w:pPr>
      <w:r>
        <w:t xml:space="preserve">If a candidate corresponds to a small molecule with at least 30% bidirectional coverage, incorrect identity matching consumes one attempt. A correctly matched small molecule that fails the single-residue, no-missing-atom criteria is skipped without charge. Otherwise, PocketXMol-tuned performs docking, and success is determined from the top-1 or best-of-50 pose and the corresponding RMSD threshold.</w:t>
      </w:r>
    </w:p>
    <w:p>
      <w:pPr>
        <w:pStyle w:val="BodyText"/>
        <w:spacing w:line="360" w:lineRule="auto" w:after="120"/>
        <w:ind w:firstLine="420"/>
      </w:pPr>
      <w:r>
        <w:t xml:space="preserve">According to the aforementioned rules, when a ligand outside the single-residue, complete organic small-molecule subset is correctly detected and matched, we still skip docking and charge no attempt. This ensures that all evaluated docking tasks use the same downstream tool, PocketXMol-tuned. However, a region corresponding to a true non-small-molecule ligand is charged if it is misidentified as a small molecule. In this case, it is actually an unmatched distractor and counts as a failed attempt.</w:t>
      </w:r>
    </w:p>
    <w:bookmarkEnd w:id="83"/>
    <w:bookmarkStart w:id="87" w:name="X5f64bd45b404ca02f1e597fd6c2fd1f17bc94df"/>
    <w:p>
      <w:pPr>
        <w:pStyle w:val="3"/>
        <w:keepNext/>
        <w:ind w:firstLine="0"/>
      </w:pPr>
      <w:r>
        <w:t xml:space="preserve">End-to-end region detection and identity matching across ligand categories</w:t>
      </w:r>
    </w:p>
    <w:p>
      <w:pPr>
        <w:pStyle w:val="CaptionedFigure"/>
        <w:keepNext/>
        <w:spacing w:line="240" w:lineRule="auto" w:before="0" w:after="0"/>
        <w:ind w:firstLine="0"/>
        <w:jc w:val="center"/>
      </w:pPr>
      <w:r>
        <w:drawing>
          <wp:inline>
            <wp:extent cx="5731510" cy="3018917"/>
            <wp:effectExtent b="0" l="0" r="0" t="0"/>
            <wp:docPr descr="Fig. 13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3DYQfhVC13pXq7Wd2IJjwF3bQVE7WCTpqSoMmppdEZZElqT2J02B3oqiSC8pemnRc095gBpo3qWo4zxGZ0jtel07QJAcChuwNRx-880PyfF8E2nuiihl0eXP5xe__hUf9A8uz1---f23rtZuFq2xyIBV5QRyAg3SLPvCgrFZlmxuJ9tZtg_2zCmdZW9f_fnml-_fvvjh8o_XWRbYsuwmXc0rICroQ4eXZWck67xTcScK2hVcO6nqk4qbs0Yj7stoZ5pqNqvK2qbTB1lUOKfTOLaigIrbrtJQ4-ZIGeTApRnHU2VybZQAa2U9rsq43-vdiysu6yzaJbah8Z8nbl4Cm6YTXiLvZxUfwyC4J1y8QBD2DEAfyRqs16-spqnVXKAb5ClRhUT9jV4WtcvHTUkq3jjVcrZwssTEETaSxrqjYNprQbgTAgiRhj-tfKhqZ9GOWyEl2ly8-Anr_s_564tXP3q_wK3bs5Lftlfs1famkfcViMnFqV-fenEQMvZfDP7ZslzJ1iKhZ8E8hOfopHySlI_GuwNmAgg9lOMuS9bZc3aA5-1UBzD7Uo45rgyMsegsBweCys9QyWQOtZNuzvzdwJJ1yY0Lzv6HqnxE7uzORv60ACYalC2zhZoyh2sNRuDR4GthauQ1yf1t5sA6Ntz_lOGWkYifSlcw2wh6hqOmZMiaS3-8YU_SMTPuHFTasdMmH4NDwjtbquuHXKXqGBtr27eq9-pbajSSAvaVaCos4qJruYLiqAKp2_18J668m1YT_gz9x9JracPXPnqvC-BhS_DgNgK3m3ws79_fvXwHc--aPm5Lc7dOt8sOsSl_cky9aPEiDHzdSAN445cNTShjsIexWzta6HY3G9samxZgMDvvw0MPKq77iO94zX_8qbqcv9NT94okBIvelAN25J0_ATjrLAErOo9dQzariWcC5bzLHj5trS1-tbLSQY4QAdopw6wzjXANmqx5tsFefwkfmLnac6rqY28X-OI99Hbj622d_untRl_hJLCcAKLN--vJZtKbrfeSre3k_vMdLUWKv-3j4u_1uHLDpzemgZYBuT6EA80ogyWN-eBXbqDkvjMWUlu6mJRhPRlKQdeSFuLRZGiwvFaQl0Ea-yks9kNY3M5g8eoIFlNfxTTrBk2kdicjOaZyn9S1MifNxkYcFCc9_EnWu7oeYyIyR_ateyjRmIbycJEjHs0yjquQQoCcKnikxJlltRoUvB7DnjEKbzXPLT024lts-AsWlMh5ZbriILDGN4pwWkp9KMuSPJLs7YPAsSEZwDtM4ggxj9GL37-2WILi63y0sjhtsdPpscpXRzaezkamoi8eHJuFIY3Nl8Oa19M2zBwTtN9eV0QJgrW3tgUjyn8XpBqHv4egKkYCoulNB7d8cmQD9kpaoGm_ViH0-ErkaVkzmpG3N_ubgeVWFJ3LgR8xV2SeOi7LhXpVLuu2XlYvzwV_d6Nv_wVAkH0t" id="85" name="Picture"/>
            <a:graphic>
              <a:graphicData uri="http://schemas.openxmlformats.org/drawingml/2006/picture">
                <pic:pic>
                  <pic:nvPicPr>
                    <pic:cNvPr descr="C:/Users/15919/Desktop/论文草稿/temp/manuscript_figures_nnor_u44/figure_000013.png" id="86" name="Picture"/>
                    <pic:cNvPicPr>
                      <a:picLocks noChangeArrowheads="1" noChangeAspect="1"/>
                    </pic:cNvPicPr>
                  </pic:nvPicPr>
                  <pic:blipFill>
                    <a:blip r:embed="rId84"/>
                    <a:stretch>
                      <a:fillRect/>
                    </a:stretch>
                  </pic:blipFill>
                  <pic:spPr bwMode="auto">
                    <a:xfrm>
                      <a:off x="0" y="0"/>
                      <a:ext cx="5731510" cy="301891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End-to-end ligand-region detection and identity matching.</w:t>
      </w:r>
      <w:r>
        <w:rPr>
          <w:rFonts w:ascii="华文仿宋" w:hAnsi="华文仿宋" w:eastAsia="华文仿宋"/>
          <w:sz w:val="18"/>
        </w:rPr>
        <w:t xml:space="preserve"> </w:t>
      </w:r>
      <w:r>
        <w:rPr>
          <w:rFonts w:ascii="华文仿宋" w:hAnsi="华文仿宋" w:eastAsia="华文仿宋"/>
          <w:sz w:val="18"/>
        </w:rPr>
        <w:t xml:space="preserve">The curves show the percentage of the 179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360" w:lineRule="auto" w:after="120"/>
        <w:ind w:firstLine="420"/>
      </w:pPr>
      <w:r>
        <w:t xml:space="preserve">We first evaluated end-to-end ligand-region detection and identity matching in 179 independent test PDB entries</w:t>
      </w:r>
      <w:r>
        <w:t xml:space="preserve"> </w:t>
      </w:r>
      <w:r>
        <w:t xml:space="preserve">(</w:t>
      </w:r>
      <w:r>
        <w:rPr>
          <w:rStyle w:val="MDFIGREF_eJyrrk7LTC9KTbNKNUrVTczJ0U3LzEvRzU0sSc6orQUApM0LCA"/>
        </w:rPr>
        <w:t xml:space="preserve">Fig. 13</w:t>
      </w:r>
      <w:r>
        <w:t xml:space="preserve">).</w:t>
      </w:r>
      <w:r>
        <w:t xml:space="preserve"> </w:t>
      </w:r>
      <w:r>
        <w:t xml:space="preserve">These entries contained coexisting ligand categories, including small molecules, ions and sugars. Under the strictest single-attempt condition (</w:t>
      </w:r>
      <m:oMath>
        <m:r>
          <m:t>K</m:t>
        </m:r>
        <m:r>
          <m:rPr>
            <m:sty m:val="p"/>
          </m:rPr>
          <m:t>=</m:t>
        </m:r>
        <m:r>
          <m:t>1</m:t>
        </m:r>
      </m:oMath>
      <w: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t xml:space="preserve"> </w:t>
      </w:r>
      <m:oMath>
        <m:r>
          <m:t>K</m:t>
        </m:r>
        <m:r>
          <m:rPr>
            <m:sty m:val="p"/>
          </m:rPr>
          <m:t>=</m:t>
        </m:r>
        <m:r>
          <m:t>1</m:t>
        </m:r>
      </m:oMath>
      <w:r>
        <w:t xml:space="preserve"> </w:t>
      </w:r>
      <w:r>
        <w:t xml:space="preserve">and 93 entries (52.0%) within</w:t>
      </w:r>
      <w:r>
        <w:t xml:space="preserve"> </w:t>
      </w:r>
      <m:oMath>
        <m:r>
          <m:t>K</m:t>
        </m:r>
        <m:r>
          <m:rPr>
            <m:sty m:val="p"/>
          </m:rPr>
          <m:t>≤</m:t>
        </m:r>
        <m:r>
          <m:t>10</m:t>
        </m:r>
      </m:oMath>
      <w:r>
        <w:t xml:space="preserve">.</w:t>
      </w:r>
    </w:p>
    <w:bookmarkEnd w:id="87"/>
    <w:bookmarkStart w:id="91" w:name="X6e1b63a4e35e6bf9431f623eff6c1e348a6971c"/>
    <w:p>
      <w:pPr>
        <w:pStyle w:val="3"/>
        <w:keepNext/>
        <w:ind w:firstLine="0"/>
      </w:pPr>
      <w:r>
        <w:t xml:space="preserve">End-to-end reconstruction of all-atom small-molecule poses</w:t>
      </w:r>
    </w:p>
    <w:p>
      <w:pPr>
        <w:pStyle w:val="CaptionedFigure"/>
        <w:keepNext/>
        <w:spacing w:line="240" w:lineRule="auto" w:before="0" w:after="0"/>
        <w:ind w:firstLine="0"/>
        <w:jc w:val="center"/>
      </w:pPr>
      <w:r>
        <w:drawing>
          <wp:inline>
            <wp:extent cx="5731510" cy="3462407"/>
            <wp:effectExtent b="0" l="0" r="0" t="0"/>
            <wp:docPr descr="Fig. 14 | End-to-end modelling of single-residue organic small molecules with no missing atom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M1uGzcQfhVCpwSVtJIix42aGHBlOwhqF0KcAgW6hUFxRxLhXZIluZKVpkAvRVEU6SVFLy167ikP0ADNoW9SND-P0RlyJcuxUwTJIVVQwyv-zXwczgyHQ35ZM9xPaj1We_bjoyc__5HsdnafPXrw9Ndfmsb4k1qd1Sw4nU8hI6J-L00_cWBdmrY3rrWvpekOuGOvTZo-f_j705--fX7_u2e_PU7TiJam5-EUL4CgoAMNV_A8bxhpIJcKaFRw46VWRwW3x6VBus9q12c9w06KXLne7EZam3hveknixAQK7pragMLBkbYF99i042SmbWasFuCcVOMiTzqt1tWk4FKltS1CG9hQHPp5DmzWm_IccW8VfAz9OD3RJQsKoj0GMPsoogv9K61ZzxkucBrEoTUgUKfbSmtV83aZUxcvva4wK3LilCpDspG0zu9H1lZFhCNRgChp_Knqe1p5h3zcCSmR58n9H1Dvfz96_OTh92Fe4M5vO8kvGptsK3eeKcwVgWmKYWgPQ7UfVxxKFP7uUl3t9xcLuhvZo3ieLBUWSesx6Dtgp4Cke3LcZO0uu8d2VdbwugG4-kJnkOekPT1iZKwcGsgisxIYWpIrKVjwEaTMQaAyceXST5jSrJDBvIx7XbgmieCjIG9BY2-gF7a2kvdLLB1zEz1jfgLMgBWgPO4isib1bG4yD86zwc6HDEesXJjPlYJ256jMGQJmUtCmi2NSMY7_3kNhPBuW2Rg84q2tls7at-jpA4y3VTgrXimc6dFICtjRoixQiYtg5ickRxFB_dZH15MiTFP1xJ9BKJyfs6IS3wTpQ18kHlQANy4C8FvtN8X96-sHL0FunelPKtWsl3WbbI-iOMcPhRcTloHSHti-xOCVHQIcN5YEK32Bts4QxwD6_hTyeZPdvBPI-tudBUoGRjvpIfL37VxvY7DrYIgUuF28LQWNYQuM15bFnhJRX4B-RzbPu3EQ8rW1Rj04-3vR0UWM_ha-KKUFDO_LQ11oiy7pcWiMUR2d2EOI78GJ87AJmEQP95LiB4HhMV5nswlYXN3phtotuOkgfdxBL8ynVT5_6Uz_O_x_yeGHa2uN-tpK_i76kVhba9TZYUx4meWYEDPM7lYDJh7ywFbOdIplIU0eaHEM_tMDnTd8qfCoL8ON5zQtuHTzTp0NL_9renAJE4o6E5cvyhMYF1ajWGLC7ZjSjJh2u7XV9FvJttc1dV06ZTxTHbt9cLjDhpDjha7D_vwGr-DsCpZIqXNJZ7dCoio39do02sF18QoIeDknXxvO45WeOTya4QOWcTeBFxiHeCNs6FFjoxW5zx7W9OixVfu8zmrLF6DaxuaV9ka7dXKle7XTbW3eu26k6OFX2ZW_kl0zy2fnXoMqBMR6HQxko120hLGv7WAWch6uwBNpHJmRVqimAynIiNQQH08HFlXoBM3S7yXhFS4Jj3BJ9QaXrD7BJbSTcZmqRBZp_NFIjmnLHyml7VHZ7Sax46iFf-1u06gxLkRmiH6N3q_omQ7rg8Ua0TRLOU5FigJy0uA-BivHlO5PuBrDtrUaMzqeOXJNwlsMhHtJ7ETMU9aVCSJqck4Jw1yaPZnnNCPVA3-scLx5WsBckqojpLmNs4TxM40lUXIWj1rOoIaHswN04JUnO947GdmCSjQcO4mPdGy-fKwL_TQMJ54JGq_cFakEkVVeWxEjVSgXoMY6fxN0waiC1JTPxmn5dN9F2tPagprGlY6iJ6dV3svx5CALbnQ2IsqFVGSX3fDEuFLnPc9lvuhereeq0pczS7vgt1X76h_Z4GYh" id="89" name="Picture"/>
            <a:graphic>
              <a:graphicData uri="http://schemas.openxmlformats.org/drawingml/2006/picture">
                <pic:pic>
                  <pic:nvPicPr>
                    <pic:cNvPr descr="C:/Users/15919/Desktop/论文草稿/temp/manuscript_figures_nnor_u44/figure_000014.png" id="90" name="Picture"/>
                    <pic:cNvPicPr>
                      <a:picLocks noChangeArrowheads="1" noChangeAspect="1"/>
                    </pic:cNvPicPr>
                  </pic:nvPicPr>
                  <pic:blipFill>
                    <a:blip r:embed="rId88"/>
                    <a:stretch>
                      <a:fillRect/>
                    </a:stretch>
                  </pic:blipFill>
                  <pic:spPr bwMode="auto">
                    <a:xfrm>
                      <a:off x="0" y="0"/>
                      <a:ext cx="5731510" cy="346240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End-to-end modelling of single-residue organic small molecules with no missing atoms.</w:t>
      </w:r>
      <w:r>
        <w:rPr>
          <w:rFonts w:ascii="华文仿宋" w:hAnsi="华文仿宋" w:eastAsia="华文仿宋"/>
          <w:sz w:val="18"/>
        </w:rPr>
        <w:t xml:space="preserve"> </w:t>
      </w:r>
      <w:r>
        <w:rPr>
          <w:rFonts w:ascii="华文仿宋" w:hAnsi="华文仿宋" w:eastAsia="华文仿宋"/>
          <w:sz w:val="18"/>
        </w:rPr>
        <w:t xml:space="preserve">Curves show the percentage of the 77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 and Match denote LigandSeek-Find and LigandSeek-Match, respectively. GT and CA2 denote deposited and CryoAtom2-reconstructed receptor structures, respectively.</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curves require end-to-end correct region detection and ligand identity matching, whereas Find and Emap2lig-Find curves require only correct region detection.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Success rates for end-to-end pose reconstruction with PocketXMol-tuned using deposited (GT, b) and CryoAtom2-reconstructed (CA2, c) receptor structures across charged attempts</w:t>
      </w:r>
      <w:r>
        <w:rPr>
          <w:rFonts w:ascii="华文仿宋" w:hAnsi="华文仿宋" w:eastAsia="华文仿宋"/>
          <w:sz w:val="18"/>
        </w:rPr>
        <w:t xml:space="preserve"> </w:t>
      </w:r>
      <m:oMath>
        <m:r>
          <m:t>K</m:t>
        </m:r>
      </m:oMath>
      <w:r>
        <w:rPr>
          <w:rFonts w:ascii="华文仿宋" w:hAnsi="华文仿宋" w:eastAsia="华文仿宋"/>
          <w:sz w:val="18"/>
        </w:rPr>
        <w:t xml:space="preserve">. Success requires RMSD below 2 Å or 3 Å. Solid lines denote top-1 poses selected by model score; dashed lines denote best-of-50 poses.</w:t>
      </w:r>
    </w:p>
    <w:p>
      <w:pPr>
        <w:pStyle w:val="BodyText"/>
        <w:spacing w:line="360" w:lineRule="auto" w:after="120"/>
        <w:ind w:firstLine="420"/>
      </w:pPr>
      <w:r>
        <w:t xml:space="preserve">We evaluated the full end-to-end reconstruction pipeline (detection, matching, and pose reconstruction) for single-residue organic small molecules with no missing atoms across 77 PDB entries which contain at least one of them</w:t>
      </w:r>
      <w:r>
        <w:t xml:space="preserve"> </w:t>
      </w:r>
      <w:r>
        <w:t xml:space="preserve">(</w:t>
      </w:r>
      <w:r>
        <w:rPr>
          <w:rStyle w:val="MDFIGREF_eJyrrk7LTC9KTbNKNUrVLc5NzMnRLcgsSM3JzEutSdJJrq0FANjnDNA"/>
        </w:rPr>
        <w:t xml:space="preserve">Fig. 14b, c</w:t>
      </w:r>
      <w:r>
        <w:t xml:space="preserve">).</w:t>
      </w:r>
      <w:r>
        <w:t xml:space="preserve"> </w:t>
      </w:r>
      <w:r>
        <w:t xml:space="preserve">In all evaluations, PocketXMol-tuned used the centroid of the ligand region predicted by Find to define the binding site and pocket, without relying on ground-truth ligand coordinates. We tested the pipeline using both deposited receptors</w:t>
      </w:r>
      <w:r>
        <w:t xml:space="preserve"> </w:t>
      </w:r>
      <w:r>
        <w:t xml:space="preserve">(</w:t>
      </w:r>
      <w:r>
        <w:rPr>
          <w:rStyle w:val="MDFIGREF_eJyrrk7LTC9KTbNKNUrVLc5NzMnRLcgsSM3JzEutSaqtBQDAgAxB"/>
        </w:rPr>
        <w:t xml:space="preserve">Fig. 14b</w:t>
      </w:r>
      <w:r>
        <w:t xml:space="preserve">)</w:t>
      </w:r>
      <w:r>
        <w:t xml:space="preserve"> </w:t>
      </w:r>
      <w:r>
        <w:t xml:space="preserve">and CryoAtom2-reconstructed receptors</w:t>
      </w:r>
      <w:r>
        <w:t xml:space="preserve"> </w:t>
      </w:r>
      <w:r>
        <w:t xml:space="preserve">(</w:t>
      </w:r>
      <w:r>
        <w:rPr>
          <w:rStyle w:val="MDFIGREF_eJyrrk7LTC9KTbNKNUrVLc5NzMnRLcgsSM3JzEutSa6tBQDAgwxC"/>
        </w:rPr>
        <w:t xml:space="preserve">Fig. 14c</w:t>
      </w:r>
      <w:r>
        <w:t xml:space="preserve">),</w:t>
      </w:r>
      <w:r>
        <w:t xml:space="preserve"> </w:t>
      </w:r>
      <w:r>
        <w:t xml:space="preserve">where in the latter, no deposited structural information was used at any stage of the pipeline.</w:t>
      </w:r>
    </w:p>
    <w:p>
      <w:pPr>
        <w:pStyle w:val="BodyText"/>
        <w:spacing w:line="360" w:lineRule="auto" w:after="120"/>
        <w:ind w:firstLine="420"/>
      </w:pPr>
      <w:r>
        <w:t xml:space="preserve">The strictest evaluation allowed one attempt (</w:t>
      </w:r>
      <m:oMath>
        <m:r>
          <m:t>K</m:t>
        </m:r>
        <m:r>
          <m:rPr>
            <m:sty m:val="p"/>
          </m:rPr>
          <m:t>=</m:t>
        </m:r>
        <m:r>
          <m:t>1</m:t>
        </m:r>
      </m:oMath>
      <w: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360" w:lineRule="auto" w:after="120"/>
        <w:ind w:firstLine="420"/>
      </w:pPr>
      <w:r>
        <w:t xml:space="preserve">For best-of-50 poses within</w:t>
      </w:r>
      <w:r>
        <w:t xml:space="preserve"> </w:t>
      </w:r>
      <m:oMath>
        <m:r>
          <m:t>K</m:t>
        </m:r>
        <m:r>
          <m:rPr>
            <m:sty m:val="p"/>
          </m:rPr>
          <m:t>≤</m:t>
        </m:r>
        <m:r>
          <m:t>10</m:t>
        </m:r>
      </m:oMath>
      <w:r>
        <w:t xml:space="preserve">, success at RMSD &lt; 2 Å reached 67.5% and 75.3% with CryoAtom2-reconstructed and deposited receptors, respectively. At RMSD &lt; 3 Å, the corresponding success rates were 75.3% and 76.6%.</w:t>
      </w:r>
    </w:p>
    <w:p>
      <w:pPr>
        <w:pStyle w:val="BodyText"/>
        <w:spacing w:line="360" w:lineRule="auto" w:after="120"/>
        <w:ind w:firstLine="420"/>
      </w:pPr>
      <w:r>
        <w:rPr>
          <w:rStyle w:val="MDFIGREF_eJyrrk7LTC9KTbNKNUrVLc5NzMnRLcgsSM3JzEutSaytBQDAfQxA"/>
        </w:rPr>
        <w:t xml:space="preserve">Fig. 14a</w:t>
      </w:r>
      <w:r>
        <w:t xml:space="preserve"> </w:t>
      </w:r>
      <w:r>
        <w:t xml:space="preserve">further separates the success rates of individual pipeline stages. Within the first 10 charged attempts (</w:t>
      </w:r>
      <m:oMath>
        <m:r>
          <m:t>K</m:t>
        </m:r>
        <m:r>
          <m:rPr>
            <m:sty m:val="p"/>
          </m:rPr>
          <m:t>≤</m:t>
        </m:r>
        <m:r>
          <m:t>10</m:t>
        </m:r>
      </m:oMath>
      <w: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91"/>
    <w:bookmarkStart w:id="101" w:name="representative-cases"/>
    <w:p>
      <w:pPr>
        <w:pStyle w:val="3"/>
        <w:keepNext/>
        <w:ind w:firstLine="0"/>
      </w:pPr>
      <w:r>
        <w:t xml:space="preserve">Representative cases</w:t>
      </w:r>
    </w:p>
    <w:p>
      <w:pPr>
        <w:pStyle w:val="FirstParagraph"/>
        <w:spacing w:line="360" w:lineRule="auto" w:after="120"/>
        <w:ind w:firstLine="420"/>
      </w:pPr>
      <w:r>
        <w:t xml:space="preserve">We selected three representative cases to illustrate the end-to-end pipeline for all-atom small-molecule pose reconstruction, using CryoAtom2-reconstructed rather than deposited receptor structures as input</w:t>
      </w:r>
      <w:r>
        <w:t xml:space="preserve"> </w:t>
      </w:r>
      <w:r>
        <w:t xml:space="preserve">(</w:t>
      </w:r>
      <w:r>
        <w:rPr>
          <w:rStyle w:val="MDFIGREF_eJyrrk7LTC9KTbNKNUrVTcvJL9e1zMlJ10HwkrKyEDxjg_TE2loA7FISMg"/>
        </w:rPr>
        <w:t xml:space="preserve">Figs. 15–17</w:t>
      </w:r>
      <w:r>
        <w:t xml:space="preserve">).</w:t>
      </w:r>
    </w:p>
    <w:p>
      <w:pPr>
        <w:pStyle w:val="BodyText"/>
        <w:spacing w:line="360" w:lineRule="auto" w:after="120"/>
        <w:ind w:firstLine="420"/>
      </w:pPr>
      <w:r>
        <w:t xml:space="preserve">In 9LLG</w:t>
      </w:r>
      <w:r>
        <w:t xml:space="preserve"> </w:t>
      </w:r>
      <w:r>
        <w:t xml:space="preserve">(</w:t>
      </w:r>
      <w:r>
        <w:rPr>
          <w:rStyle w:val="MDFIGREF_eJyrrk7LTC9KTbNKNUrVTcvJL9e1zMlJr60FAHM2CSQ"/>
        </w:rPr>
        <w:t xml:space="preserve">Fig. 15</w:t>
      </w:r>
      <w:r>
        <w:t xml:space="preserve">),</w:t>
      </w:r>
      <w:r>
        <w:t xml:space="preserve"> </w:t>
      </w:r>
      <w: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drawing>
          <wp:inline>
            <wp:extent cx="5496525" cy="6691630"/>
            <wp:effectExtent b="0" l="0" r="0" t="0"/>
            <wp:docPr descr="Fig. 15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GF1vHDXwr1j31Ep72VyaRNypVEqvSYS4oqgtCIlFkbM7u2fisy3bex-lSOUFWpXCA6gS4oknKiG1vPBCpfa_VE3Tn8HMeu-jH0gFHsihRLqsPd_2jMee-bxhuO83Oqxx_MOjo58ex9tr289_vvXs8Z2j7x6--OWro2_uNY9_fXh06zf8__z3L4_v3zm-fWt_eG7FGD9uRKxhwWk5hIxkdDtJ8qED65KktdFutZPkErhDr02SvHjwx_N7X7-4e_v4_pMkCcqS5G9rU3wApAnWoJlLPWq2pSwIkXLjhVb7A24PS4MknzTOjzqGjQdSuc7o3aTR99504tilfRhwt6INKETm2g64x6kt4pG2mbE6BeeEKgYyXltd3YwHXKikcYGk7dnqc9VPJLBRZ8glyn1vwAvoBvVEF08piPYQwPSEAlfBF2ajjjM8RTUoRyIIBa2tryaNenqllATipde1zJqcOIXKkCwX1vleYF2tiRATDAiWhn_1eEcr75CPu1QI5Dm6-y165NmjJ0cP7lR6gTu_5QR_E66_pdzrTJWuIJhUHFTzg2rYDSuuvmj89dl2td6ZLuh6YA_mefJUtUhaj8GoAjsEJN0RxQprbbAbbFtlTa-bgKs32gGzkGrlvC1T2nqmc7bV2n6_x85c6Wyurp1lQrF2r7e7Qlp80PUfbMq_WDpbWst3MBAjdpn7tM84-utiKWTGMlDaA-uJAmFXAQ6bgW4BMGdZAFbcEfrbGUBfD0FOTp16ks4of3rz-3RpPRKx7bEBKwagPJcUpU74ScR8H1jXTvSW14O15kK2gYxyDxivLTvT3cJUQwFL5BlgZhIvE-xeO3sarScpWrOl9UbEuhhpIuOebr8Cbz3HEJ2JKiYPJizk05HwfXagx-AYviUO6ZHhdRWfUqcY4UMBI8fwyiSQFUXfnwboSQpQWFpvREtr-f8xjvKl9UbEdq0u6b1vSx_eg_M8J6uX4TQBRsz19Ugx7qt05rBAZNoKusursoBIHWY9OM1xJyk2i6X1RsS2pGTURRB0mQp8L3rhBV62udWDeRDuXbrIEGUn9YVMiLq8cU4Uip6bTJeeyv2MitUDWZ4G6YkK0j7WNZ8trUci9lF46OVV7O3p9BD8x5e1bPqSQs5r02yFVgovuMDiJjwIp5WLK22OQiMGbyiPqrw6L3dIyisVOruGwhZ0CMcsV4dIXHWu6LlK6gY6A_n05o9oJ2Zxl2oLK-xKbYNj3AIrLICKZppREELqAs1zW4CvLwNCaVRSoC3z-4K0B0F0wt5geEB64DIY_YYqDgWXDgFayQnLEWAhBwsqRWrhjORhQ3KhcIsA_VVWt09UQZFZwRBoR42RAsVwF9aNx96Ur7y-qX13ofFpxBqzXmZjY729ubG2Md7cbLc2z63eOG9E2sFf3d7kb9XezCwfvdbXrCWgrH8iA9l8aWEmxr6VEJ3nIoVLOi0ppoIkC7LaMdcXxlGc0wrVcE-kFOU0ST8Y7ln0jUtJS7cTV53muGo0x3WfOV5sM8ceBgaXqUpkEcbv56JAY92-Utrul-vrcQDsr-Jfa2PFqAIXIjKU3l7HEfWacbw3XSO6ZmbH3KRgIKcd7OEJQ1frbp9CcMtaPeoDzxydXZI3RVSHJABR5px1QUGQGr-2CQdSmB0hJWmkccUfBrzjvAW8X2iYIw0eIl_hX5rMiOKX5dHMGdzhg9FlDM2F5jPvjHM7oC86jo1Du5lNZm3nCk5oGHuWEr4OV6RKiayO2poYqarvVKjBZLALeHPSAKnxzPmglg97LtDOR1NqwisdTI_nQ96RilG3v13p_0sq8st21SxfGPOO50JOwYtjqer9cmbmF_xdaHzxJ7AhuUU" id="93" name="Picture"/>
            <a:graphic>
              <a:graphicData uri="http://schemas.openxmlformats.org/drawingml/2006/picture">
                <pic:pic>
                  <pic:nvPicPr>
                    <pic:cNvPr descr="C:/Users/15919/Desktop/论文草稿/temp/manuscript_figures_nnor_u44/figure_000015.png" id="94" name="Picture"/>
                    <pic:cNvPicPr>
                      <a:picLocks noChangeArrowheads="1" noChangeAspect="1"/>
                    </pic:cNvPicPr>
                  </pic:nvPicPr>
                  <pic:blipFill>
                    <a:blip r:embed="rId92"/>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End-to-end pose reconstruction of A1EKL (R:602) in 9LLG.</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9BJJ</w:t>
      </w:r>
      <w:r>
        <w:t xml:space="preserve"> </w:t>
      </w:r>
      <w:r>
        <w:t xml:space="preserve">(</w:t>
      </w:r>
      <w:r>
        <w:rPr>
          <w:rStyle w:val="MDFIGREF_eJyrrk7LTC9KTbNKNUrVTcvJL9e1TMrKqq0FAHMFCRs"/>
        </w:rPr>
        <w:t xml:space="preserve">Fig. 16</w:t>
      </w:r>
      <w:r>
        <w:t xml:space="preserve">),</w:t>
      </w:r>
      <w:r>
        <w:t xml:space="preserve"> </w:t>
      </w:r>
      <w:r>
        <w:t xml:space="preserve">Find’s Rank 1 candidate hit the ground-truth ligand region of ATP (B:901). Match correctly identified ATP among the three candidate identities ATP, A1AP0 and Mg²⁺. PocketXMol-tuned then generated a top-1 pose with subångström accuracy, achieving a heavy-atom RMSD of 0.80 Å.</w:t>
      </w:r>
    </w:p>
    <w:p>
      <w:pPr>
        <w:pStyle w:val="CaptionedFigure"/>
        <w:keepNext/>
        <w:spacing w:line="240" w:lineRule="auto" w:before="0" w:after="0"/>
        <w:ind w:firstLine="0"/>
        <w:jc w:val="center"/>
      </w:pPr>
      <w:r>
        <w:drawing>
          <wp:inline>
            <wp:extent cx="5496525" cy="6691630"/>
            <wp:effectExtent b="0" l="0" r="0" t="0"/>
            <wp:docPr descr="Fig. 16 | End-to-end pose reconstruction of ATP (B:901) in 9BJJ.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EtvHEUQ_iutPSXSrMfr2IZdhUj2xo5ADlolASGxyOqdqZnteLa71d2zjxCkcIFEIXAARUKcOBEJKeHChUjJf4niOD-Dqu7ZRxIjBTjgRba0nu56fFXdVf2qz2uau36txWpHPzw-_OlJvLO28-Ln28-f3D387tHLX746_OZ-_ejXR4e3f8P_L37_8ujB3aM7t_eH51a0duNaxGoGrCqGkBJGu9XtfmTB2G63sdFsNLvdi2APnNLd7suHf7y4__XLe3eOHjztdoOxbvdvW5N8AGQJ1qCeFWpUb_auXydGwrUTSu4PuDkoNYp8Wjs_amk2HhTStkbvdWt953Qrjm3ShwG3K0qDRGamzIA77Jo8HimTaqMSsFbIfFDEa6urm_GAC9mtXSC0jvGfq25SABu1hrxA3PcHPId2ME9y8VSCZA8A9J6QYD19oTdqWc0TNIM4BZIQaG19tVurulfKgki8dKrCrMRJU8gUxTJhrNsLqquVEHKCA8HT8K9q7yrpLOpxmwiBOof3vsWIPH_89PDhXW8XuHVbVvDjeP0tad9U8rYCMJno-X7PN9thxP6Lzt-YTVfj3emAbgT14J6jSPlB0ng0ZhWYIaDorshXWGOT3WQ7Mq07VQccvVYWmIFESetMmdDUM5WxrWsddma71VxtnGVCsub2Bx-skA0XLP0HU_IvBs6W1vNdTMOIXeYu6TOO0douRZGyFKRywPZEjrSrAAf1ILdAmKssEL12hNG2GjDSQygmp0E9SSuUP7v1fbK0EYnYzliDEQOQjheUpVa4ScRcH1jbTNSWU4O1-sJeAyntPKCdMuxMe2vtrE9YEk8B9yXxqsCla2dPs_UkZWu6tNGIWBszTaTc0dmX45lnGbJT4XOyN2FhPx0J12c9NQbL8CZxQFcMp3x-FirBDB8KGFmGByaRjMj77jRBT1KCwtJGI1paz_-PeZQtbTQidsmokm77pnThPjjf5wp_M5xugBGzfTWSjDu_nVl8HjJlBJ3l_lFAohZ3PTjd405SbuZLG42IbRUFoxqCoMNU4H3RCSfwsM2MGsyTsHNxmyHLTKoDmRjV88ZakUu6bjJVOnrsp_RY7RXlaZKeqCTt47vm-tJGJGIfh4te5nOvo5IDcJ9cVkXdlZRyTul6IxRSeM4FPm7ChXD6crGlyRA0YnDM88jvq_PnDqG89kJn1xBswYawzHB5gMK-bkXXVTI3UCkUz279iH7iLm4TZWCFXal8sIwbYLkBkNHMMgIhpXqgOW5ycNVhQCyFRnL0ZX5ekPUARCvsGMcD0wEvgtPHvOIQuLRIULKYsAwJBjIwIBOUFlYXPExIJiROEWC8Sn_6RJ6KyhKGQDOqdSEQhtswblz2unzt9k3Fuwu1zyJWm1Uyaxvrzc2NtY3x5mazsXlu9eZ5LZIW_qriJn-r4mZq-OiNqmaFgFj_BAPVXGlgBmPeCkRlmUjgokpKyqmAZKDwM2b7QlvKcxqhHHZEQllOneTDYcdgbGxCVtqt2NeZY19mjqsqc7xYZI4dDDQOU5aoIrTbz0SOztp9KZXZL9fX40DYX8W_xuaKljkORKSI3nwHW1RpxnZnOkYMzcyPuUvBQU4zuIcrDEOt2n1KwS1j1KgPPLW0dglvyvCLJBARc666YCCgxm9MQq8QelcUBVmkttcPDd6yzgCeL9TMUAYXkfP8VzozofhVPOpZjTPcG13G1FwoPfPWODMD-mLg2DgUm9lkVnT2dGLD2LGE-FW6olRCYlXWVsIo5b9TUI2bwSXAk5MaKI1rzgWzfLhng-y8NZUmvlTB9Xje5K1CMqr1N739v5SiuOz4UvlCm7ccF8WUvNguZDVfVs_igr8LtS_-BHk_uME" id="96" name="Picture"/>
            <a:graphic>
              <a:graphicData uri="http://schemas.openxmlformats.org/drawingml/2006/picture">
                <pic:pic>
                  <pic:nvPicPr>
                    <pic:cNvPr descr="C:/Users/15919/Desktop/论文草稿/temp/manuscript_figures_nnor_u44/figure_000016.png" id="97" name="Picture"/>
                    <pic:cNvPicPr>
                      <a:picLocks noChangeArrowheads="1" noChangeAspect="1"/>
                    </pic:cNvPicPr>
                  </pic:nvPicPr>
                  <pic:blipFill>
                    <a:blip r:embed="rId95"/>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End-to-end pose reconstruction of ATP (B:901) in 9BJJ.</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30GA</w:t>
      </w:r>
      <w:r>
        <w:t xml:space="preserve"> </w:t>
      </w:r>
      <w:r>
        <w:t xml:space="preserve">(</w:t>
      </w:r>
      <w:r>
        <w:rPr>
          <w:rStyle w:val="MDFIGREF_eJyrrk7LTC9KTbNKNUrVTcvJL9c1NkhPrK0FAHHACNc"/>
        </w:rPr>
        <w:t xml:space="preserve">Fig. 17</w:t>
      </w:r>
      <w:r>
        <w:t xml:space="preserve">),</w:t>
      </w:r>
      <w:r>
        <w:t xml:space="preserve"> </w:t>
      </w:r>
      <w: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drawing>
          <wp:inline>
            <wp:extent cx="5496525" cy="6691630"/>
            <wp:effectExtent b="0" l="0" r="0" t="0"/>
            <wp:docPr descr="Fig. 17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trHDcU_itinxLY9ez6lnpJA5uNbQp2MElaCp1i5Jkzs6pnJSFp9pKmkL60CWnah5ZA6VOfGigkfelLA8l_CXGcn9FzpNlLEhfS9qHeYsN6pHOXzqfb-bymuevV2qx2_MOTo5-eRpvLmy9_vvPi6b2j7x6_-uWro28eNI5_fXx05zf8__L3L48f3ju-e2d_sLKktRvV6qxmwKpiACnZ6Lbj-EMLxsZxa22jtRHHV8AeOqXj-NWjP14--PrV_bvHD5_FcXAWx3_bm-R9IE-wDI2sUMPGSjPnxEi4dkLJ_T43h6VGkU9qF4dtzUb9Qtr28P241nNOt6PIJj3oc7ukNEhkZsr0ucOuyaOhMqk2KgFrhcz7RbTcbK5HfS5kXLtE1vaM_1x34wLYsD3gBdr9oM9z6Ab3JBdNJEj2EEDvCAnW0-d6w7bVPEE3aKdAEhpaXm3Gtap7rSyIxEunKpuVOGkKmaJYJox1O0G1WQkhJwQQIg3_qvaWks6iHreJEKhzdP9bzMiLJ8-OHt3zfoFb17GCn8TrdaR9W8n7CobJxYHvH_hmN4zYfzH4m9Ppar03GdDNoB7Cc5QpP0gaj0ZUgRkAim6JfIm1LrBbbFOmDacagKPXygIzkChpnSkTmnqmMta5scfOXW2vNlvnmZBspbndWSIfLnj6D6bkXwycLWzkWwjDOtvlLukxjtm6XIoiZSlI5YDtiBxp1wEOG0FujjBTmSN67Tpm22rATA-gGJ8l9TStUP789vfJwmakzjZHGozog3S8IJRa4cZ15nrAumasOk71lxtzew2ktPOAdsqwc93O8nkPWBJPAfcl8brA9o3zZ2g9TWhNFzYbddZFpImUOzr7cjzzLEN2KjwmD8Ys7KdD4XrsQI3AMrxJHNIVwymPz0IliPCBgKFleGASyYi8584AepoACgubjfrCRv5_xFG2sNmos22jSrrtm9KF--Bsnyv8zXCyAdaZ7amhZNz57czi85ApI-gs948CErW468HZHneasJkvbDbqrFMUjGoIgg5TgfdFJ5zAwzYzqj8D4d6VywxZZlwdyMSonjfWilzSdZOp0tFjP6XH6kFRnoH0VIG0h--azxY2I3X2UbjoZR57eyo5BPfxrioariTIOaUbrVBI4TkX-LgJF8LJy8WWJkOjdQYnPI_8vjp77pCVN17o7AYam_MhLDNcHqKwr1vRdZXc9VUKxfPbP2KcuIvbRBlYYteqGCzjBlhuAGR96hkNIaV6oDlucnDVYUAshU5yjGV2XpD3YIhW2AmBB6YDXoSgT3jFoeHSIkHJYswyJBjIwIBMUFpYXfAwIZmQOEWA-Sr96VP3VFSWMACaUa0LgWa4DePGZa_LN27fVLy7VPu0zmrTSmZtbXVjfW15bbS-vtFaX2neuqhF0sZfVdzk71TcTA0fvlXVrCygrX9iA9VcaWBqxryTEZVlIoErKikJU8GSgcLPmO0JbQnnNEI52BMJoZw6ydXBnsHc2IS8dNuRrzNHvswcVVXmaL7IHDnoaxymLFFFaLefiRyDtftSKrNfrq5GgbDfxL_WhSUtcxyISGmpNakQS6Vm7OxNBom5mQYyiylEyGkKd3CJYa5Vt0cY7Bijhj3gqSWLZG_C8KskENHmTHXOQbAavTULB4XQW6IoyCO1vX5o8LZ1BvCAoWaGMriKnOe_1pkKRa_bo57VOMUHw13E5lztmbdHmenTFzPHRqHazMbTqrOnExtGjiXEr_CKUgmJVbCthFHKfydGNe4G24BHJzVQGhedC275YMcG2VlrIk18qULo0azJ24VkVOzf8P7_Uorysulr5XNt3nZcFBPyfLuQ1XxZPc0L_i7VvvgTz664gw" id="99" name="Picture"/>
            <a:graphic>
              <a:graphicData uri="http://schemas.openxmlformats.org/drawingml/2006/picture">
                <pic:pic>
                  <pic:nvPicPr>
                    <pic:cNvPr descr="C:/Users/15919/Desktop/论文草稿/temp/manuscript_figures_nnor_u44/figure_000017.png" id="100" name="Picture"/>
                    <pic:cNvPicPr>
                      <a:picLocks noChangeArrowheads="1" noChangeAspect="1"/>
                    </pic:cNvPicPr>
                  </pic:nvPicPr>
                  <pic:blipFill>
                    <a:blip r:embed="rId98"/>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17 | End-to-end pose reconstruction of ATP (N:401) in 30GA.</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101"/>
    <w:bookmarkEnd w:id="102"/>
    <w:bookmarkEnd w:id="103"/>
    <w:bookmarkStart w:id="135" w:name="methods"/>
    <w:p>
      <w:pPr>
        <w:pStyle w:val="1"/>
        <w:keepNext/>
        <w:ind w:firstLine="0"/>
      </w:pPr>
      <w:r>
        <w:t xml:space="preserve">Methods</w:t>
      </w:r>
    </w:p>
    <w:p>
      <w:pPr>
        <w:pStyle w:val="FirstParagraph"/>
        <w:spacing w:line="360" w:lineRule="auto" w:after="120"/>
        <w:ind w:firstLine="420"/>
      </w:pPr>
      <w:r>
        <w:rPr>
          <w:rStyle w:val="MDFIGREF_eJyrrk7LTC9KTbMCUrq5qSUZ-Sm6ZSa1tQB3QQlZ"/>
        </w:rPr>
        <w:t xml:space="preserve">Fig. 2</w:t>
      </w:r>
      <w:r>
        <w:t xml:space="preserve"> </w:t>
      </w:r>
      <w:r>
        <w:t xml:space="preserve">shows the network architecture and information flow of the Find–Match–Build framework. The three stages share density and receptor-atom input representations</w:t>
      </w:r>
      <w:r>
        <w:t xml:space="preserve"> </w:t>
      </w:r>
      <w:r>
        <w:t xml:space="preserve">(</w:t>
      </w:r>
      <w:r>
        <w:rPr>
          <w:rStyle w:val="MDFIGREF_eJyrrk7LTC9KTbMCUrq5qSUZ-Sm6ZSY1ibW1AIsSCjY"/>
        </w:rPr>
        <w:t xml:space="preserve">Fig. 2a</w:t>
      </w:r>
      <w:r>
        <w:t xml:space="preserve">).</w:t>
      </w:r>
      <w:r>
        <w:t xml:space="preserve"> </w:t>
      </w:r>
      <w:r>
        <w:t xml:space="preserve">They sequentially localise ligand regions</w:t>
      </w:r>
      <w:r>
        <w:t xml:space="preserve"> </w:t>
      </w:r>
      <w:r>
        <w:t xml:space="preserve">(</w:t>
      </w:r>
      <w:r>
        <w:rPr>
          <w:rStyle w:val="MDFIGREF_eJyrrk7LTC9KTbMCUrq5qSUZ-Sm6ZSY1SbW1AIsVCjc"/>
        </w:rPr>
        <w:t xml:space="preserve">Fig. 2b</w:t>
      </w:r>
      <w:r>
        <w:t xml:space="preserve">),</w:t>
      </w:r>
      <w:r>
        <w:t xml:space="preserve"> </w:t>
      </w:r>
      <w:r>
        <w:t xml:space="preserve">match candidate regions to ligand identities</w:t>
      </w:r>
      <w:r>
        <w:t xml:space="preserve"> </w:t>
      </w:r>
      <w:r>
        <w:t xml:space="preserve">(</w:t>
      </w:r>
      <w:r>
        <w:rPr>
          <w:rStyle w:val="MDFIGREF_eJyrrk7LTC9KTbMCUrq5qSUZ-Sm6ZSY1ybW1AIsYCjg"/>
        </w:rPr>
        <w:t xml:space="preserve">Fig. 2c</w:t>
      </w:r>
      <w:r>
        <w:t xml:space="preserve">)</w:t>
      </w:r>
      <w:r>
        <w:t xml:space="preserve"> </w:t>
      </w:r>
      <w:r>
        <w:t xml:space="preserve">and reconstruct all-atom ligand poses</w:t>
      </w:r>
      <w:r>
        <w:t xml:space="preserve"> </w:t>
      </w:r>
      <w:r>
        <w:t xml:space="preserve">(</w:t>
      </w:r>
      <w:r>
        <w:rPr>
          <w:rStyle w:val="MDFIGREF_eJyrrk7LTC9KTbMCUrq5qSUZ-Sm6ZSY1KbW1AIsbCjk"/>
        </w:rPr>
        <w:t xml:space="preserve">Fig. 2d</w:t>
      </w:r>
      <w:r>
        <w:t xml:space="preserve">).</w:t>
      </w:r>
    </w:p>
    <w:bookmarkStart w:id="104" w:name="data-sources-and-sample-partitioning"/>
    <w:p>
      <w:pPr>
        <w:pStyle w:val="2"/>
        <w:keepNext/>
        <w:ind w:firstLine="0"/>
      </w:pPr>
      <w:r>
        <w:t xml:space="preserve">Data sources and sample partitioning</w:t>
      </w:r>
    </w:p>
    <w:p>
      <w:pPr>
        <w:pStyle w:val="FirstParagraph"/>
        <w:spacing w:line="360" w:lineRule="auto" w:after="120"/>
        <w:ind w:firstLine="420"/>
      </w:pPr>
      <w:r>
        <w:t xml:space="preserve">We downloaded cryo-EM density maps from EMDB and their corresponding PDB structures from the RCSB database. We selected samples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360" w:lineRule="auto" w:after="120"/>
        <w:ind w:firstLine="420"/>
      </w:pPr>
      <w:r>
        <w:t xml:space="preserve">We used sequence comparisons performed by MMseqs2 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360" w:lineRule="auto" w:after="120"/>
        <w:ind w:firstLine="420"/>
      </w:pPr>
      <w: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360" w:lineRule="auto" w:after="120"/>
        <w:ind w:firstLine="420"/>
      </w:pPr>
      <w: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360" w:lineRule="auto" w:after="120"/>
        <w:ind w:firstLine="420"/>
      </w:pPr>
      <w:r>
        <w:t xml:space="preserve">For Find, the training set supplied training metadata, including local</w:t>
      </w:r>
      <w:r>
        <w:t xml:space="preserve"> </w:t>
      </w:r>
      <m:oMath>
        <m:sSup>
          <m:e>
            <m:r>
              <m:t>80</m:t>
            </m:r>
          </m:e>
          <m:sup>
            <m:r>
              <m:t>3</m:t>
            </m:r>
          </m:sup>
        </m:sSup>
      </m:oMath>
      <w:r>
        <w:t xml:space="preserve"> </w:t>
      </w:r>
      <w: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360" w:lineRule="auto" w:after="120"/>
        <w:ind w:firstLine="420"/>
      </w:pPr>
      <w: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360" w:lineRule="auto" w:after="120"/>
        <w:ind w:firstLine="420"/>
      </w:pPr>
      <w: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104"/>
    <w:bookmarkStart w:id="107" w:name="unified-input-representation"/>
    <w:p>
      <w:pPr>
        <w:pStyle w:val="2"/>
        <w:keepNext/>
        <w:ind w:firstLine="0"/>
      </w:pPr>
      <w:r>
        <w:t xml:space="preserve">Unified input representation</w:t>
      </w:r>
    </w:p>
    <w:p>
      <w:pPr>
        <w:pStyle w:val="FirstParagraph"/>
        <w:spacing w:line="360" w:lineRule="auto" w:after="120"/>
        <w:ind w:firstLine="420"/>
      </w:pPr>
      <w: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105" w:name="multi-view-density-bank"/>
    <w:p>
      <w:pPr>
        <w:pStyle w:val="3"/>
        <w:keepNext/>
        <w:ind w:firstLine="0"/>
      </w:pPr>
      <w:r>
        <w:t xml:space="preserve">Multi-view density bank</w:t>
      </w:r>
    </w:p>
    <w:p>
      <w:pPr>
        <w:pStyle w:val="FirstParagraph"/>
        <w:spacing w:line="360" w:lineRule="auto" w:after="120"/>
        <w:ind w:firstLine="420"/>
      </w:pPr>
      <w:r>
        <w:t xml:space="preserve">The multi-view density bank organises complementary views of density into a local representation shared by Find, Match and Build.</w:t>
      </w:r>
    </w:p>
    <w:p>
      <w:pPr>
        <w:pStyle w:val="BodyText"/>
        <w:spacing w:line="360" w:lineRule="auto" w:after="120"/>
        <w:ind w:firstLine="420"/>
      </w:pPr>
      <w:r>
        <w:t xml:space="preserve">Using Chimera, we generated a simulated receptor density map</w:t>
      </w:r>
      <w:r>
        <w:t xml:space="preserve"> </w:t>
      </w:r>
      <m:oMath>
        <m:sSub>
          <m:e>
            <m:r>
              <m:t>M</m:t>
            </m:r>
          </m:e>
          <m:sub>
            <m:r>
              <m:rPr>
                <m:sty m:val="p"/>
              </m:rPr>
              <m:t>s</m:t>
            </m:r>
            <m:r>
              <m:rPr>
                <m:sty m:val="p"/>
              </m:rPr>
              <m:t>i</m:t>
            </m:r>
            <m:r>
              <m:rPr>
                <m:sty m:val="p"/>
              </m:rPr>
              <m:t>m</m:t>
            </m:r>
          </m:sub>
        </m:sSub>
      </m:oMath>
      <w:r>
        <w:t xml:space="preserve"> </w:t>
      </w:r>
      <w:r>
        <w:t xml:space="preserve">from the input receptor structure on the same grid as the experimental cryo-EM density map</w:t>
      </w:r>
      <w:r>
        <w:t xml:space="preserve"> </w:t>
      </w:r>
      <m:oMath>
        <m:sSub>
          <m:e>
            <m:r>
              <m:t>M</m:t>
            </m:r>
          </m:e>
          <m:sub>
            <m:r>
              <m:rPr>
                <m:sty m:val="p"/>
              </m:rPr>
              <m:t>e</m:t>
            </m:r>
            <m:r>
              <m:rPr>
                <m:sty m:val="p"/>
              </m:rPr>
              <m:t>x</m:t>
            </m:r>
            <m:r>
              <m:rPr>
                <m:sty m:val="p"/>
              </m:rPr>
              <m:t>p</m:t>
            </m:r>
          </m:sub>
        </m:sSub>
      </m:oMath>
      <w: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360" w:lineRule="auto" w:after="120"/>
        <w:ind w:firstLine="420"/>
      </w:pPr>
      <w:r>
        <w:t xml:space="preserve">On the set of voxels containing receptor atoms,</w:t>
      </w:r>
      <w:r>
        <w:t xml:space="preserve"> </w:t>
      </w:r>
      <m:oMath>
        <m:sSub>
          <m:e>
            <m:r>
              <m:rPr>
                <m:sty m:val="p"/>
              </m:rPr>
              <m:t>Ω</m:t>
            </m:r>
          </m:e>
          <m:sub>
            <m:r>
              <m:rPr>
                <m:sty m:val="p"/>
              </m:rPr>
              <m:t>r</m:t>
            </m:r>
            <m:r>
              <m:rPr>
                <m:sty m:val="p"/>
              </m:rPr>
              <m:t>e</m:t>
            </m:r>
            <m:r>
              <m:rPr>
                <m:sty m:val="p"/>
              </m:rPr>
              <m:t>c</m:t>
            </m:r>
          </m:sub>
        </m:sSub>
      </m:oMath>
      <w:r>
        <w:t xml:space="preserve">, we fitted a scale coefficient</w:t>
      </w:r>
      <w:r>
        <w:t xml:space="preserve"> </w:t>
      </w:r>
      <m:oMath>
        <m:r>
          <m:t>a</m:t>
        </m:r>
      </m:oMath>
      <w:r>
        <w:t xml:space="preserve"> </w:t>
      </w:r>
      <w:r>
        <w:t xml:space="preserve">and offset</w:t>
      </w:r>
      <w:r>
        <w:t xml:space="preserve"> </w:t>
      </w:r>
      <m:oMath>
        <m:r>
          <m:t>b</m:t>
        </m:r>
      </m:oMath>
      <w:r>
        <w:t xml:space="preserve"> </w:t>
      </w:r>
      <w: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t xml:space="preserve">We also constructed a positive difference density map from the residual,</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360" w:lineRule="auto" w:after="120"/>
        <w:ind w:firstLine="420"/>
      </w:pPr>
      <w:r>
        <w:t xml:space="preserve">For each base density field</w:t>
      </w:r>
      <w:r>
        <w:t xml:space="preserve"> </w:t>
      </w:r>
      <m:oMath>
        <m:r>
          <m:t>M</m:t>
        </m:r>
      </m:oMath>
      <w:r>
        <w:t xml:space="preserve">, we retained both unnormalised and z-score-normalised representations. For the latter, we first clipped</w:t>
      </w:r>
      <w:r>
        <w:t xml:space="preserve"> </w:t>
      </w:r>
      <m:oMath>
        <m:r>
          <m:t>M</m:t>
        </m:r>
      </m:oMath>
      <w:r>
        <w:t xml:space="preserve"> </w:t>
      </w:r>
      <w:r>
        <w:t xml:space="preserve">to its 0.1st and 99.9th percentiles before applying z-score normalisation, reducing the influence of extreme density values on the numerical scale.</w:t>
      </w:r>
    </w:p>
    <w:p>
      <w:pPr>
        <w:pStyle w:val="BodyText"/>
        <w:spacing w:line="360" w:lineRule="auto" w:after="120"/>
        <w:ind w:firstLine="420"/>
      </w:pPr>
      <w: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360" w:lineRule="auto" w:after="120"/>
        <w:ind w:firstLine="420"/>
      </w:pPr>
      <w:r>
        <w:t xml:space="preserve">Let</w:t>
      </w:r>
      <w:r>
        <w:t xml:space="preserve"> </w:t>
      </w:r>
      <m:oMath>
        <m:sSub>
          <m:e>
            <m:r>
              <m:t>G</m:t>
            </m:r>
          </m:e>
          <m:sub>
            <m:r>
              <m:t>σ</m:t>
            </m:r>
          </m:sub>
        </m:sSub>
      </m:oMath>
      <w:r>
        <w:t xml:space="preserve"> </w:t>
      </w:r>
      <w:r>
        <w:t xml:space="preserve">denote a three-dimensional Gaussian kernel with standard deviation</w:t>
      </w:r>
      <w:r>
        <w:t xml:space="preserve"> </w:t>
      </w:r>
      <m:oMath>
        <m:r>
          <m:t>σ</m:t>
        </m:r>
      </m:oMath>
      <w:r>
        <w:t xml:space="preserve">, and let</w:t>
      </w:r>
      <w:r>
        <w:t xml:space="preserve"> </w:t>
      </w:r>
      <m:oMath>
        <m:r>
          <m:rPr>
            <m:sty m:val="p"/>
          </m:rPr>
          <m:t>*</m:t>
        </m:r>
      </m:oMath>
      <w:r>
        <w:t xml:space="preserve"> </w:t>
      </w:r>
      <w:r>
        <w:t xml:space="preserve">denote three-dimensional convolution. Let</w:t>
      </w:r>
      <w:r>
        <w:t xml:space="preserve"> </w:t>
      </w:r>
      <m:oMath>
        <m:sSub>
          <m:e>
            <m:r>
              <m:t>d</m:t>
            </m:r>
          </m:e>
          <m:sub>
            <m:r>
              <m:rPr>
                <m:sty m:val="p"/>
              </m:rPr>
              <m:t>r</m:t>
            </m:r>
            <m:r>
              <m:rPr>
                <m:sty m:val="p"/>
              </m:rPr>
              <m:t>e</m:t>
            </m:r>
            <m:r>
              <m:rPr>
                <m:sty m:val="p"/>
              </m:rPr>
              <m:t>c</m:t>
            </m:r>
          </m:sub>
        </m:sSub>
        <m:r>
          <m:rPr>
            <m:sty m:val="p"/>
          </m:rPr>
          <m:t>(</m:t>
        </m:r>
        <m:r>
          <m:t>x</m:t>
        </m:r>
        <m:r>
          <m:rPr>
            <m:sty m:val="p"/>
          </m:rPr>
          <m:t>)</m:t>
        </m:r>
      </m:oMath>
      <w:r>
        <w:t xml:space="preserve"> </w:t>
      </w:r>
      <w:r>
        <w:t xml:space="preserve">denote the distance from voxel</w:t>
      </w:r>
      <w:r>
        <w:t xml:space="preserve"> </w:t>
      </w:r>
      <m:oMath>
        <m:r>
          <m:t>x</m:t>
        </m:r>
      </m:oMath>
      <w:r>
        <w:t xml:space="preserve"> </w:t>
      </w:r>
      <w:r>
        <w:t xml:space="preserve">to the nearest receptor-occupied voxel. With</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t xml:space="preserve"> </w:t>
      </w:r>
      <w: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t xml:space="preserve">Each local region therefore yields a total of</w:t>
      </w:r>
      <w:r>
        <w:t xml:space="preserve"> </w:t>
      </w:r>
      <m:oMath>
        <m:r>
          <m:t>4</m:t>
        </m:r>
        <m:r>
          <m:rPr>
            <m:sty m:val="p"/>
          </m:rPr>
          <m:t>×</m:t>
        </m:r>
        <m:r>
          <m:t>2</m:t>
        </m:r>
        <m:r>
          <m:rPr>
            <m:sty m:val="p"/>
          </m:rPr>
          <m:t>×</m:t>
        </m:r>
        <m:r>
          <m:t>7</m:t>
        </m:r>
        <m:r>
          <m:rPr>
            <m:sty m:val="p"/>
          </m:rPr>
          <m:t>=</m:t>
        </m:r>
        <m:r>
          <m:t>56</m:t>
        </m:r>
      </m:oMath>
      <w:r>
        <w:t xml:space="preserve"> </w:t>
      </w:r>
      <w:r>
        <w:t xml:space="preserve">density channels. These form a 56-channel tensor in the fixed order of base density field, normalisation scheme and spatial transformation.</w:t>
      </w:r>
    </w:p>
    <w:p>
      <w:pPr>
        <w:pStyle w:val="BodyText"/>
        <w:spacing w:line="360" w:lineRule="auto" w:after="120"/>
        <w:ind w:firstLine="420"/>
      </w:pPr>
      <w: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360" w:lineRule="auto" w:after="120"/>
        <w:ind w:firstLine="420"/>
      </w:pPr>
      <w:r>
        <w:t xml:space="preserve">All models were trained on local</w:t>
      </w:r>
      <w:r>
        <w:t xml:space="preserve"> </w:t>
      </w:r>
      <m:oMath>
        <m:sSup>
          <m:e>
            <m:r>
              <m:t>L</m:t>
            </m:r>
          </m:e>
          <m:sup>
            <m:r>
              <m:t>3</m:t>
            </m:r>
          </m:sup>
        </m:sSup>
      </m:oMath>
      <w:r>
        <w:t xml:space="preserve"> </w:t>
      </w:r>
      <w:r>
        <w:t xml:space="preserve">voxel blocks rather than entire density maps. The multi-view density bank was constructed within each block, producing a tensor</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t xml:space="preserve">as the neural-network input. The local block size was</w:t>
      </w:r>
      <w:r>
        <w:t xml:space="preserve"> </w:t>
      </w:r>
      <m:oMath>
        <m:r>
          <m:t>L</m:t>
        </m:r>
        <m:r>
          <m:rPr>
            <m:sty m:val="p"/>
          </m:rPr>
          <m:t>=</m:t>
        </m:r>
        <m:r>
          <m:t>80</m:t>
        </m:r>
      </m:oMath>
      <w:r>
        <w:t xml:space="preserve"> </w:t>
      </w:r>
      <w:r>
        <w:t xml:space="preserve">for Find and Build and</w:t>
      </w:r>
      <w:r>
        <w:t xml:space="preserve"> </w:t>
      </w:r>
      <m:oMath>
        <m:r>
          <m:t>L</m:t>
        </m:r>
        <m:r>
          <m:rPr>
            <m:sty m:val="p"/>
          </m:rPr>
          <m:t>=</m:t>
        </m:r>
        <m:r>
          <m:t>48</m:t>
        </m:r>
      </m:oMath>
      <w:r>
        <w:t xml:space="preserve"> </w:t>
      </w:r>
      <w:r>
        <w:t xml:space="preserve">for Match.</w:t>
      </w:r>
    </w:p>
    <w:bookmarkEnd w:id="105"/>
    <w:bookmarkStart w:id="106" w:name="receptor-atom-features"/>
    <w:p>
      <w:pPr>
        <w:pStyle w:val="3"/>
        <w:keepNext/>
        <w:ind w:firstLine="0"/>
      </w:pPr>
      <w:r>
        <w:t xml:space="preserve">Receptor-atom features</w:t>
      </w:r>
    </w:p>
    <w:p>
      <w:pPr>
        <w:pStyle w:val="FirstParagraph"/>
        <w:spacing w:line="360" w:lineRule="auto" w:after="120"/>
        <w:ind w:firstLine="420"/>
      </w:pPr>
      <w:r>
        <w:t xml:space="preserve">We represent receptor atoms uniformly across all three stages as</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t xml:space="preserve">gives the world coordinates of receptor heavy atom</w:t>
      </w:r>
      <w:r>
        <w:t xml:space="preserve"> </w:t>
      </w:r>
      <m:oMath>
        <m:r>
          <m:t>i</m:t>
        </m:r>
      </m:oMath>
      <w:r>
        <w:t xml:space="preserve">. The corresponding feature vector</w:t>
      </w:r>
      <w:r>
        <w:t xml:space="preserve"> </w:t>
      </w:r>
      <m:oMath>
        <m:sSub>
          <m:e>
            <m:r>
              <m:rPr>
                <m:sty m:val="bi"/>
              </m:rPr>
              <m:t>u</m:t>
            </m:r>
          </m:e>
          <m:sub>
            <m:r>
              <m:t>i</m:t>
            </m:r>
          </m:sub>
        </m:sSub>
        <m:r>
          <m:rPr>
            <m:sty m:val="p"/>
          </m:rPr>
          <m:t>∈</m:t>
        </m:r>
        <m:sSup>
          <m:e>
            <m:r>
              <m:rPr>
                <m:scr m:val="double-struck"/>
                <m:sty m:val="p"/>
              </m:rPr>
              <m:t>R</m:t>
            </m:r>
          </m:e>
          <m:sup>
            <m:r>
              <m:t>50</m:t>
            </m:r>
          </m:sup>
        </m:sSup>
      </m:oMath>
      <w:r>
        <w:t xml:space="preserve"> </w:t>
      </w:r>
      <w:r>
        <w:t xml:space="preserve">describes its chemical properties, residue environment and local packing.</w:t>
      </w:r>
    </w:p>
    <w:p>
      <w:pPr>
        <w:pStyle w:val="BodyText"/>
        <w:spacing w:line="360" w:lineRule="auto" w:after="120"/>
        <w:ind w:firstLine="420"/>
      </w:pPr>
      <w: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t xml:space="preserve">The element one-hot encoding</w:t>
      </w:r>
      <w:r>
        <w:t xml:space="preserve"> </w:t>
      </w:r>
      <m:oMath>
        <m:sSubSup>
          <m:e>
            <m:r>
              <m:rPr>
                <m:sty m:val="bi"/>
              </m:rPr>
              <m:t>e</m:t>
            </m:r>
          </m:e>
          <m:sub>
            <m:r>
              <m:t>i</m:t>
            </m:r>
          </m:sub>
          <m:sup>
            <m:r>
              <m:rPr>
                <m:sty m:val="p"/>
              </m:rPr>
              <m:t>(</m:t>
            </m:r>
            <m:r>
              <m:t>6</m:t>
            </m:r>
            <m:r>
              <m:rPr>
                <m:sty m:val="p"/>
              </m:rPr>
              <m:t>)</m:t>
            </m:r>
          </m:sup>
        </m:sSubSup>
      </m:oMath>
      <w:r>
        <w:t xml:space="preserve"> </w:t>
      </w:r>
      <w:r>
        <w:t xml:space="preserve">represents C, N, O, S, P and other elements, in that order. The residue one-hot encoding</w:t>
      </w:r>
      <w:r>
        <w:t xml:space="preserve"> </w:t>
      </w:r>
      <m:oMath>
        <m:sSubSup>
          <m:e>
            <m:r>
              <m:rPr>
                <m:sty m:val="bi"/>
              </m:rPr>
              <m:t>q</m:t>
            </m:r>
          </m:e>
          <m:sub>
            <m:r>
              <m:t>i</m:t>
            </m:r>
          </m:sub>
          <m:sup>
            <m:r>
              <m:rPr>
                <m:sty m:val="p"/>
              </m:rPr>
              <m:t>(</m:t>
            </m:r>
            <m:r>
              <m:t>25</m:t>
            </m:r>
            <m:r>
              <m:rPr>
                <m:sty m:val="p"/>
              </m:rPr>
              <m:t>)</m:t>
            </m:r>
          </m:sup>
        </m:sSubSup>
      </m:oMath>
      <w:r>
        <w:t xml:space="preserve"> </w:t>
      </w:r>
      <w: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360" w:lineRule="auto" w:after="120"/>
        <w:ind w:firstLine="420"/>
      </w:pPr>
      <w:r>
        <w:t xml:space="preserve">The eight features in</w:t>
      </w:r>
      <w:r>
        <w:t xml:space="preserve"> </w:t>
      </w:r>
      <m:oMath>
        <m:sSubSup>
          <m:e>
            <m:r>
              <m:rPr>
                <m:sty m:val="bi"/>
              </m:rPr>
              <m:t>p</m:t>
            </m:r>
          </m:e>
          <m:sub>
            <m:r>
              <m:t>i</m:t>
            </m:r>
          </m:sub>
          <m:sup>
            <m:r>
              <m:rPr>
                <m:sty m:val="p"/>
              </m:rPr>
              <m:t>(</m:t>
            </m:r>
            <m:r>
              <m:t>8</m:t>
            </m:r>
            <m:r>
              <m:rPr>
                <m:sty m:val="p"/>
              </m:rPr>
              <m:t>)</m:t>
            </m:r>
          </m:sup>
        </m:sSubSup>
      </m:oMath>
      <w:r>
        <w:t xml:space="preserve"> </w:t>
      </w:r>
      <w:r>
        <w:t xml:space="preserve">describe the physicochemical categories of the atom’s residue. In order, they encode polar, non-polar, acidic, basic, neutral, positively charged, negatively charged and uncharged properties. The relative atomic mass</w:t>
      </w:r>
      <w:r>
        <w:t xml:space="preserve"> </w:t>
      </w:r>
      <m:oMath>
        <m:sSub>
          <m:e>
            <m:r>
              <m:t>m</m:t>
            </m:r>
          </m:e>
          <m:sub>
            <m:r>
              <m:t>i</m:t>
            </m:r>
          </m:sub>
        </m:sSub>
      </m:oMath>
      <w:r>
        <w:t xml:space="preserve"> </w:t>
      </w:r>
      <w:r>
        <w:t xml:space="preserve">is normalised by dividing by 32.</w:t>
      </w:r>
    </w:p>
    <w:p>
      <w:pPr>
        <w:pStyle w:val="BodyText"/>
        <w:spacing w:line="360" w:lineRule="auto" w:after="120"/>
        <w:ind w:firstLine="420"/>
      </w:pPr>
      <w:r>
        <w:t xml:space="preserve">The nine-dimensional component</w:t>
      </w:r>
      <w:r>
        <w:t xml:space="preserve"> </w:t>
      </w:r>
      <m:oMath>
        <m:sSubSup>
          <m:e>
            <m:r>
              <m:rPr>
                <m:sty m:val="bi"/>
              </m:rPr>
              <m:t>h</m:t>
            </m:r>
          </m:e>
          <m:sub>
            <m:r>
              <m:t>i</m:t>
            </m:r>
          </m:sub>
          <m:sup>
            <m:r>
              <m:rPr>
                <m:sty m:val="p"/>
              </m:rPr>
              <m:t>(</m:t>
            </m:r>
            <m:r>
              <m:t>9</m:t>
            </m:r>
            <m:r>
              <m:rPr>
                <m:sty m:val="p"/>
              </m:rPr>
              <m:t>)</m:t>
            </m:r>
          </m:sup>
        </m:sSubSup>
      </m:oMath>
      <w:r>
        <w:t xml:space="preserve"> </w:t>
      </w:r>
      <w:r>
        <w:t xml:space="preserve">describes the local packing environment around the atom. We partitioned its 0–18 Å neighbourhood into nine concentric shells:</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We counted the other receptor atoms in each shell,</w:t>
      </w:r>
      <w:r>
        <w:t xml:space="preserve"> </w:t>
      </w:r>
      <m:oMath>
        <m:sSub>
          <m:e>
            <m:r>
              <m:t>n</m:t>
            </m:r>
          </m:e>
          <m:sub>
            <m:r>
              <m:t>i</m:t>
            </m:r>
            <m:r>
              <m:rPr>
                <m:sty m:val="p"/>
              </m:rPr>
              <m:t>,</m:t>
            </m:r>
            <m:r>
              <m:t>k</m:t>
            </m:r>
          </m:sub>
        </m:sSub>
      </m:oMath>
      <w: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t xml:space="preserve">The final feature</w:t>
      </w:r>
      <w:r>
        <w:t xml:space="preserve"> </w:t>
      </w:r>
      <m:oMath>
        <m:sSub>
          <m:e>
            <m:r>
              <m:t>b</m:t>
            </m:r>
          </m:e>
          <m:sub>
            <m:r>
              <m:t>i</m:t>
            </m:r>
          </m:sub>
        </m:sSub>
      </m:oMath>
      <w:r>
        <w:t xml:space="preserve"> </w:t>
      </w:r>
      <w: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360" w:lineRule="auto" w:after="120"/>
        <w:ind w:firstLine="420"/>
      </w:pPr>
      <w: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106"/>
    <w:bookmarkEnd w:id="107"/>
    <w:bookmarkStart w:id="112" w:name="stage-1-find"/>
    <w:p>
      <w:pPr>
        <w:pStyle w:val="2"/>
        <w:keepNext/>
        <w:ind w:firstLine="0"/>
      </w:pPr>
      <w:r>
        <w:t xml:space="preserve">Stage 1: Find</w:t>
      </w:r>
    </w:p>
    <w:bookmarkStart w:id="108" w:name="task-definition"/>
    <w:p>
      <w:pPr>
        <w:pStyle w:val="3"/>
        <w:keepNext/>
        <w:ind w:firstLine="0"/>
      </w:pPr>
      <w:r>
        <w:t xml:space="preserve">Task definition</w:t>
      </w:r>
    </w:p>
    <w:p>
      <w:pPr>
        <w:pStyle w:val="FirstParagraph"/>
        <w:spacing w:line="360" w:lineRule="auto" w:after="120"/>
        <w:ind w:firstLine="420"/>
      </w:pPr>
      <w:r>
        <w:t xml:space="preserve">Let</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t xml:space="preserve"> </w:t>
      </w:r>
      <w:r>
        <w:t xml:space="preserve">denote the set of non-hydrogen atoms from all ligands in a sample. Here,</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t xml:space="preserve">gives the world coordinates of ligand atom</w:t>
      </w:r>
      <w:r>
        <w:t xml:space="preserve"> </w:t>
      </w:r>
      <m:oMath>
        <m:r>
          <m:t>m</m:t>
        </m:r>
      </m:oMath>
      <w:r>
        <w:t xml:space="preserve">, and</w:t>
      </w:r>
      <w:r>
        <w:t xml:space="preserve"> </w:t>
      </w:r>
      <m:oMath>
        <m:sSub>
          <m:e>
            <m:r>
              <m:t>e</m:t>
            </m:r>
          </m:e>
          <m:sub>
            <m:r>
              <m:t>m</m:t>
            </m:r>
          </m:sub>
        </m:sSub>
      </m:oMath>
      <w:r>
        <w:t xml:space="preserve"> </w:t>
      </w:r>
      <w:r>
        <w:t xml:space="preserve">denotes its element type. Let</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t xml:space="preserve">denote the physical coordinates of the centre of voxel</w:t>
      </w:r>
      <w:r>
        <w:t xml:space="preserve"> </w:t>
      </w:r>
      <m:oMath>
        <m:r>
          <m:rPr>
            <m:sty m:val="p"/>
          </m:rPr>
          <m:t>(</m:t>
        </m:r>
        <m:r>
          <m:t>u</m:t>
        </m:r>
        <m:r>
          <m:rPr>
            <m:sty m:val="p"/>
          </m:rPr>
          <m:t>,</m:t>
        </m:r>
        <m:r>
          <m:t>v</m:t>
        </m:r>
        <m:r>
          <m:rPr>
            <m:sty m:val="p"/>
          </m:rPr>
          <m:t>,</m:t>
        </m:r>
        <m:r>
          <m:t>w</m:t>
        </m:r>
        <m:r>
          <m:rPr>
            <m:sty m:val="p"/>
          </m:rPr>
          <m:t>)</m:t>
        </m:r>
      </m:oMath>
      <w:r>
        <w:t xml:space="preserve">. Let</w:t>
      </w:r>
      <w: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t xml:space="preserve">denote the van der Waals radius of element</w:t>
      </w:r>
      <w:r>
        <w:t xml:space="preserve"> </w:t>
      </w:r>
      <m:oMath>
        <m:sSub>
          <m:e>
            <m:r>
              <m:t>e</m:t>
            </m:r>
          </m:e>
          <m:sub>
            <m:r>
              <m:t>m</m:t>
            </m:r>
          </m:sub>
        </m:sSub>
      </m:oMath>
      <w:r>
        <w:t xml:space="preserve">. We define the ground-truth semantic label</w:t>
      </w:r>
      <w:r>
        <w:t xml:space="preserve"> </w:t>
      </w:r>
      <m:oMath>
        <m:sSup>
          <m:e>
            <m:r>
              <m:t>Y</m:t>
            </m:r>
          </m:e>
          <m:sup>
            <m:r>
              <m:rPr>
                <m:sty m:val="p"/>
              </m:rPr>
              <m:t>*</m:t>
            </m:r>
          </m:sup>
        </m:sSup>
      </m:oMath>
      <w:r>
        <w:t xml:space="preserve"> </w:t>
      </w:r>
      <w: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t xml:space="preserve">Given the receptor-atom set</w:t>
      </w:r>
      <w:r>
        <w:t xml:space="preserve"> </w:t>
      </w:r>
      <m:oMath>
        <m:r>
          <m:t>A</m:t>
        </m:r>
      </m:oMath>
      <w:r>
        <w:t xml:space="preserve"> </w:t>
      </w:r>
      <w:r>
        <w:t xml:space="preserve">defined above and the experimental cryo-EM density map</w:t>
      </w:r>
      <w:r>
        <w:t xml:space="preserve"> </w:t>
      </w:r>
      <m:oMath>
        <m:r>
          <m:t>M</m:t>
        </m:r>
      </m:oMath>
      <w:r>
        <w:t xml:space="preserve">, Find predicts ligand-region probabilities</w:t>
      </w:r>
      <w: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t xml:space="preserve">, and corresponding to</w:t>
      </w:r>
      <w:r>
        <w:t xml:space="preserve"> </w:t>
      </w:r>
      <m:oMath>
        <m:sSubSup>
          <m:e>
            <m:r>
              <m:t>Y</m:t>
            </m:r>
          </m:e>
          <m:sub>
            <m:r>
              <m:t>u</m:t>
            </m:r>
            <m:r>
              <m:rPr>
                <m:sty m:val="p"/>
              </m:rPr>
              <m:t>,</m:t>
            </m:r>
            <m:r>
              <m:t>v</m:t>
            </m:r>
            <m:r>
              <m:rPr>
                <m:sty m:val="p"/>
              </m:rPr>
              <m:t>,</m:t>
            </m:r>
            <m:r>
              <m:t>w</m:t>
            </m:r>
          </m:sub>
          <m:sup>
            <m:r>
              <m:rPr>
                <m:sty m:val="p"/>
              </m:rPr>
              <m:t>*</m:t>
            </m:r>
          </m:sup>
        </m:sSubSup>
      </m:oMath>
      <w:r>
        <w:t xml:space="preserve">, the value</w:t>
      </w:r>
      <w:r>
        <w:t xml:space="preserve"> </w:t>
      </w:r>
      <m:oMath>
        <m:sSub>
          <m:e>
            <m:acc>
              <m:accPr>
                <m:chr m:val="̂"/>
              </m:accPr>
              <m:e>
                <m:r>
                  <m:t>Y</m:t>
                </m:r>
              </m:e>
            </m:acc>
          </m:e>
          <m:sub>
            <m:r>
              <m:t>u</m:t>
            </m:r>
            <m:r>
              <m:rPr>
                <m:sty m:val="p"/>
              </m:rPr>
              <m:t>,</m:t>
            </m:r>
            <m:r>
              <m:t>v</m:t>
            </m:r>
            <m:r>
              <m:rPr>
                <m:sty m:val="p"/>
              </m:rPr>
              <m:t>,</m:t>
            </m:r>
            <m:r>
              <m:t>w</m:t>
            </m:r>
          </m:sub>
        </m:sSub>
      </m:oMath>
      <w:r>
        <w:t xml:space="preserve"> </w:t>
      </w:r>
      <w:r>
        <w:t xml:space="preserve">is the predicted probability that voxel</w:t>
      </w:r>
      <w:r>
        <w:t xml:space="preserve"> </w:t>
      </w:r>
      <m:oMath>
        <m:r>
          <m:rPr>
            <m:sty m:val="p"/>
          </m:rPr>
          <m:t>(</m:t>
        </m:r>
        <m:r>
          <m:t>u</m:t>
        </m:r>
        <m:r>
          <m:rPr>
            <m:sty m:val="p"/>
          </m:rPr>
          <m:t>,</m:t>
        </m:r>
        <m:r>
          <m:t>v</m:t>
        </m:r>
        <m:r>
          <m:rPr>
            <m:sty m:val="p"/>
          </m:rPr>
          <m:t>,</m:t>
        </m:r>
        <m:r>
          <m:t>w</m:t>
        </m:r>
        <m:r>
          <m:rPr>
            <m:sty m:val="p"/>
          </m:rPr>
          <m:t>)</m:t>
        </m:r>
      </m:oMath>
      <w:r>
        <w:t xml:space="preserve"> </w:t>
      </w:r>
      <w:r>
        <w:t xml:space="preserve">belongs to a ligand region. These probabilities are the primary supervised output during Find training.</w:t>
      </w:r>
    </w:p>
    <w:bookmarkEnd w:id="108"/>
    <w:bookmarkStart w:id="109" w:name="network-architecture"/>
    <w:p>
      <w:pPr>
        <w:pStyle w:val="3"/>
        <w:keepNext/>
        <w:ind w:firstLine="0"/>
      </w:pPr>
      <w:r>
        <w:t xml:space="preserve">Network architecture</w:t>
      </w:r>
    </w:p>
    <w:p>
      <w:pPr>
        <w:pStyle w:val="FirstParagraph"/>
        <w:spacing w:line="360" w:lineRule="auto" w:after="120"/>
        <w:ind w:firstLine="420"/>
      </w:pPr>
      <w: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360" w:lineRule="auto" w:after="120"/>
        <w:ind w:firstLine="420"/>
      </w:pPr>
      <w:r>
        <w:t xml:space="preserve">The receptor embedding head supplies processed atom representations to both the voxel branch and point-cloud branch. Before the voxel branch, it embeds receptor atoms, encodes their centre positions and softly scatters the encoded features onto the voxel grid. The projected features are concatenated with the 56 density channels as input to a 3D U-Net. Before the point-cloud branch, Point Transformer V3 attention modules and progressive cropping process the initial atom features to provide the point-cloud input.</w:t>
      </w:r>
    </w:p>
    <w:p>
      <w:pPr>
        <w:pStyle w:val="BodyText"/>
        <w:spacing w:line="360" w:lineRule="auto" w:after="120"/>
        <w:ind w:firstLine="420"/>
      </w:pPr>
      <w: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t xml:space="preserve"> </w:t>
      </w:r>
      <m:oMath>
        <m:r>
          <m:t>P</m:t>
        </m:r>
      </m:oMath>
      <w:r>
        <w:t xml:space="preserve"> </w:t>
      </w:r>
      <w:r>
        <w:t xml:space="preserve">from regions with high predicted ligand-region probabilities. Convolutional layers extract surrounding density information to initialise their features. These pseudo atoms enter the point-cloud branch together with receptor atoms</w:t>
      </w:r>
      <w:r>
        <w:t xml:space="preserve"> </w:t>
      </w:r>
      <m:oMath>
        <m:r>
          <m:t>A</m:t>
        </m:r>
      </m:oMath>
      <w:r>
        <w:t xml:space="preserve"> </w:t>
      </w:r>
      <w:r>
        <w:t xml:space="preserve">encoded by the receptor embedding head.</w:t>
      </w:r>
    </w:p>
    <w:p>
      <w:pPr>
        <w:pStyle w:val="BodyText"/>
        <w:spacing w:line="360" w:lineRule="auto" w:after="120"/>
        <w:ind w:firstLine="420"/>
      </w:pPr>
      <w:r>
        <w:t xml:space="preserve">The point-cloud branch uses the U-Net-style encoder–decoder architecture of Point Transformer V3. Space-filling curves jointly serialise receptor atoms</w:t>
      </w:r>
      <w:r>
        <w:t xml:space="preserve"> </w:t>
      </w:r>
      <m:oMath>
        <m:r>
          <m:t>A</m:t>
        </m:r>
      </m:oMath>
      <w:r>
        <w:t xml:space="preserve"> </w:t>
      </w:r>
      <w:r>
        <w:t xml:space="preserve">and pseudo atoms</w:t>
      </w:r>
      <w:r>
        <w:t xml:space="preserve"> </w:t>
      </w:r>
      <m:oMath>
        <m:r>
          <m:t>P</m:t>
        </m:r>
      </m:oMath>
      <w:r>
        <w:t xml:space="preserve">, while point-cloud convolutions provide conditional positional encoding. At multiple resolutions, the network performs learnable weighted sampling over the</w:t>
      </w:r>
      <w:r>
        <w:t xml:space="preserve"> </w:t>
      </w:r>
      <m:oMath>
        <m:sSup>
          <m:e>
            <m:r>
              <m:t>3</m:t>
            </m:r>
          </m:e>
          <m:sup>
            <m:r>
              <m:t>3</m:t>
            </m:r>
          </m:sup>
        </m:sSup>
      </m:oMath>
      <w:r>
        <w:t xml:space="preserve"> </w:t>
      </w:r>
      <w:r>
        <w:t xml:space="preserve">neighbourhoods of</w:t>
      </w:r>
      <w:r>
        <w:t xml:space="preserve"> </w:t>
      </w:r>
      <m:oMath>
        <m:r>
          <m:t>A</m:t>
        </m:r>
      </m:oMath>
      <w:r>
        <w:t xml:space="preserve"> </w:t>
      </w:r>
      <w:r>
        <w:t xml:space="preserve">and</w:t>
      </w:r>
      <w:r>
        <w:t xml:space="preserve"> </w:t>
      </w:r>
      <m:oMath>
        <m:r>
          <m:t>P</m:t>
        </m:r>
      </m:oMath>
      <w:r>
        <w:t xml:space="preserve"> </w:t>
      </w:r>
      <w: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360" w:lineRule="auto" w:after="120"/>
        <w:ind w:firstLine="420"/>
      </w:pPr>
      <w:r>
        <w:t xml:space="preserve">Following AlphaFold3,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109"/>
    <w:bookmarkStart w:id="110" w:name="losses-and-supervision"/>
    <w:p>
      <w:pPr>
        <w:pStyle w:val="3"/>
        <w:keepNext/>
        <w:ind w:firstLine="0"/>
      </w:pPr>
      <w:r>
        <w:t xml:space="preserve">Losses and supervision</w:t>
      </w:r>
    </w:p>
    <w:p>
      <w:pPr>
        <w:pStyle w:val="FirstParagraph"/>
        <w:spacing w:line="360" w:lineRule="auto" w:after="120"/>
        <w:ind w:firstLine="420"/>
      </w:pPr>
      <w: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voxel branch</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point-cloud branch</m:t>
                  </m:r>
                </m:lim>
              </m:limLow>
              <m:r>
                <w:rPr>
                  <w:sz w:val="19"/>
                </w:rPr>
                <m:rPr>
                  <m:sty m:val="p"/>
                </m:rPr>
                <m:t>.</m:t>
              </m:r>
            </m:e>
          </m:eqArr>
        </m:oMath>
      </m:oMathPara>
    </w:p>
    <w:p>
      <w:pPr>
        <w:pStyle w:val="FirstParagraph"/>
        <w:spacing w:line="360" w:lineRule="auto" w:after="120"/>
        <w:ind w:firstLine="420"/>
      </w:pPr>
      <w:r>
        <w:t xml:space="preserve">For the voxel branch,</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t xml:space="preserve">is the primary supervision term. It compares ligand-region probabilities</w:t>
      </w:r>
      <w:r>
        <w:t xml:space="preserve"> </w:t>
      </w:r>
      <m:oMath>
        <m:acc>
          <m:accPr>
            <m:chr m:val="̂"/>
          </m:accPr>
          <m:e>
            <m:r>
              <m:t>Y</m:t>
            </m:r>
          </m:e>
        </m:acc>
      </m:oMath>
      <w:r>
        <w:t xml:space="preserve"> </w:t>
      </w:r>
      <w:r>
        <w:t xml:space="preserve">from the main output head with the ground-truth binary labels</w:t>
      </w:r>
      <w:r>
        <w:t xml:space="preserve"> </w:t>
      </w:r>
      <m:oMath>
        <m:sSup>
          <m:e>
            <m:r>
              <m:t>Y</m:t>
            </m:r>
          </m:e>
          <m:sup>
            <m:r>
              <m:rPr>
                <m:sty m:val="p"/>
              </m:rPr>
              <m:t>*</m:t>
            </m:r>
          </m:sup>
        </m:sSup>
      </m:oMath>
      <w:r>
        <w:t xml:space="preserve">.</w:t>
      </w:r>
    </w:p>
    <w:p>
      <w:pPr>
        <w:pStyle w:val="BodyText"/>
        <w:spacing w:line="360" w:lineRule="auto" w:after="120"/>
        <w:ind w:firstLine="420"/>
      </w:pPr>
      <w:r>
        <w:t xml:space="preserve">Receptor-binding regions comprise voxels containing receptor atoms with a ligand atom within 4 Å.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t xml:space="preserve">provides supervision for the corresponding receptor-binding-region output head. The ligand-distance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t xml:space="preserve">supervises the predicted inverse distance to the nearest ligand atom.</w:t>
      </w:r>
    </w:p>
    <w:p>
      <w:pPr>
        <w:pStyle w:val="BodyText"/>
        <w:spacing w:line="360" w:lineRule="auto" w:after="120"/>
        <w:ind w:firstLine="420"/>
      </w:pPr>
      <w:r>
        <w:t xml:space="preserve">The protein backbone head predicts probabilities over five channels: background, N, CA, C and O. The nucleic acid backbone head predicts probabilities over seven channels: background, P, O5′, C5′, C4′, C3′ and O3′. The corresponding heads are supervised by</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t xml:space="preserve">and</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respectively.</w:t>
      </w:r>
    </w:p>
    <w:p>
      <w:pPr>
        <w:pStyle w:val="BodyText"/>
        <w:spacing w:line="360" w:lineRule="auto" w:after="120"/>
        <w:ind w:firstLine="420"/>
      </w:pPr>
      <w: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t xml:space="preserve">supervises receptor atoms, whereas</w:t>
      </w:r>
      <w: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t xml:space="preserve">supervises pseudo atoms.</w:t>
      </w:r>
    </w:p>
    <w:p>
      <w:pPr>
        <w:pStyle w:val="BodyText"/>
        <w:spacing w:line="360" w:lineRule="auto" w:after="120"/>
        <w:ind w:firstLine="420"/>
      </w:pPr>
      <w:r>
        <w:t xml:space="preserve">The ligand-distance loss uses mean squared error (MSE) for the distance prediction. All other losses combine focal loss (</w:t>
      </w:r>
      <m:oMath>
        <m:r>
          <m:t>γ</m:t>
        </m:r>
        <m:r>
          <m:rPr>
            <m:sty m:val="p"/>
          </m:rPr>
          <m:t>=</m:t>
        </m:r>
        <m:r>
          <m:t>2</m:t>
        </m:r>
      </m:oMath>
      <w:r>
        <w:t xml:space="preserve">) and Dice loss with weights of 0.7 and 0.3, respectively.</w:t>
      </w:r>
    </w:p>
    <w:bookmarkEnd w:id="110"/>
    <w:bookmarkStart w:id="111" w:name="inference-and-post-processing"/>
    <w:p>
      <w:pPr>
        <w:pStyle w:val="3"/>
        <w:keepNext/>
        <w:ind w:firstLine="0"/>
      </w:pPr>
      <w:r>
        <w:t xml:space="preserve">Inference and post-processing</w:t>
      </w:r>
    </w:p>
    <w:p>
      <w:pPr>
        <w:pStyle w:val="FirstParagraph"/>
        <w:spacing w:line="360" w:lineRule="auto" w:after="120"/>
        <w:ind w:firstLine="420"/>
      </w:pPr>
      <w:r>
        <w:t xml:space="preserve">As in training, Find uses</w:t>
      </w:r>
      <w:r>
        <w:t xml:space="preserve"> </w:t>
      </w:r>
      <m:oMath>
        <m:sSup>
          <m:e>
            <m:r>
              <m:t>80</m:t>
            </m:r>
          </m:e>
          <m:sup>
            <m:r>
              <m:t>3</m:t>
            </m:r>
          </m:sup>
        </m:sSup>
      </m:oMath>
      <w:r>
        <w:t xml:space="preserve"> </w:t>
      </w:r>
      <w:r>
        <w:t xml:space="preserve">voxel blocks as its basic input during inference. Sliding-window inference with a stride of 30 and a Gaussian kernel with</w:t>
      </w:r>
      <w:r>
        <w:t xml:space="preserve"> </w:t>
      </w:r>
      <m:oMath>
        <m:r>
          <m:t>σ</m:t>
        </m:r>
        <m:r>
          <m:rPr>
            <m:sty m:val="p"/>
          </m:rPr>
          <m:t>=</m:t>
        </m:r>
        <m:r>
          <m:t>0.5</m:t>
        </m:r>
      </m:oMath>
      <w:r>
        <w:t xml:space="preserve"> </w:t>
      </w:r>
      <w:r>
        <w:t xml:space="preserve">produces the full ligand-region probability map</w:t>
      </w:r>
      <w:r>
        <w:t xml:space="preserve"> </w:t>
      </w:r>
      <m:oMath>
        <m:acc>
          <m:accPr>
            <m:chr m:val="̂"/>
          </m:accPr>
          <m:e>
            <m:r>
              <m:t>Y</m:t>
            </m:r>
          </m:e>
        </m:acc>
      </m:oMath>
      <w:r>
        <w:t xml:space="preserve">. We threshold this map at a fixed probability</w:t>
      </w:r>
      <w:r>
        <w:t xml:space="preserve"> </w:t>
      </w:r>
      <m:oMath>
        <m:sSub>
          <m:e>
            <m:r>
              <m:t>t</m:t>
            </m:r>
          </m:e>
          <m:sub>
            <m:r>
              <m:rPr>
                <m:sty m:val="p"/>
              </m:rPr>
              <m:t>s</m:t>
            </m:r>
            <m:r>
              <m:rPr>
                <m:sty m:val="p"/>
              </m:rPr>
              <m:t>e</m:t>
            </m:r>
            <m:r>
              <m:rPr>
                <m:sty m:val="p"/>
              </m:rPr>
              <m:t>m</m:t>
            </m:r>
          </m:sub>
        </m:sSub>
      </m:oMath>
      <w:r>
        <w:t xml:space="preserve"> </w:t>
      </w:r>
      <w:r>
        <w:t xml:space="preserve">to obtain candidate blobs, which are then filtered by Gaussian scoring. We selected</w:t>
      </w:r>
      <w:r>
        <w:t xml:space="preserve"> </w:t>
      </w:r>
      <m:oMath>
        <m:sSub>
          <m:e>
            <m:r>
              <m:t>t</m:t>
            </m:r>
          </m:e>
          <m:sub>
            <m:r>
              <m:rPr>
                <m:sty m:val="p"/>
              </m:rPr>
              <m:t>s</m:t>
            </m:r>
            <m:r>
              <m:rPr>
                <m:sty m:val="p"/>
              </m:rPr>
              <m:t>e</m:t>
            </m:r>
            <m:r>
              <m:rPr>
                <m:sty m:val="p"/>
              </m:rPr>
              <m:t>m</m:t>
            </m:r>
          </m:sub>
        </m:sSub>
      </m:oMath>
      <w:r>
        <w:t xml:space="preserve"> </w:t>
      </w:r>
      <w:r>
        <w:t xml:space="preserve">to maximise the semantic F1 score on the calibration set. Gaussian-scoring parameters were also searched on the calibration set, then fixed together with the probability threshold for testing.</w:t>
      </w:r>
    </w:p>
    <w:p>
      <w:pPr>
        <w:pStyle w:val="BodyText"/>
        <w:spacing w:line="360" w:lineRule="auto" w:after="120"/>
        <w:ind w:firstLine="420"/>
      </w:pPr>
      <w:r>
        <w:t xml:space="preserve">During inference, we apply 26-connected-component analysis to voxels satisfying</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yielding candidate ligand regions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We then compute a Gaussian score for each of these candidate regions as follows.</w:t>
      </w:r>
    </w:p>
    <w:p>
      <w:pPr>
        <w:pStyle w:val="BodyText"/>
        <w:spacing w:line="360" w:lineRule="auto" w:after="120"/>
        <w:ind w:firstLine="420"/>
      </w:pPr>
      <w:r>
        <w:t xml:space="preserve">For candidate</w:t>
      </w:r>
      <w:r>
        <w:t xml:space="preserve"> </w:t>
      </w:r>
      <m:oMath>
        <m:sSub>
          <m:e>
            <m:r>
              <m:t>B</m:t>
            </m:r>
          </m:e>
          <m:sub>
            <m:r>
              <m:t>j</m:t>
            </m:r>
          </m:sub>
        </m:sSub>
      </m:oMath>
      <w:r>
        <w:t xml:space="preserve">, let</w:t>
      </w:r>
      <w:r>
        <w:t xml:space="preserve"> </w:t>
      </w:r>
      <m:oMath>
        <m:sSub>
          <m:e>
            <m:acc>
              <m:accPr>
                <m:chr m:val="‾"/>
              </m:accPr>
              <m:e>
                <m:r>
                  <m:t>p</m:t>
                </m:r>
              </m:e>
            </m:acc>
          </m:e>
          <m:sub>
            <m:r>
              <m:t>j</m:t>
            </m:r>
          </m:sub>
        </m:sSub>
      </m:oMath>
      <w:r>
        <w:t xml:space="preserve"> </w:t>
      </w:r>
      <w:r>
        <w:t xml:space="preserve">denote the mean ligand-region probability within the candidate region. Let</w:t>
      </w:r>
      <w:r>
        <w:t xml:space="preserve"> </w:t>
      </w:r>
      <m:oMath>
        <m:sSub>
          <m:e>
            <m:r>
              <m:t>q</m:t>
            </m:r>
          </m:e>
          <m:sub>
            <m:r>
              <m:t>i</m:t>
            </m:r>
          </m:sub>
        </m:sSub>
      </m:oMath>
      <w:r>
        <w:t xml:space="preserve"> </w:t>
      </w:r>
      <w:r>
        <w:t xml:space="preserve">denote the binding probability of receptor atom</w:t>
      </w:r>
      <w:r>
        <w:t xml:space="preserve"> </w:t>
      </w:r>
      <m:oMath>
        <m:r>
          <m:t>i</m:t>
        </m:r>
      </m:oMath>
      <w:r>
        <w:t xml:space="preserve">. Let</w:t>
      </w:r>
      <w:r>
        <w:t xml:space="preserve"> </w:t>
      </w:r>
      <m:oMath>
        <m:sSub>
          <m:e>
            <m:r>
              <m:t>d</m:t>
            </m:r>
          </m:e>
          <m:sub>
            <m:r>
              <m:t>i</m:t>
            </m:r>
            <m:r>
              <m:t>j</m:t>
            </m:r>
          </m:sub>
        </m:sSub>
      </m:oMath>
      <w:r>
        <w:t xml:space="preserve"> </w:t>
      </w:r>
      <w:r>
        <w:t xml:space="preserve">denote the physical distance from that atom to the nearest voxel centre in</w:t>
      </w:r>
      <w:r>
        <w:t xml:space="preserve"> </w:t>
      </w:r>
      <m:oMath>
        <m:sSub>
          <m:e>
            <m:r>
              <m:t>B</m:t>
            </m:r>
          </m:e>
          <m:sub>
            <m:r>
              <m:t>j</m:t>
            </m:r>
          </m:sub>
        </m:sSub>
      </m:oMath>
      <w:r>
        <w:t xml:space="preserve">. The Gaussian candidate score</w:t>
      </w:r>
      <w:r>
        <w:t xml:space="preserve"> </w:t>
      </w:r>
      <m:oMath>
        <m:sSub>
          <m:e>
            <m:r>
              <m:t>s</m:t>
            </m:r>
          </m:e>
          <m:sub>
            <m:r>
              <m:t>j</m:t>
            </m:r>
          </m:sub>
        </m:sSub>
      </m:oMath>
      <w:r>
        <w:t xml:space="preserve"> </w:t>
      </w:r>
      <w:r>
        <w:t xml:space="preserve">for blob</w:t>
      </w:r>
      <w:r>
        <w:t xml:space="preserve"> </w:t>
      </w:r>
      <m:oMath>
        <m:sSub>
          <m:e>
            <m:r>
              <m:t>B</m:t>
            </m:r>
          </m:e>
          <m:sub>
            <m:r>
              <m:t>j</m:t>
            </m:r>
          </m:sub>
        </m:sSub>
      </m:oMath>
      <w:r>
        <w:t xml:space="preserve"> </w:t>
      </w:r>
      <w: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t xml:space="preserve">Candidate</w:t>
      </w:r>
      <w:r>
        <w:t xml:space="preserve"> </w:t>
      </w:r>
      <m:oMath>
        <m:sSub>
          <m:e>
            <m:r>
              <m:t>B</m:t>
            </m:r>
          </m:e>
          <m:sub>
            <m:r>
              <m:t>j</m:t>
            </m:r>
          </m:sub>
        </m:sSub>
      </m:oMath>
      <w:r>
        <w:t xml:space="preserve"> </w:t>
      </w:r>
      <w:r>
        <w:t xml:space="preserve">is predicted as positive if and only if</w:t>
      </w:r>
      <w:r>
        <w:t xml:space="preserve"> </w:t>
      </w:r>
      <m:oMath>
        <m:sSub>
          <m:e>
            <m:r>
              <m:t>s</m:t>
            </m:r>
          </m:e>
          <m:sub>
            <m:r>
              <m:t>j</m:t>
            </m:r>
          </m:sub>
        </m:sSub>
      </m:oMath>
      <w:r>
        <w:t xml:space="preserve"> </w:t>
      </w:r>
      <w:r>
        <w:t xml:space="preserve">exceeds the fixed Gaussian-score threshold</w:t>
      </w:r>
      <w:r>
        <w:t xml:space="preserve"> </w:t>
      </w:r>
      <m:oMath>
        <m:acc>
          <m:accPr>
            <m:chr m:val="‾"/>
          </m:accPr>
          <m:e>
            <m:r>
              <m:t>s</m:t>
            </m:r>
          </m:e>
        </m:acc>
      </m:oMath>
      <w:r>
        <w:t xml:space="preserve"> </w:t>
      </w:r>
      <w:r>
        <w:t xml:space="preserve">and its voxel count exceeds</w:t>
      </w:r>
      <w:r>
        <w:t xml:space="preserve"> </w:t>
      </w:r>
      <m:oMath>
        <m:sSub>
          <m:e>
            <m:r>
              <m:rPr>
                <m:sty m:val="i"/>
              </m:rPr>
              <m:t>v</m:t>
            </m:r>
          </m:e>
          <m:sub>
            <m:r>
              <m:rPr>
                <m:sty m:val="i"/>
              </m:rPr>
              <m:t>m</m:t>
            </m:r>
            <m:r>
              <m:rPr>
                <m:sty m:val="i"/>
              </m:rPr>
              <m:t>i</m:t>
            </m:r>
            <m:r>
              <m:rPr>
                <m:sty m:val="i"/>
              </m:rPr>
              <m:t>n</m:t>
            </m:r>
          </m:sub>
        </m:sSub>
      </m:oMath>
      <w:r>
        <w:t xml:space="preserve">. We searched the Gaussian width</w:t>
      </w:r>
      <w:r>
        <w:t xml:space="preserve"> </w:t>
      </w:r>
      <m:oMath>
        <m:r>
          <m:t>τ</m:t>
        </m:r>
      </m:oMath>
      <w:r>
        <w:t xml:space="preserve">, coefficients</w:t>
      </w:r>
      <w:r>
        <w:t xml:space="preserve"> </w:t>
      </w:r>
      <m:oMath>
        <m:sSub>
          <m:e>
            <m:r>
              <m:t>λ</m:t>
            </m:r>
          </m:e>
          <m:sub>
            <m:r>
              <m:rPr>
                <m:sty m:val="p"/>
              </m:rPr>
              <m:t>+</m:t>
            </m:r>
          </m:sub>
        </m:sSub>
      </m:oMath>
      <w:r>
        <w:t xml:space="preserve"> </w:t>
      </w:r>
      <w:r>
        <w:t xml:space="preserve">and</w:t>
      </w:r>
      <w:r>
        <w:t xml:space="preserve"> </w:t>
      </w:r>
      <m:oMath>
        <m:sSub>
          <m:e>
            <m:r>
              <m:t>λ</m:t>
            </m:r>
          </m:e>
          <m:sub>
            <m:r>
              <m:rPr>
                <m:sty m:val="p"/>
              </m:rPr>
              <m:t>−</m:t>
            </m:r>
          </m:sub>
        </m:sSub>
      </m:oMath>
      <w:r>
        <w:t xml:space="preserve">, score threshold</w:t>
      </w:r>
      <w:r>
        <w:t xml:space="preserve"> </w:t>
      </w:r>
      <m:oMath>
        <m:acc>
          <m:accPr>
            <m:chr m:val="‾"/>
          </m:accPr>
          <m:e>
            <m:r>
              <m:t>s</m:t>
            </m:r>
          </m:e>
        </m:acc>
      </m:oMath>
      <w:r>
        <w:t xml:space="preserve"> </w:t>
      </w:r>
      <w:r>
        <w:t xml:space="preserve">and minimum voxel count</w:t>
      </w:r>
      <w:r>
        <w:t xml:space="preserve"> </w:t>
      </w:r>
      <m:oMath>
        <m:sSub>
          <m:e>
            <m:r>
              <m:rPr>
                <m:sty m:val="i"/>
              </m:rPr>
              <m:t>v</m:t>
            </m:r>
          </m:e>
          <m:sub>
            <m:r>
              <m:rPr>
                <m:sty m:val="i"/>
              </m:rPr>
              <m:t>m</m:t>
            </m:r>
            <m:r>
              <m:rPr>
                <m:sty m:val="i"/>
              </m:rPr>
              <m:t>i</m:t>
            </m:r>
            <m:r>
              <m:rPr>
                <m:sty m:val="i"/>
              </m:rPr>
              <m:t>n</m:t>
            </m:r>
          </m:sub>
        </m:sSub>
      </m:oMath>
      <w:r>
        <w:t xml:space="preserve"> </w:t>
      </w:r>
      <w:r>
        <w:t xml:space="preserve">on the calibration set. After calibration, all selected parameters remained fixed throughout subsequent testing.</w:t>
      </w:r>
    </w:p>
    <w:p>
      <w:pPr>
        <w:pStyle w:val="BodyText"/>
        <w:spacing w:line="360" w:lineRule="auto" w:after="120"/>
        <w:ind w:firstLine="420"/>
      </w:pPr>
      <w:r>
        <w:t xml:space="preserve">The first score term measures the candidate’s own density confidence. The second rewards nearby receptor atoms predicted to be close to a ligand, whereas the third penalises nearby receptor atoms predicted to be distant from ligands.</w:t>
      </w:r>
    </w:p>
    <w:bookmarkEnd w:id="111"/>
    <w:bookmarkEnd w:id="112"/>
    <w:bookmarkStart w:id="118" w:name="stage-2-match"/>
    <w:p>
      <w:pPr>
        <w:pStyle w:val="2"/>
        <w:keepNext/>
        <w:ind w:firstLine="0"/>
      </w:pPr>
      <w:r>
        <w:t xml:space="preserve">Stage 2: Match</w:t>
      </w:r>
    </w:p>
    <w:bookmarkStart w:id="113" w:name="overview-1"/>
    <w:p>
      <w:pPr>
        <w:pStyle w:val="3"/>
        <w:keepNext/>
        <w:ind w:firstLine="0"/>
      </w:pPr>
      <w:r>
        <w:t xml:space="preserve">Overview</w:t>
      </w:r>
    </w:p>
    <w:p>
      <w:pPr>
        <w:pStyle w:val="FirstParagraph"/>
        <w:spacing w:line="360" w:lineRule="auto" w:after="120"/>
        <w:ind w:firstLine="420"/>
      </w:pPr>
      <w: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360" w:lineRule="auto" w:after="120"/>
        <w:ind w:firstLine="420"/>
      </w:pPr>
      <w: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113"/>
    <w:bookmarkStart w:id="114" w:name="X181b68a713d2eeaa46c9ea847f44b33b75abd9c"/>
    <w:p>
      <w:pPr>
        <w:pStyle w:val="3"/>
        <w:keepNext/>
        <w:ind w:firstLine="0"/>
      </w:pPr>
      <w:r>
        <w:t xml:space="preserve">Ligand-identity representation and encoding</w:t>
      </w:r>
    </w:p>
    <w:p>
      <w:pPr>
        <w:pStyle w:val="FirstParagraph"/>
        <w:spacing w:line="360" w:lineRule="auto" w:after="120"/>
        <w:ind w:firstLine="420"/>
      </w:pPr>
      <w:r>
        <w:t xml:space="preserve">Let</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denote the chemical identities in a PDB entry, represented by SMILES. For each identity, the ligand language model SMI-TED produces a 768-dimensional feature vector. A linear layer embeds this vector into the language representation</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t xml:space="preserve">.</w:t>
      </w:r>
    </w:p>
    <w:p>
      <w:pPr>
        <w:pStyle w:val="BodyText"/>
        <w:spacing w:line="360" w:lineRule="auto" w:after="120"/>
        <w:ind w:firstLine="420"/>
      </w:pPr>
      <w:r>
        <w:t xml:space="preserve">In parallel, we use RDKit to generate ideal three-dimensional ligand conformations</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t xml:space="preserve">, which are encoded as three-dimensional molecular graphs. Node features comprise atomic number, formal charge and ring information, whereas edge features comprise bond type and ring information.</w:t>
      </w:r>
    </w:p>
    <w:p>
      <w:pPr>
        <w:pStyle w:val="BodyText"/>
        <w:spacing w:line="360" w:lineRule="auto" w:after="120"/>
        <w:ind w:firstLine="420"/>
      </w:pPr>
      <w:r>
        <w:t xml:space="preserve">For each 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its language representation serves as the query for two attention operations</w:t>
      </w:r>
      <w:r>
        <w:t xml:space="preserve"> </w:t>
      </w:r>
      <w:r>
        <w:t xml:space="preserve">(</w:t>
      </w:r>
      <w:r>
        <w:rPr>
          <w:rStyle w:val="MDFIGREF_eJyrrk7LTC9KTbMCUrq5qSUZ-Sm6ZSY1ybW1AIsYCjg"/>
        </w:rPr>
        <w:t xml:space="preserve">Fig. 2c</w:t>
      </w:r>
      <w:r>
        <w:t xml:space="preserve">).</w:t>
      </w:r>
      <w:r>
        <w:t xml:space="preserve"> </w:t>
      </w:r>
      <w: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w:r>
        <w:t xml:space="preserve">The final representation of ligand identity</w:t>
      </w:r>
      <w:r>
        <w:t xml:space="preserve"> </w:t>
      </w:r>
      <m:oMath>
        <m:r>
          <m:t>k</m:t>
        </m:r>
      </m:oMath>
      <w:r>
        <w:t xml:space="preserve"> </w:t>
      </w:r>
      <w:r>
        <w:t xml:space="preserve">is</w:t>
      </w:r>
      <w: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combining its language, graph-attention and context-attention representations.</w:t>
      </w:r>
    </w:p>
    <w:bookmarkEnd w:id="114"/>
    <w:bookmarkStart w:id="115" w:name="X3ea166c1d7247fe31bf19592b3130f954c7c4b6"/>
    <w:p>
      <w:pPr>
        <w:pStyle w:val="3"/>
        <w:keepNext/>
        <w:ind w:firstLine="0"/>
      </w:pPr>
      <w:r>
        <w:t xml:space="preserve">Candidate encoding and auxiliary-feature injection</w:t>
      </w:r>
    </w:p>
    <w:p>
      <w:pPr>
        <w:pStyle w:val="FirstParagraph"/>
        <w:spacing w:line="360" w:lineRule="auto" w:after="120"/>
        <w:ind w:firstLine="420"/>
      </w:pPr>
      <w:r>
        <w:t xml:space="preserve">Let</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denote the candidate regions predicted by Find within the same PDB entry. Match extracts a</w:t>
      </w:r>
      <w:r>
        <w:t xml:space="preserve"> </w:t>
      </w:r>
      <m:oMath>
        <m:sSup>
          <m:e>
            <m:r>
              <m:t>48</m:t>
            </m:r>
          </m:e>
          <m:sup>
            <m:r>
              <m:t>3</m:t>
            </m:r>
          </m:sup>
        </m:sSup>
      </m:oMath>
      <w:r>
        <w:t xml:space="preserve"> </w:t>
      </w:r>
      <w: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t xml:space="preserve"> </w:t>
      </w:r>
      <m:oMath>
        <m:r>
          <m:t>106</m:t>
        </m:r>
        <m:r>
          <m:rPr>
            <m:sty m:val="p"/>
          </m:rPr>
          <m:t>×</m:t>
        </m:r>
        <m:sSup>
          <m:e>
            <m:r>
              <m:t>48</m:t>
            </m:r>
          </m:e>
          <m:sup>
            <m:r>
              <m:t>3</m:t>
            </m:r>
          </m:sup>
        </m:sSup>
      </m:oMath>
      <w:r>
        <w:t xml:space="preserve">. A U-Net encodes this tensor into a base summary vector</w:t>
      </w:r>
      <w:r>
        <w:t xml:space="preserve"> </w:t>
      </w:r>
      <m:oMath>
        <m:sSubSup>
          <m:e>
            <m:r>
              <m:t>h</m:t>
            </m:r>
          </m:e>
          <m:sub>
            <m:r>
              <m:t>j</m:t>
            </m:r>
          </m:sub>
          <m:sup>
            <m:r>
              <m:rPr>
                <m:sty m:val="p"/>
              </m:rPr>
              <m:t>v</m:t>
            </m:r>
            <m:r>
              <m:rPr>
                <m:sty m:val="p"/>
              </m:rPr>
              <m:t>o</m:t>
            </m:r>
            <m:r>
              <m:rPr>
                <m:sty m:val="p"/>
              </m:rPr>
              <m:t>x</m:t>
            </m:r>
          </m:sup>
        </m:sSubSup>
      </m:oMath>
      <w:r>
        <w:t xml:space="preserve"> </w:t>
      </w:r>
      <w:r>
        <w:t xml:space="preserve">for the candidate.</w:t>
      </w:r>
    </w:p>
    <w:p>
      <w:pPr>
        <w:pStyle w:val="BodyText"/>
        <w:spacing w:line="360" w:lineRule="auto" w:after="120"/>
        <w:ind w:firstLine="420"/>
      </w:pPr>
      <w: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360" w:lineRule="auto" w:after="120"/>
        <w:ind w:firstLine="420"/>
      </w:pPr>
      <w:r>
        <w:t xml:space="preserve">Pooling and attention encode these auxiliary features to further modulate the base density summary</w:t>
      </w:r>
      <w:r>
        <w:t xml:space="preserve"> </w:t>
      </w:r>
      <m:oMath>
        <m:sSubSup>
          <m:e>
            <m:r>
              <m:t>h</m:t>
            </m:r>
          </m:e>
          <m:sub>
            <m:r>
              <m:t>j</m:t>
            </m:r>
          </m:sub>
          <m:sup>
            <m:r>
              <m:rPr>
                <m:sty m:val="p"/>
              </m:rPr>
              <m:t>v</m:t>
            </m:r>
            <m:r>
              <m:rPr>
                <m:sty m:val="p"/>
              </m:rPr>
              <m:t>o</m:t>
            </m:r>
            <m:r>
              <m:rPr>
                <m:sty m:val="p"/>
              </m:rPr>
              <m:t>x</m:t>
            </m:r>
          </m:sup>
        </m:sSubSup>
      </m:oMath>
      <w:r>
        <w:t xml:space="preserve">. For each auxiliary feature type, mean and maximum pooling produce a pooled summary vector. In parallel, cross-attention uses</w:t>
      </w:r>
      <w:r>
        <w:t xml:space="preserve"> </w:t>
      </w:r>
      <m:oMath>
        <m:sSubSup>
          <m:e>
            <m:r>
              <m:t>h</m:t>
            </m:r>
          </m:e>
          <m:sub>
            <m:r>
              <m:t>j</m:t>
            </m:r>
          </m:sub>
          <m:sup>
            <m:r>
              <m:rPr>
                <m:sty m:val="p"/>
              </m:rPr>
              <m:t>v</m:t>
            </m:r>
            <m:r>
              <m:rPr>
                <m:sty m:val="p"/>
              </m:rPr>
              <m:t>o</m:t>
            </m:r>
            <m:r>
              <m:rPr>
                <m:sty m:val="p"/>
              </m:rPr>
              <m:t>x</m:t>
            </m:r>
          </m:sup>
        </m:sSubSup>
      </m:oMath>
      <w:r>
        <w:t xml:space="preserve"> </w:t>
      </w:r>
      <w:r>
        <w:t xml:space="preserve">as the query and the corresponding auxiliary features as keys and values to produce an attention summary vector. The two summary vectors are concatenated and passed through a MLP. A FiLM module then uses this output to modulate the base summary</w:t>
      </w:r>
      <w:r>
        <w:t xml:space="preserve"> </w:t>
      </w:r>
      <m:oMath>
        <m:sSubSup>
          <m:e>
            <m:r>
              <m:t>h</m:t>
            </m:r>
          </m:e>
          <m:sub>
            <m:r>
              <m:t>j</m:t>
            </m:r>
          </m:sub>
          <m:sup>
            <m:r>
              <m:rPr>
                <m:sty m:val="p"/>
              </m:rPr>
              <m:t>v</m:t>
            </m:r>
            <m:r>
              <m:rPr>
                <m:sty m:val="p"/>
              </m:rPr>
              <m:t>o</m:t>
            </m:r>
            <m:r>
              <m:rPr>
                <m:sty m:val="p"/>
              </m:rPr>
              <m:t>x</m:t>
            </m:r>
          </m:sup>
        </m:sSubSup>
      </m:oMath>
      <w:r>
        <w:t xml:space="preserve">. The modulated representation is used for both foreground classification and ligand-identity matching.</w:t>
      </w:r>
    </w:p>
    <w:bookmarkEnd w:id="115"/>
    <w:bookmarkStart w:id="116" w:name="scoring-and-selection"/>
    <w:p>
      <w:pPr>
        <w:pStyle w:val="3"/>
        <w:keepNext/>
        <w:ind w:firstLine="0"/>
      </w:pPr>
      <w:r>
        <w:t xml:space="preserve">Scoring and selection</w:t>
      </w:r>
    </w:p>
    <w:p>
      <w:pPr>
        <w:pStyle w:val="FirstParagraph"/>
        <w:spacing w:line="360" w:lineRule="auto" w:after="120"/>
        <w:ind w:firstLine="420"/>
      </w:pPr>
      <w:r>
        <w:t xml:space="preserve">Suppose a PDB entry contains</w:t>
      </w:r>
      <w:r>
        <w:t xml:space="preserve"> </w:t>
      </w:r>
      <m:oMath>
        <m:r>
          <m:t>J</m:t>
        </m:r>
      </m:oMath>
      <w:r>
        <w:t xml:space="preserve"> </w:t>
      </w:r>
      <w:r>
        <w:t xml:space="preserve">candidates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and</w:t>
      </w:r>
      <w:r>
        <w:t xml:space="preserve"> </w:t>
      </w:r>
      <m:oMath>
        <m:r>
          <m:t>K</m:t>
        </m:r>
      </m:oMath>
      <w:r>
        <w:t xml:space="preserve"> </w:t>
      </w:r>
      <w:r>
        <w:t xml:space="preserve">valid SMILES identities</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LigandSeek-Match pairs each candidate representation with every ligand-identity representation from the same PDB entry to form a</w:t>
      </w:r>
      <w:r>
        <w:t xml:space="preserve"> </w:t>
      </w:r>
      <m:oMath>
        <m:r>
          <m:t>J</m:t>
        </m:r>
        <m:r>
          <m:rPr>
            <m:sty m:val="p"/>
          </m:rPr>
          <m:t>×</m:t>
        </m:r>
        <m:r>
          <m:t>K</m:t>
        </m:r>
      </m:oMath>
      <w:r>
        <w:t xml:space="preserve"> </w:t>
      </w:r>
      <w:r>
        <w:t xml:space="preserve">matching-score matrix. Its entry in row</w:t>
      </w:r>
      <w:r>
        <w:t xml:space="preserve"> </w:t>
      </w:r>
      <m:oMath>
        <m:r>
          <m:t>j</m:t>
        </m:r>
      </m:oMath>
      <w:r>
        <w:t xml:space="preserve"> </w:t>
      </w:r>
      <w:r>
        <w:t xml:space="preserve">and column</w:t>
      </w:r>
      <w:r>
        <w:t xml:space="preserve"> </w:t>
      </w:r>
      <m:oMath>
        <m:r>
          <m:t>k</m:t>
        </m:r>
      </m:oMath>
      <w:r>
        <w:t xml:space="preserve"> </w:t>
      </w:r>
      <w: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t xml:space="preserve">Here,</w:t>
      </w:r>
      <w:r>
        <w:t xml:space="preserve"> </w:t>
      </w:r>
      <m:oMath>
        <m:sSub>
          <m:e>
            <m:r>
              <m:t>h</m:t>
            </m:r>
          </m:e>
          <m:sub>
            <m:r>
              <m:t>j</m:t>
            </m:r>
          </m:sub>
        </m:sSub>
      </m:oMath>
      <w:r>
        <w:t xml:space="preserve"> </w:t>
      </w:r>
      <w:r>
        <w:t xml:space="preserve">is the candidate representation, and</w:t>
      </w:r>
      <w:r>
        <w:t xml:space="preserve"> </w:t>
      </w:r>
      <m:oMath>
        <m:sSub>
          <m:e>
            <m:r>
              <m:t>g</m:t>
            </m:r>
          </m:e>
          <m:sub>
            <m:r>
              <m:t>k</m:t>
            </m:r>
          </m:sub>
        </m:sSub>
      </m:oMath>
      <w:r>
        <w:t xml:space="preserve"> </w:t>
      </w:r>
      <w:r>
        <w:t xml:space="preserve">is the ligand-identity representation defined above. The function</w:t>
      </w:r>
      <w:r>
        <w:t xml:space="preserve"> </w:t>
      </w:r>
      <m:oMath>
        <m:sSub>
          <m:e>
            <m:r>
              <m:t>f</m:t>
            </m:r>
          </m:e>
          <m:sub>
            <m:r>
              <m:rPr>
                <m:sty m:val="p"/>
              </m:rPr>
              <m:t>m</m:t>
            </m:r>
            <m:r>
              <m:rPr>
                <m:sty m:val="p"/>
              </m:rPr>
              <m:t>a</m:t>
            </m:r>
            <m:r>
              <m:rPr>
                <m:sty m:val="p"/>
              </m:rPr>
              <m:t>t</m:t>
            </m:r>
            <m:r>
              <m:rPr>
                <m:sty m:val="p"/>
              </m:rPr>
              <m:t>c</m:t>
            </m:r>
            <m:r>
              <m:rPr>
                <m:sty m:val="p"/>
              </m:rPr>
              <m:t>h</m:t>
            </m:r>
          </m:sub>
        </m:sSub>
      </m:oMath>
      <w:r>
        <w:t xml:space="preserve"> </w:t>
      </w:r>
      <w:r>
        <w:t xml:space="preserve">applies separate learnable linear projections to</w:t>
      </w:r>
      <w:r>
        <w:t xml:space="preserve"> </w:t>
      </w:r>
      <m:oMath>
        <m:sSub>
          <m:e>
            <m:r>
              <m:t>h</m:t>
            </m:r>
          </m:e>
          <m:sub>
            <m:r>
              <m:t>j</m:t>
            </m:r>
          </m:sub>
        </m:sSub>
      </m:oMath>
      <w:r>
        <w:t xml:space="preserve"> </w:t>
      </w:r>
      <w:r>
        <w:t xml:space="preserve">and</w:t>
      </w:r>
      <w:r>
        <w:t xml:space="preserve"> </w:t>
      </w:r>
      <m:oMath>
        <m:sSub>
          <m:e>
            <m:r>
              <m:t>g</m:t>
            </m:r>
          </m:e>
          <m:sub>
            <m:r>
              <m:t>k</m:t>
            </m:r>
          </m:sub>
        </m:sSub>
      </m:oMath>
      <w:r>
        <w:t xml:space="preserve">, then computes their cosine similarity to produce the raw score</w:t>
      </w:r>
      <w:r>
        <w:t xml:space="preserve"> </w:t>
      </w:r>
      <m:oMath>
        <m:sSub>
          <m:e>
            <m:r>
              <m:t>s</m:t>
            </m:r>
          </m:e>
          <m:sub>
            <m:r>
              <m:t>j</m:t>
            </m:r>
            <m:r>
              <m:rPr>
                <m:sty m:val="p"/>
              </m:rPr>
              <m:t>,</m:t>
            </m:r>
            <m:r>
              <m:t>k</m:t>
            </m:r>
          </m:sub>
        </m:sSub>
      </m:oMath>
      <w:r>
        <w:t xml:space="preserve">. For candidate</w:t>
      </w:r>
      <w:r>
        <w:t xml:space="preserve"> </w:t>
      </w:r>
      <m:oMath>
        <m:sSub>
          <m:e>
            <m:r>
              <m:t>B</m:t>
            </m:r>
          </m:e>
          <m:sub>
            <m:r>
              <m:t>j</m:t>
            </m:r>
          </m:sub>
        </m:sSub>
      </m:oMath>
      <w: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t xml:space="preserve">An independent foreground head uses</w:t>
      </w:r>
      <w:r>
        <w:t xml:space="preserve"> </w:t>
      </w:r>
      <m:oMath>
        <m:sSub>
          <m:e>
            <m:r>
              <m:t>h</m:t>
            </m:r>
          </m:e>
          <m:sub>
            <m:r>
              <m:t>j</m:t>
            </m:r>
          </m:sub>
        </m:sSub>
      </m:oMath>
      <w:r>
        <w:t xml:space="preserve"> </w:t>
      </w:r>
      <w:r>
        <w:t xml:space="preserve">to predict the foreground probability</w:t>
      </w:r>
      <w:r>
        <w:t xml:space="preserve"> </w:t>
      </w:r>
      <m:oMath>
        <m:sSubSup>
          <m:e>
            <m:r>
              <m:t>p</m:t>
            </m:r>
          </m:e>
          <m:sub>
            <m:r>
              <m:t>j</m:t>
            </m:r>
          </m:sub>
          <m:sup>
            <m:r>
              <m:rPr>
                <m:sty m:val="p"/>
              </m:rPr>
              <m:t>f</m:t>
            </m:r>
            <m:r>
              <m:rPr>
                <m:sty m:val="p"/>
              </m:rPr>
              <m:t>g</m:t>
            </m:r>
          </m:sup>
        </m:sSubSup>
      </m:oMath>
      <w:r>
        <w:t xml:space="preserve"> </w:t>
      </w:r>
      <w:r>
        <w:t xml:space="preserve">of candidate</w:t>
      </w:r>
      <w:r>
        <w:t xml:space="preserve"> </w:t>
      </w:r>
      <m:oMath>
        <m:sSub>
          <m:e>
            <m:r>
              <m:t>B</m:t>
            </m:r>
          </m:e>
          <m:sub>
            <m:r>
              <m:t>j</m:t>
            </m:r>
          </m:sub>
        </m:sSub>
      </m:oMath>
      <w:r>
        <w:t xml:space="preserve">. Thus, Match provides each candidate’s foreground probability and ligand-identity matching scores for downstream pose modelling.</w:t>
      </w:r>
    </w:p>
    <w:bookmarkEnd w:id="116"/>
    <w:bookmarkStart w:id="117" w:name="labels-and-loss-functions"/>
    <w:p>
      <w:pPr>
        <w:pStyle w:val="3"/>
        <w:keepNext/>
        <w:ind w:firstLine="0"/>
      </w:pPr>
      <w:r>
        <w:t xml:space="preserve">Labels and loss functions</w:t>
      </w:r>
    </w:p>
    <w:p>
      <w:pPr>
        <w:pStyle w:val="FirstParagraph"/>
        <w:spacing w:line="360" w:lineRule="auto" w:after="120"/>
        <w:ind w:firstLine="420"/>
      </w:pPr>
      <w:r>
        <w:t xml:space="preserve">A candidate blob</w:t>
      </w:r>
      <w:r>
        <w:t xml:space="preserve"> </w:t>
      </w:r>
      <m:oMath>
        <m:sSub>
          <m:e>
            <m:r>
              <m:t>B</m:t>
            </m:r>
          </m:e>
          <m:sub>
            <m:r>
              <m:t>j</m:t>
            </m:r>
          </m:sub>
        </m:sSub>
      </m:oMath>
      <w:r>
        <w:t xml:space="preserve"> </w:t>
      </w:r>
      <w: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360" w:lineRule="auto" w:after="120"/>
        <w:ind w:firstLine="420"/>
      </w:pPr>
      <w:r>
        <w:t xml:space="preserve">Match uses cross-entropy losses to supervise both ligand-identity matching and foreground classification. Let</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t xml:space="preserve">denote the foreground label, and let</w:t>
      </w:r>
      <w:r>
        <w:t xml:space="preserve"> </w:t>
      </w:r>
      <m:oMath>
        <m:sSubSup>
          <m:e>
            <m:r>
              <m:t>k</m:t>
            </m:r>
          </m:e>
          <m:sub>
            <m:r>
              <m:t>j</m:t>
            </m:r>
          </m:sub>
          <m:sup>
            <m:r>
              <m:rPr>
                <m:sty m:val="p"/>
              </m:rPr>
              <m:t>*</m:t>
            </m:r>
          </m:sup>
        </m:sSubSup>
      </m:oMath>
      <w:r>
        <w:t xml:space="preserve"> </w:t>
      </w:r>
      <w:r>
        <w:t xml:space="preserve">denote the ground-truth identity’s index in</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t xml:space="preserve">We set the foreground and identity loss weights to</w:t>
      </w:r>
      <w:r>
        <w:t xml:space="preserve"> </w:t>
      </w:r>
      <m:oMath>
        <m:sSub>
          <m:e>
            <m:r>
              <m:t>λ</m:t>
            </m:r>
          </m:e>
          <m:sub>
            <m:r>
              <m:rPr>
                <m:sty m:val="p"/>
              </m:rPr>
              <m:t>f</m:t>
            </m:r>
            <m:r>
              <m:rPr>
                <m:sty m:val="p"/>
              </m:rPr>
              <m:t>g</m:t>
            </m:r>
          </m:sub>
        </m:sSub>
        <m:r>
          <m:rPr>
            <m:sty m:val="p"/>
          </m:rPr>
          <m:t>=</m:t>
        </m:r>
        <m:r>
          <m:t>0.3</m:t>
        </m:r>
      </m:oMath>
      <w:r>
        <w:t xml:space="preserve"> </w:t>
      </w:r>
      <w:r>
        <w:t xml:space="preserve">and</w:t>
      </w:r>
      <w:r>
        <w:t xml:space="preserve"> </w:t>
      </w:r>
      <m:oMath>
        <m:sSub>
          <m:e>
            <m:r>
              <m:t>λ</m:t>
            </m:r>
          </m:e>
          <m:sub>
            <m:r>
              <m:rPr>
                <m:sty m:val="p"/>
              </m:rPr>
              <m:t>i</m:t>
            </m:r>
            <m:r>
              <m:rPr>
                <m:sty m:val="p"/>
              </m:rPr>
              <m:t>d</m:t>
            </m:r>
          </m:sub>
        </m:sSub>
        <m:r>
          <m:rPr>
            <m:sty m:val="p"/>
          </m:rPr>
          <m:t>=</m:t>
        </m:r>
        <m:r>
          <m:t>1.0</m:t>
        </m:r>
      </m:oMath>
      <w:r>
        <w:t xml:space="preserve">, respectively.</w:t>
      </w:r>
    </w:p>
    <w:bookmarkEnd w:id="117"/>
    <w:bookmarkEnd w:id="118"/>
    <w:bookmarkStart w:id="134" w:name="stage-3-build"/>
    <w:p>
      <w:pPr>
        <w:pStyle w:val="2"/>
        <w:keepNext/>
        <w:ind w:firstLine="0"/>
      </w:pPr>
      <w:r>
        <w:t xml:space="preserve">Stage 3: Build</w:t>
      </w:r>
    </w:p>
    <w:bookmarkStart w:id="119" w:name="overview-2"/>
    <w:p>
      <w:pPr>
        <w:pStyle w:val="3"/>
        <w:keepNext/>
        <w:ind w:firstLine="0"/>
      </w:pPr>
      <w:r>
        <w:t xml:space="preserve">Overview</w:t>
      </w:r>
    </w:p>
    <w:p>
      <w:pPr>
        <w:pStyle w:val="FirstParagraph"/>
        <w:spacing w:line="360" w:lineRule="auto" w:after="120"/>
        <w:ind w:firstLine="420"/>
      </w:pPr>
      <w: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 DiffDock, or Emap2lig-Build) tailored to specific ligand classes.</w:t>
      </w:r>
    </w:p>
    <w:p>
      <w:pPr>
        <w:pStyle w:val="BodyText"/>
        <w:spacing w:line="360" w:lineRule="auto" w:after="120"/>
        <w:ind w:firstLine="420"/>
      </w:pPr>
      <w: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 a unified generative model for small molecules, to incorporate local cryo-EM density as an explicit conditioning signal, initialising it with official weights and fine-tuning it on single-residue organic small molecules.</w:t>
      </w:r>
    </w:p>
    <w:bookmarkEnd w:id="119"/>
    <w:bookmarkStart w:id="133" w:name="pocketxmol-fine-tuning-experiments"/>
    <w:p>
      <w:pPr>
        <w:pStyle w:val="3"/>
        <w:keepNext/>
        <w:ind w:firstLine="0"/>
      </w:pPr>
      <w:r>
        <w:t xml:space="preserve">PocketXMol fine-tuning experiments</w:t>
      </w:r>
    </w:p>
    <w:p>
      <w:pPr>
        <w:pStyle w:val="FirstParagraph"/>
        <w:spacing w:line="360" w:lineRule="auto" w:after="120"/>
        <w:ind w:firstLine="420"/>
      </w:pPr>
      <w: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360" w:lineRule="auto" w:after="120"/>
        <w:ind w:firstLine="420"/>
      </w:pPr>
      <w: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p>
    <w:p>
      <w:pPr>
        <w:pStyle w:val="BodyText"/>
        <w:spacing w:line="360" w:lineRule="auto" w:after="120"/>
        <w:ind w:firstLine="420"/>
      </w:pPr>
      <w: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0">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1">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2">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3">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4">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5">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6">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27">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28">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29">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0">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1">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2">
        <w:r>
          <w:rPr>
            <w:rStyle w:val="a4"/>
          </w:rPr>
          <w:t xml:space="preserve">10.1021/acs.jmedchem.3c01134</w:t>
        </w:r>
      </w:hyperlink>
      <w:r>
        <w:t xml:space="preserve">.</w:t>
      </w:r>
    </w:p>
    <w:bookmarkEnd w:id="133"/>
    <w:bookmarkEnd w:id="134"/>
    <w:bookmarkEnd w:id="135"/>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cvMS9HNyCzRzUhNTNEtyQfTtbUAKZIOsw">
    <w:name w:val="MDFIGREF_eJyrrk7LTC9KTbMqLklMTzXWTcvMS9HNyCzRzUhNTNEtyQfTtbUAKZIOsw"/>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75" Type="http://schemas.openxmlformats.org/officeDocument/2006/relationships/image" Target="media/rId75.png"/><Relationship Id="rId80" Type="http://schemas.openxmlformats.org/officeDocument/2006/relationships/image" Target="media/rId80.png"/><Relationship Id="rId84" Type="http://schemas.openxmlformats.org/officeDocument/2006/relationships/image" Target="media/rId84.png"/><Relationship Id="rId88" Type="http://schemas.openxmlformats.org/officeDocument/2006/relationships/image" Target="media/rId88.png"/><Relationship Id="rId92" Type="http://schemas.openxmlformats.org/officeDocument/2006/relationships/image" Target="media/rId92.png"/><Relationship Id="rId95" Type="http://schemas.openxmlformats.org/officeDocument/2006/relationships/image" Target="media/rId95.png"/><Relationship Id="rId98" Type="http://schemas.openxmlformats.org/officeDocument/2006/relationships/image" Target="media/rId98.png"/><Relationship Id="rId129" Type="http://schemas.openxmlformats.org/officeDocument/2006/relationships/hyperlink" Target="https://doi.org/10.1016/j.cell.2026.01.003" TargetMode="External"/><Relationship Id="rId131" Type="http://schemas.openxmlformats.org/officeDocument/2006/relationships/hyperlink" Target="https://doi.org/10.1016/j.str.2020.04.018" TargetMode="External"/><Relationship Id="rId127" Type="http://schemas.openxmlformats.org/officeDocument/2006/relationships/hyperlink" Target="https://doi.org/10.1016/j.str.2025.07.002" TargetMode="External"/><Relationship Id="rId121" Type="http://schemas.openxmlformats.org/officeDocument/2006/relationships/hyperlink" Target="https://doi.org/10.1016/j.tibs.2014.10.005" TargetMode="External"/><Relationship Id="rId132" Type="http://schemas.openxmlformats.org/officeDocument/2006/relationships/hyperlink" Target="https://doi.org/10.1021/acs.jmedchem.3c01134" TargetMode="External"/><Relationship Id="rId120" Type="http://schemas.openxmlformats.org/officeDocument/2006/relationships/hyperlink" Target="https://doi.org/10.1038/d41586-020-00341-9" TargetMode="External"/><Relationship Id="rId130" Type="http://schemas.openxmlformats.org/officeDocument/2006/relationships/hyperlink" Target="https://doi.org/10.1038/s41467-023-36732-5" TargetMode="External"/><Relationship Id="rId122" Type="http://schemas.openxmlformats.org/officeDocument/2006/relationships/hyperlink" Target="https://doi.org/10.1038/s41586-024-07215-4" TargetMode="External"/><Relationship Id="rId124" Type="http://schemas.openxmlformats.org/officeDocument/2006/relationships/hyperlink" Target="https://doi.org/10.1038/s41594-025-01723-1" TargetMode="External"/><Relationship Id="rId125" Type="http://schemas.openxmlformats.org/officeDocument/2006/relationships/hyperlink" Target="https://doi.org/10.1126/science.aat4346" TargetMode="External"/><Relationship Id="rId126" Type="http://schemas.openxmlformats.org/officeDocument/2006/relationships/hyperlink" Target="https://doi.org/10.64898/2026.06.01.729423" TargetMode="External"/><Relationship Id="rId123" Type="http://schemas.openxmlformats.org/officeDocument/2006/relationships/hyperlink" Target="https://doi.org/10.65215/LTSpreprints.2026.04.14.000185" TargetMode="External"/><Relationship Id="rId128"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29" Type="http://schemas.openxmlformats.org/officeDocument/2006/relationships/hyperlink" Target="https://doi.org/10.1016/j.cell.2026.01.003" TargetMode="External"/><Relationship Id="rId131" Type="http://schemas.openxmlformats.org/officeDocument/2006/relationships/hyperlink" Target="https://doi.org/10.1016/j.str.2020.04.018" TargetMode="External"/><Relationship Id="rId127" Type="http://schemas.openxmlformats.org/officeDocument/2006/relationships/hyperlink" Target="https://doi.org/10.1016/j.str.2025.07.002" TargetMode="External"/><Relationship Id="rId121" Type="http://schemas.openxmlformats.org/officeDocument/2006/relationships/hyperlink" Target="https://doi.org/10.1016/j.tibs.2014.10.005" TargetMode="External"/><Relationship Id="rId132" Type="http://schemas.openxmlformats.org/officeDocument/2006/relationships/hyperlink" Target="https://doi.org/10.1021/acs.jmedchem.3c01134" TargetMode="External"/><Relationship Id="rId120" Type="http://schemas.openxmlformats.org/officeDocument/2006/relationships/hyperlink" Target="https://doi.org/10.1038/d41586-020-00341-9" TargetMode="External"/><Relationship Id="rId130" Type="http://schemas.openxmlformats.org/officeDocument/2006/relationships/hyperlink" Target="https://doi.org/10.1038/s41467-023-36732-5" TargetMode="External"/><Relationship Id="rId122" Type="http://schemas.openxmlformats.org/officeDocument/2006/relationships/hyperlink" Target="https://doi.org/10.1038/s41586-024-07215-4" TargetMode="External"/><Relationship Id="rId124" Type="http://schemas.openxmlformats.org/officeDocument/2006/relationships/hyperlink" Target="https://doi.org/10.1038/s41594-025-01723-1" TargetMode="External"/><Relationship Id="rId125" Type="http://schemas.openxmlformats.org/officeDocument/2006/relationships/hyperlink" Target="https://doi.org/10.1126/science.aat4346" TargetMode="External"/><Relationship Id="rId126" Type="http://schemas.openxmlformats.org/officeDocument/2006/relationships/hyperlink" Target="https://doi.org/10.64898/2026.06.01.729423" TargetMode="External"/><Relationship Id="rId123" Type="http://schemas.openxmlformats.org/officeDocument/2006/relationships/hyperlink" Target="https://doi.org/10.65215/LTSpreprints.2026.04.14.000185" TargetMode="External"/><Relationship Id="rId128"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2026-10-17T14:33:15Z</dcterms:created>
  <dcterms:modified xsi:type="dcterms:W3CDTF">2026-10-17T14:33:15Z</dcterms:modified>
</cp:coreProperties>
</file>

<file path=docProps/custom.xml><?xml version="1.0" encoding="utf-8"?>
<Properties xmlns="http://schemas.openxmlformats.org/officeDocument/2006/custom-properties" xmlns:vt="http://schemas.openxmlformats.org/officeDocument/2006/docPropsVTypes"/>
</file>