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keepNext/>
        <w:spacing w:line="480" w:lineRule="auto"/>
        <w:ind w:firstLine="0"/>
      </w:pPr>
      <w:r>
        <w:rPr>
          <w:rFonts w:ascii="Times New Roman" w:hAnsi="Times New Roman"/>
          <w:sz w:val="24"/>
        </w:rPr>
        <w:t xml:space="preserve">Abstract</w:t>
      </w:r>
    </w:p>
    <w:p>
      <w:pPr>
        <w:pStyle w:val="FirstParagraph"/>
        <w:spacing w:line="480" w:lineRule="auto" w:after="120"/>
        <w:ind w:firstLine="480"/>
      </w:pPr>
      <w:r>
        <w:rPr>
          <w:rFonts w:ascii="Times New Roman" w:hAnsi="Times New Roman"/>
          <w:sz w:val="24"/>
        </w:rPr>
        <w:t xml:space="preserve">Cryo-electron microscopy (cryo-EM) has advanced three-dimensional structure determination of macromolecular complexes. De novo modelling algorithms, including ModelAngelo and CryoAtom2, have automated the construction of protein and nucleic acid backbones. However, fully automated, accurate end-to-end reconstruction of ligands involved in catalysis, allosteric regulation and drug action remains challenging. Existing tools address individual steps, with inefficient connections between region localisation, chemical identity matching and pose reconstruction. Here we introduce LigandSeek, a fully automated end-to-end framework that jointly models density and receptor information through three stages: Find, Match and Build. On a benchmark of 179 complexes, Find achieved a</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ascii="Times New Roman" w:hAnsi="Times New Roman"/>
          <w:sz w:val="24"/>
        </w:rPr>
        <w:t xml:space="preserve">of 0.541, increasing to 0.663 with deposited receptor structures. Both exceeded the score of 0.255 achieved by the density-only method Emap2lig-Find. Match achieved 86.6% overall matching accuracy, with a mean matching time of 0.09 s per candidate region. For Build, we incorporated continuous cryo-EM density-field constraints into a receptor-based generative model and fine-tuned it. This reduced the median root-mean-square deviation (RMSD) of top-1 small-molecule poses from 1.55 Å to 1.14 Å. In end-to-end blind evaluation without deposited receptor structures as input, LigandSeek achieved a mean completion rate of 62.8% across 77 PDB entries. With deposited receptor structures, this rate increased to 66.9%. LigandSeek provides an efficient, fully automated workflow from continuous three-dimensional cryo-EM density maps to all-atom ligand poses.</w:t>
      </w:r>
    </w:p>
    <w:bookmarkEnd w:id="9"/>
    <w:bookmarkStart w:id="10" w:name="introduction"/>
    <w:p>
      <w:pPr>
        <w:pStyle w:val="Heading1"/>
        <w:keepNext/>
        <w:spacing w:line="480" w:lineRule="auto"/>
        <w:ind w:firstLine="0"/>
      </w:pPr>
      <w:r>
        <w:rPr>
          <w:rFonts w:ascii="Times New Roman" w:hAnsi="Times New Roman"/>
          <w:sz w:val="24"/>
        </w:rPr>
        <w:t xml:space="preserve">Introduction</w:t>
      </w:r>
    </w:p>
    <w:p>
      <w:pPr>
        <w:pStyle w:val="FirstParagraph"/>
        <w:spacing w:line="480" w:lineRule="auto" w:after="120"/>
        <w:ind w:firstLine="480"/>
      </w:pPr>
      <w:r>
        <w:rPr>
          <w:rFonts w:ascii="Times New Roman" w:hAnsi="Times New Roman"/>
          <w:sz w:val="24"/>
        </w:rPr>
        <w:t xml:space="preserve">Single-particle cryo-electron microscopy (cryo-EM) has become an important method for determining the three-dimensional structures of macromolecular complexes</w:t>
      </w:r>
      <w:r>
        <w:rPr>
          <w:rStyle w:val="MDCITE_eJyLdkhOzMlJLE-sNDIwMihKLcvPKS3JzM-zVnBISsw0MjA0TS6qzI8FABWBDa4"/>
          <w:rFonts w:ascii="Times New Roman" w:hAnsi="Times New Roman"/>
          <w:sz w:val="24"/>
          <w:vertAlign w:val="superscript"/>
        </w:rPr>
        <w:t xml:space="preserve">1,2</w:t>
      </w:r>
      <w:r>
        <w:rPr>
          <w:rFonts w:ascii="Times New Roman" w:hAnsi="Times New Roman"/>
          <w:sz w:val="24"/>
        </w:rPr>
        <w:t xml:space="preserve">. Deep learning tools such as ModelAngelo</w:t>
      </w:r>
      <w:r>
        <w:rPr>
          <w:rStyle w:val="MDCITE_eJyLdshKzE3MyTQyMDLJzU9JzUnMS0_NyY8FAGkQCLY"/>
          <w:rFonts w:ascii="Times New Roman" w:hAnsi="Times New Roman"/>
          <w:sz w:val="24"/>
          <w:vertAlign w:val="superscript"/>
        </w:rPr>
        <w:t xml:space="preserve">3</w:t>
      </w:r>
      <w:r>
        <w:rPr>
          <w:rFonts w:ascii="Times New Roman" w:hAnsi="Times New Roman"/>
          <w:sz w:val="24"/>
        </w:rPr>
        <w:t xml:space="preserve">, CryoAtom2</w:t>
      </w:r>
      <w:r>
        <w:rPr>
          <w:rStyle w:val="MDCITE_eJyLdkguqsxPLMnPNYo3MjAyjQUAOC8FwQ"/>
          <w:rFonts w:ascii="Times New Roman" w:hAnsi="Times New Roman"/>
          <w:sz w:val="24"/>
          <w:vertAlign w:val="superscript"/>
        </w:rPr>
        <w:t xml:space="preserve">4</w:t>
      </w:r>
      <w:r>
        <w:rPr>
          <w:rFonts w:ascii="Times New Roman" w:hAnsi="Times New Roman"/>
          <w:sz w:val="24"/>
        </w:rPr>
        <w:t xml:space="preserve"> </w:t>
      </w:r>
      <w:r>
        <w:rPr>
          <w:rFonts w:ascii="Times New Roman" w:hAnsi="Times New Roman"/>
          <w:sz w:val="24"/>
        </w:rPr>
        <w:t xml:space="preserve">and EMProt</w:t>
      </w:r>
      <w:r>
        <w:rPr>
          <w:rStyle w:val="MDCITE_eJyLdkjNLSjKLzEyMDKJBQAgmwRY"/>
          <w:rFonts w:ascii="Times New Roman" w:hAnsi="Times New Roman"/>
          <w:sz w:val="24"/>
          <w:vertAlign w:val="superscript"/>
        </w:rPr>
        <w:t xml:space="preserve">5</w:t>
      </w:r>
      <w:r>
        <w:rPr>
          <w:rFonts w:ascii="Times New Roman" w:hAnsi="Times New Roman"/>
          <w:sz w:val="24"/>
        </w:rPr>
        <w:t xml:space="preserve"> </w:t>
      </w:r>
      <w:r>
        <w:rPr>
          <w:rFonts w:ascii="Times New Roman" w:hAnsi="Times New Roman"/>
          <w:sz w:val="24"/>
        </w:rPr>
        <w:t xml:space="preserve">have advanced automated modelling of protein and nucleic acid structures. However, ligands bound in the binding pockets of these complexes often regulate catalysis, conformational switching and signalling cascades</w:t>
      </w:r>
      <w:r>
        <w:rPr>
          <w:rStyle w:val="MDCITE_eJyLdkjOSM1LNzIwtEguqsyPBQAt9AWG"/>
          <w:rFonts w:ascii="Times New Roman" w:hAnsi="Times New Roman"/>
          <w:sz w:val="24"/>
          <w:vertAlign w:val="superscript"/>
        </w:rPr>
        <w:t xml:space="preserve">6</w:t>
      </w:r>
      <w:r>
        <w:rPr>
          <w:rFonts w:ascii="Times New Roman" w:hAnsi="Times New Roman"/>
          <w:sz w:val="24"/>
        </w:rPr>
        <w:t xml:space="preserve">. A key challenge is therefore to combine experimental density and the receptor environment to detect, identify and reconstruct accurate all-atom ligand structures automatically, without expert modelling. Automated, end-to-end reconstruction of all-atom ligand structures from cryo-EM density maps faces three sequential bottlenecks.</w:t>
      </w:r>
    </w:p>
    <w:p>
      <w:pPr>
        <w:pStyle w:val="BodyText"/>
        <w:spacing w:line="480" w:lineRule="auto" w:after="120"/>
        <w:ind w:firstLine="480"/>
      </w:pPr>
      <w:r>
        <w:rPr>
          <w:rFonts w:ascii="Times New Roman" w:hAnsi="Times New Roman"/>
          <w:sz w:val="24"/>
        </w:rPr>
        <w:t xml:space="preserve">The first is region localisation, the Find bottleneck. Cryo-EM density maps span large spatial scales, with heterogeneous local signal-to-noise ratios and diffuse, intermixed densities from water molecules or lipid micelles. Existing density detection methods, such as Emap2lig-Find</w:t>
      </w:r>
      <w:r>
        <w:rPr>
          <w:rStyle w:val="MDCITE_eJyLdijNTSwwyslMjwUAGFAEGg"/>
          <w:rFonts w:ascii="Times New Roman" w:hAnsi="Times New Roman"/>
          <w:sz w:val="24"/>
          <w:vertAlign w:val="superscript"/>
        </w:rPr>
        <w:t xml:space="preserve">7</w:t>
      </w:r>
      <w:r>
        <w:rPr>
          <w:rFonts w:ascii="Times New Roman" w:hAnsi="Times New Roman"/>
          <w:sz w:val="24"/>
        </w:rPr>
        <w:t xml:space="preserve">, mainly use three-dimensional voxel segmentation networks to locate small-molecule density blobs directly across the entire map. Without information about the surrounding macromolecular receptor, these density-only approaches lack the chemical and geometric context of the binding pocket, tending to produce many false-positive candidate regions and thereby reducing the precision of instance-level localisation.</w:t>
      </w:r>
    </w:p>
    <w:p>
      <w:pPr>
        <w:pStyle w:val="BodyText"/>
        <w:spacing w:line="480" w:lineRule="auto" w:after="120"/>
        <w:ind w:firstLine="480"/>
      </w:pPr>
      <w:r>
        <w:rPr>
          <w:rFonts w:ascii="Times New Roman" w:hAnsi="Times New Roman"/>
          <w:sz w:val="24"/>
        </w:rPr>
        <w:t xml:space="preserve">The second is chemical identity matching, the Match bottleneck. Even after a ligand region is located, associating it with the correct chemical identity remains a major challenge. Although Emap2lig</w:t>
      </w:r>
      <w:r>
        <w:rPr>
          <w:rStyle w:val="MDCITE_eJyLdijNTSwwyslMjwUAGFAEGg"/>
          <w:rFonts w:ascii="Times New Roman" w:hAnsi="Times New Roman"/>
          <w:sz w:val="24"/>
          <w:vertAlign w:val="superscript"/>
        </w:rPr>
        <w:t xml:space="preserve">7</w:t>
      </w:r>
      <w:r>
        <w:rPr>
          <w:rFonts w:ascii="Times New Roman" w:hAnsi="Times New Roman"/>
          <w:sz w:val="24"/>
        </w:rPr>
        <w:t xml:space="preserve"> </w:t>
      </w:r>
      <w:r>
        <w:rPr>
          <w:rFonts w:ascii="Times New Roman" w:hAnsi="Times New Roman"/>
          <w:sz w:val="24"/>
        </w:rPr>
        <w:t xml:space="preserve">combines region detection with pose reconstruction, it lacks automated identity matching. Users must specify the correspondence between regions and ligand identities, preventing full automation of the end-to-end workflow. Alternatively, EMERALD-ID</w:t>
      </w:r>
      <w:r>
        <w:rPr>
          <w:rStyle w:val="MDCITE_eJyLdkjNTS1KzEmJz0yJBQAiYQT_"/>
          <w:rFonts w:ascii="Times New Roman" w:hAnsi="Times New Roman"/>
          <w:sz w:val="24"/>
          <w:vertAlign w:val="superscript"/>
        </w:rPr>
        <w:t xml:space="preserve">8</w:t>
      </w:r>
      <w:r>
        <w:rPr>
          <w:rFonts w:ascii="Times New Roman" w:hAnsi="Times New Roman"/>
          <w:sz w:val="24"/>
        </w:rPr>
        <w:t xml:space="preserve"> </w:t>
      </w:r>
      <w:r>
        <w:rPr>
          <w:rFonts w:ascii="Times New Roman" w:hAnsi="Times New Roman"/>
          <w:sz w:val="24"/>
        </w:rPr>
        <w:t xml:space="preserve">provides identity matching by docking candidate ligands individually and inferring their identities from the resulting scores. Its computational complexity is</w:t>
      </w:r>
      <w:r>
        <w:rPr>
          <w:rFonts w:ascii="Times New Roman" w:hAnsi="Times New Roman"/>
          <w:sz w:val="24"/>
        </w:rPr>
        <w:t xml:space="preserve"> </w:t>
      </w:r>
      <m:oMath>
        <m:r>
          <m:t>O</m:t>
        </m:r>
        <m:r>
          <m:rPr>
            <m:sty m:val="p"/>
          </m:rPr>
          <m:t>(</m:t>
        </m:r>
        <m:sSub>
          <m:e>
            <m:r>
              <m:t>N</m:t>
            </m:r>
          </m:e>
          <m:sub>
            <m:r>
              <m:t>g</m:t>
            </m:r>
          </m:sub>
        </m:sSub>
        <m:r>
          <m:rPr>
            <m:sty m:val="p"/>
          </m:rPr>
          <m:t>×</m:t>
        </m:r>
        <m:r>
          <m:t>K</m:t>
        </m:r>
        <m:r>
          <m:rPr>
            <m:sty m:val="p"/>
          </m:rPr>
          <m:t>)</m:t>
        </m:r>
      </m:oMath>
      <w:r>
        <w:rPr>
          <w:rFonts w:ascii="Times New Roman" w:hAnsi="Times New Roman"/>
          <w:sz w:val="24"/>
        </w:rPr>
        <w:t xml:space="preserve">, where</w:t>
      </w:r>
      <w:r>
        <w:rPr>
          <w:rFonts w:ascii="Times New Roman" w:hAnsi="Times New Roman"/>
          <w:sz w:val="24"/>
        </w:rPr>
        <w:t xml:space="preserve"> </w:t>
      </w:r>
      <m:oMath>
        <m:sSub>
          <m:e>
            <m:r>
              <m:t>N</m:t>
            </m:r>
          </m:e>
          <m:sub>
            <m:r>
              <m:t>g</m:t>
            </m:r>
          </m:sub>
        </m:sSub>
      </m:oMath>
      <w:r>
        <w:rPr>
          <w:rFonts w:ascii="Times New Roman" w:hAnsi="Times New Roman"/>
          <w:sz w:val="24"/>
        </w:rPr>
        <w:t xml:space="preserve"> </w:t>
      </w:r>
      <w:r>
        <w:rPr>
          <w:rFonts w:ascii="Times New Roman" w:hAnsi="Times New Roman"/>
          <w:sz w:val="24"/>
        </w:rPr>
        <w:t xml:space="preserve">is the number of candidate sites and</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is the number of competing ligand identities. This computational burden, coupled with a lack of GPU acceleration, can make scoring at a single site take hours. Furthermore, it primarily targets small-molecule ligands, limiting its use in complexes containing other ligand types. Rapid, automated identity matching is therefore a key step in connecting region localisation to pose reconstruction.</w:t>
      </w:r>
    </w:p>
    <w:p>
      <w:pPr>
        <w:pStyle w:val="BodyText"/>
        <w:spacing w:line="480" w:lineRule="auto" w:after="120"/>
        <w:ind w:firstLine="480"/>
      </w:pPr>
      <w:r>
        <w:rPr>
          <w:rFonts w:ascii="Times New Roman" w:hAnsi="Times New Roman"/>
          <w:sz w:val="24"/>
        </w:rPr>
        <w:t xml:space="preserve">The third is pose reconstruction, the Build bottleneck. After the binding region and chemical identity have been determined, generative docking models such as DiffDock</w:t>
      </w:r>
      <w:r>
        <w:rPr>
          <w:rStyle w:val="MDCITE_eJyLdkjOLyrONzIwMk7JTEtLyU_OjgUASSgHIA"/>
          <w:rFonts w:ascii="Times New Roman" w:hAnsi="Times New Roman"/>
          <w:sz w:val="24"/>
          <w:vertAlign w:val="superscript"/>
        </w:rPr>
        <w:t xml:space="preserve">9</w:t>
      </w:r>
      <w:r>
        <w:rPr>
          <w:rFonts w:ascii="Times New Roman" w:hAnsi="Times New Roman"/>
          <w:sz w:val="24"/>
        </w:rPr>
        <w:t xml:space="preserve"> </w:t>
      </w:r>
      <w:r>
        <w:rPr>
          <w:rFonts w:ascii="Times New Roman" w:hAnsi="Times New Roman"/>
          <w:sz w:val="24"/>
        </w:rPr>
        <w:t xml:space="preserve">and PocketXMol</w:t>
      </w:r>
      <w:r>
        <w:rPr>
          <w:rStyle w:val="MDCITE_eJyLdijIT85OLanIzc-JBQAjrgU_"/>
          <w:rFonts w:ascii="Times New Roman" w:hAnsi="Times New Roman"/>
          <w:sz w:val="24"/>
          <w:vertAlign w:val="superscript"/>
        </w:rPr>
        <w:t xml:space="preserve">10</w:t>
      </w:r>
      <w:r>
        <w:rPr>
          <w:rFonts w:ascii="Times New Roman" w:hAnsi="Times New Roman"/>
          <w:sz w:val="24"/>
        </w:rPr>
        <w:t xml:space="preserve"> </w:t>
      </w:r>
      <w:r>
        <w:rPr>
          <w:rFonts w:ascii="Times New Roman" w:hAnsi="Times New Roman"/>
          <w:sz w:val="24"/>
        </w:rPr>
        <w:t xml:space="preserve">usually rely primarily on receptor structures, failing to exploit experimental density to guide pose generation. Conversely, density-only deep learning tools such as Emap2lig-Build</w:t>
      </w:r>
      <w:r>
        <w:rPr>
          <w:rStyle w:val="MDCITE_eJyLdijNTSwwyslMjwUAGFAEGg"/>
          <w:rFonts w:ascii="Times New Roman" w:hAnsi="Times New Roman"/>
          <w:sz w:val="24"/>
          <w:vertAlign w:val="superscript"/>
        </w:rPr>
        <w:t xml:space="preserve">7</w:t>
      </w:r>
      <w:r>
        <w:rPr>
          <w:rFonts w:ascii="Times New Roman" w:hAnsi="Times New Roman"/>
          <w:sz w:val="24"/>
        </w:rPr>
        <w:t xml:space="preserve"> </w:t>
      </w:r>
      <w:r>
        <w:rPr>
          <w:rFonts w:ascii="Times New Roman" w:hAnsi="Times New Roman"/>
          <w:sz w:val="24"/>
        </w:rPr>
        <w:t xml:space="preserve">omit protein and nucleic acid receptors, struggling to reconcile density fitting with receptor-environment constraints. Classical non-deep-learning methods, including EMERALD, GemSpot and ChemEM, can incorporate both the receptor environment and experimental density for pose search or optimisation</w:t>
      </w:r>
      <w:r>
        <w:rPr>
          <w:rStyle w:val="MDCITE_eJyLdsgtTc3LLjYyMDJOzU0tSsxJsVZwKMpPSi0qKc7PAwobpKfmFhfklwCFi8tTU_NSK4GCJskZQNW5sQDGEBY7"/>
          <w:rFonts w:ascii="Times New Roman" w:hAnsi="Times New Roman"/>
          <w:sz w:val="24"/>
          <w:vertAlign w:val="superscript"/>
        </w:rPr>
        <w:t xml:space="preserve">11,12,13</w:t>
      </w:r>
      <w:r>
        <w:rPr>
          <w:rFonts w:ascii="Times New Roman" w:hAnsi="Times New Roman"/>
          <w:sz w:val="24"/>
        </w:rPr>
        <w:t xml:space="preserve">. However, they are computationally slow and remain disconnected from upstream localisation and identity matching.</w:t>
      </w:r>
    </w:p>
    <w:p>
      <w:pPr>
        <w:pStyle w:val="BodyText"/>
        <w:spacing w:line="480" w:lineRule="auto" w:after="120"/>
        <w:ind w:firstLine="480"/>
      </w:pPr>
      <w:r>
        <w:rPr>
          <w:rFonts w:ascii="Times New Roman" w:hAnsi="Times New Roman"/>
          <w:sz w:val="24"/>
        </w:rPr>
        <w:t xml:space="preserve">To address these bottlenecks and unify localisation, matching and pose reconstruction, we developed LigandSeek, an automated end-to-end framework based on joint density and receptor modelling</w:t>
      </w:r>
      <w:r>
        <w:rPr>
          <w:rFonts w:ascii="Times New Roman" w:hAnsi="Times New Roman"/>
          <w:sz w:val="24"/>
        </w:rPr>
        <w:t xml:space="preserve"> </w:t>
      </w:r>
      <w:r>
        <w:rPr>
          <w:rFonts w:ascii="Times New Roman" w:hAnsi="Times New Roman"/>
          <w:sz w:val="24"/>
        </w:rPr>
        <w:t xml:space="preserve">(</w:t>
      </w:r>
      <w:r>
        <w:rPr>
          <w:rStyle w:val="MDFIGREF_eJyrrk7LTC9KTbMCUrr5ZalFZZmp5fFlRjogfm5qSUZ-im6ZRW0tAEG5D2o"/>
          <w:rFonts w:ascii="Times New Roman" w:hAnsi="Times New Roman"/>
          <w:sz w:val="24"/>
        </w:rPr>
        <w:t xml:space="preserve">Figs. 1–2</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Across all three stages, the neural networks share a unified representation that jointly encodes the experimental density, receptor-derived simulated and difference densities, and the chemical and geometric environments of receptor atoms.</w:t>
      </w:r>
    </w:p>
    <w:p>
      <w:pPr>
        <w:pStyle w:val="BodyText"/>
        <w:spacing w:line="480" w:lineRule="auto" w:after="120"/>
        <w:ind w:firstLine="480"/>
      </w:pPr>
      <w:r>
        <w:rPr>
          <w:rFonts w:ascii="Times New Roman" w:hAnsi="Times New Roman"/>
          <w:sz w:val="24"/>
        </w:rPr>
        <w:t xml:space="preserve">LigandSeek follows a three-stage Find–Match–Build workflow:</w:t>
      </w:r>
    </w:p>
    <w:p>
      <w:pPr>
        <w:pStyle w:val="Compact"/>
        <w:numPr>
          <w:ilvl w:val="0"/>
          <w:numId w:val="1001"/>
        </w:numPr>
        <w:spacing w:line="480" w:lineRule="auto"/>
      </w:pPr>
      <w:r>
        <w:rPr>
          <w:rFonts w:ascii="Times New Roman" w:hAnsi="Times New Roman"/>
          <w:sz w:val="24"/>
        </w:rPr>
        <w:t xml:space="preserve">LigandSeek-Find uses a hybrid point–voxel network to fuse continuous voxel-density representations with geometric and chemical information from the receptor point cloud. It detects three-dimensional ligand regions while balancing precision and recall.</w:t>
      </w:r>
    </w:p>
    <w:p>
      <w:pPr>
        <w:pStyle w:val="Compact"/>
        <w:numPr>
          <w:ilvl w:val="0"/>
          <w:numId w:val="1001"/>
        </w:numPr>
        <w:spacing w:line="480" w:lineRule="auto"/>
      </w:pPr>
      <w:r>
        <w:rPr>
          <w:rFonts w:ascii="Times New Roman" w:hAnsi="Times New Roman"/>
          <w:sz w:val="24"/>
        </w:rPr>
        <w:t xml:space="preserve">LigandSeek-Match uses a cross-modal matching network with graph and context attention. It integrates ligand language representations, molecular graph representations and contextual information from other ligand identities in the same complex. This enables rapid, accurate identity matching across a broad range of ligand types, including small molecules, metal ions and sugars.</w:t>
      </w:r>
    </w:p>
    <w:p>
      <w:pPr>
        <w:pStyle w:val="Compact"/>
        <w:numPr>
          <w:ilvl w:val="0"/>
          <w:numId w:val="1001"/>
        </w:numPr>
        <w:spacing w:line="480" w:lineRule="auto"/>
      </w:pPr>
      <w:r>
        <w:rPr>
          <w:rFonts w:ascii="Times New Roman" w:hAnsi="Times New Roman"/>
          <w:sz w:val="24"/>
        </w:rPr>
        <w:t xml:space="preserve">LigandSeek-Build fine-tunes the generative model PocketXMol with local density conditioning. This enables generated poses to satisfy both experimental density contours and pocket chemical constraints, thereby improving sampling accuracy.</w:t>
      </w:r>
    </w:p>
    <w:p>
      <w:pPr>
        <w:pStyle w:val="FirstParagraph"/>
        <w:spacing w:line="480" w:lineRule="auto" w:after="120"/>
        <w:ind w:firstLine="480"/>
      </w:pPr>
      <w:r>
        <w:rPr>
          <w:rFonts w:ascii="Times New Roman" w:hAnsi="Times New Roman"/>
          <w:sz w:val="24"/>
        </w:rPr>
        <w:t xml:space="preserve">We evaluated the framework on 179 complexes comprising 2,502 ligand instances. Under blind evaluation conditions, only receptors modelled de novo by CryoAtom2 were used, with no deposited receptor structures provided as input. All three LigandSeek components outperformed their respective baselines. Find achieved a</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ascii="Times New Roman" w:hAnsi="Times New Roman"/>
          <w:sz w:val="24"/>
        </w:rPr>
        <w:t xml:space="preserve">of 0.541, compared with 0.255 for Emap2lig-Find. Match achieved 86.6% overall matching accuracy, with a mean matching time of 0.09 s per candidate region, substantially faster than conventional reverse docking. Build reduced the median root-mean-square deviation (RMSD) of top-1 poses from 1.55 Å with the official model to 1.14 Å. In end-to-end blind evaluation across 77 complexes containing organic small molecules, LigandSeek achieved an all-atom modelling mean completion rate of 62.8%. LigandSeek connects ligand localisation, identity matching and pose reconstruction to generate accurate all-atom ligand poses from cryo-EM density maps. It provides a new tool for drug discovery and high-throughput cryo-EM screening.</w:t>
      </w:r>
    </w:p>
    <w:bookmarkEnd w:id="10"/>
    <w:bookmarkStart w:id="17" w:name="overview"/>
    <w:p>
      <w:pPr>
        <w:pStyle w:val="Heading1"/>
        <w:keepNext/>
        <w:spacing w:line="480" w:lineRule="auto"/>
        <w:ind w:firstLine="0"/>
      </w:pPr>
      <w:r>
        <w:rPr>
          <w:rFonts w:ascii="Times New Roman" w:hAnsi="Times New Roman"/>
          <w:sz w:val="24"/>
        </w:rPr>
        <w:t xml:space="preserve">Overview</w:t>
      </w:r>
    </w:p>
    <w:p>
      <w:pPr>
        <w:pStyle w:val="CaptionedFigure"/>
        <w:keepNext/>
        <w:spacing w:line="240" w:lineRule="auto" w:before="0" w:after="0"/>
        <w:ind w:firstLine="0"/>
        <w:jc w:val="center"/>
      </w:pPr>
      <w:r>
        <w:rPr>
          <w:rFonts w:ascii="Times New Roman" w:hAnsi="Times New Roman"/>
          <w:sz w:val="24"/>
        </w:rPr>
        <w:drawing>
          <wp:inline>
            <wp:extent cx="5733415" cy="1941878"/>
            <wp:effectExtent b="0" l="0" r="0" t="0"/>
            <wp:docPr descr="Fig. 1 | Automated end-to-end Find–Match–Build workflow for reconstructing ligand poses from cryo-EM data. The inputs are an experimental cryo-EM density map and either a deposited receptor structure or a receptor structure automatically modelled by CryoAtom2. Find locates candidate ligand regions (blobs B1–B5) across the density map. Match filters false-positive predictions and assigns valid candidate regions to ligand identities (represented by SMILES) within the same PDB entry; B1 and B2 illustrate two distinct sites assigned the same identity, whereas B5 represents a rejected candidate region. Build combines the predicted regions from Find with the matched identities from Match to generate three-dimensional ligand poses using the selected molecular docking tool." title="MDPPTFIG_eJzVVs1uYzUUfhUrqxlpktukDdNehkpt2qKR2lHVDisuqhzfk8TU17ZsJzcpgzQ7YMEKxIYHgBUPwEjwLkjM9DE4x775Ke1iBGJBpdTH9vF3vvNjn_tFy_IwaeWs9e77N3_--Fv29vWb25--RqljbZi3nrCWA2_UDEpSGuRF8YkH54ui29_r7hXFEfjrYGxR3P7y69sfvrr99pt3P_9eFAmtKO7DaV4BQY3kuG1m4GYS6qtZj7YEt0EafVVxdz21qPRp61mdWzavlPZ5_VHRmoRg8yzzYgIV9x1jQePmyLiKB5y6cVYbV1pnBHgv9bhSWW9r64Os4lIXrX1CO3dxuAwLBazOZ1wh7vOKj2GQzJNettQg3WsAeyo1-Li-Matzb7lAM4ijcAmBejtbRauZXkwVLfFpMA1mo04npS5RbSSdD6fp6FajhDuJQGKa_jXyidHB4znuhZR45qWswLMXULMLU3EdTU8OtH9wL6ImCAIbxvkwioPkWxyR5s0qML2dJfWbdDwRCZST6A4xt1gimEhA1RM57rAue8UO0GtMCpQMdNkOpo0DO0Hf_nj93RkPYoLj4VQqjIJx1yNlaoZpZA6E0T64qQgUVyXHHM9Z49GVkTMVE25h2sdnrOSBd4hRSLz-01D9i4Cw_wHHlxNgUtspcuEOGNcM5hYcGtSBq3XIAZmEBau4ZZQVkGECjnHcwARJyjWmD2zAPKYUThHNkMYD6zwViBRcKcQ0JSiFCMMFG6C9A9zsdWLBMGUEFpJnAo1KzDssy8LBGO-rZ4-Gygw9O-xSTfUfMy6c8Z4hu03OHRbrjo2kCviCsRFXHtqRuZwBw3iUUoQISOAcH5AxyhhSWW7YXhoNZklDopGAIEjxkYMYVx2SK5dnz0-PLx-zGkMldWTk8f1j50eHeC-CW3yIrKO5wx6TSk0xPmQk1IaV0uMdEIFRaH3DB2FXII3dxRNWYx6AYwT6bEXAx7B_DoKo_J1-h6W7J0w1pLcsgjYRgHVg442LOSAHolJFMYQ7TketFFsMyhg0JB8mDqBdUhV5RMNCunObp_Q-J2dAJZaVQWGquGOlEddx2xh195bTw7jf-gy7xapLtPpPt7d3uv15d2-nu_t099UzK0WOv6Zx8PdqHKXj9b2O0SAg1j_BwGNU6isY914gZjSSAo6MmNL9S0gOFI-lOZHW0-UmD_XsXAq62jQRL2bnGDfwgqwM8iy26Sx26axp0tlmj84CVBbd1FM8Im24woaMZP1VKfd2dX2zyNLC1Rb9dTtWj9ERWSJ6dxsl6uMony99xNSseKwpJYKcIniKOfVMm8GE6zEcOGewbHnpCZDwlhveYjWkRcRcH90wkFCze0EYKmlP8BqRRZLj-STwHK8WYI2SiE-AukArcf_OZKWU3cWjmceOzIb1GT5VG22d5_ORq2jExLF5auRssWrocZ22YR6YoP2mXFFLkFpTtY0yasVxCWrxA-FjwAtGAmrjSxqSWT479Ul3LS21aV-bRD1bizxXmtF31F6_108oD2pRXo7jZ8iGzPPApVoub8pKN_HydpUX_O23vvwLp0Sucg" id="12" name="Picture"/>
            <a:graphic>
              <a:graphicData uri="http://schemas.openxmlformats.org/drawingml/2006/picture">
                <pic:pic>
                  <pic:nvPicPr>
                    <pic:cNvPr descr="C:/Users/15919/Desktop/论文草稿/temp/manuscript_figures_di98nwzy/figure_000001.png" id="13" name="Picture"/>
                    <pic:cNvPicPr>
                      <a:picLocks noChangeArrowheads="1" noChangeAspect="1"/>
                    </pic:cNvPicPr>
                  </pic:nvPicPr>
                  <pic:blipFill>
                    <a:blip r:embed="rId11"/>
                    <a:stretch>
                      <a:fillRect/>
                    </a:stretch>
                  </pic:blipFill>
                  <pic:spPr bwMode="auto">
                    <a:xfrm>
                      <a:off x="0" y="0"/>
                      <a:ext cx="5733415" cy="1941878"/>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 | Automated end-to-end Find–Match–Build workflow for reconstructing ligand poses from cryo-EM data.</w:t>
      </w:r>
      <w:r>
        <w:rPr>
          <w:rFonts w:ascii="Times New Roman" w:hAnsi="Times New Roman"/>
          <w:sz w:val="24"/>
        </w:rPr>
        <w:t xml:space="preserve"> </w:t>
      </w:r>
      <w:r>
        <w:rPr>
          <w:rFonts w:ascii="Times New Roman" w:hAnsi="Times New Roman"/>
          <w:sz w:val="24"/>
        </w:rPr>
        <w:t xml:space="preserve">The inputs are an experimental cryo-EM density map and either a deposited receptor structure or a receptor structure automatically modelled by CryoAtom2. Find locates candidate ligand regions (blobs B1–B5) across the density map. Match filters false-positive predictions and assigns valid candidate regions to ligand identities (represented by SMILES) within the same PDB entry; B1 and B2 illustrate two distinct sites assigned the same identity, whereas B5 represents a rejected candidate region. Build combines the predicted regions from Find with the matched identities from Match to generate three-dimensional ligand poses using the selected molecular docking tool.</w:t>
      </w:r>
    </w:p>
    <w:p>
      <w:pPr>
        <w:pStyle w:val="BodyText"/>
        <w:spacing w:line="480" w:lineRule="auto" w:after="120"/>
        <w:ind w:firstLine="480"/>
      </w:pPr>
      <w:r>
        <w:rPr>
          <w:rFonts w:ascii="Times New Roman" w:hAnsi="Times New Roman"/>
          <w:sz w:val="24"/>
        </w:rPr>
        <w:t xml:space="preserve">LigandSeek takes protein and nucleic acid receptor structures, either deposited or automatically modelled by CryoAtom2, together with three-dimensional cryo-EM density maps.</w:t>
      </w:r>
    </w:p>
    <w:p>
      <w:pPr>
        <w:pStyle w:val="BodyText"/>
        <w:spacing w:line="480" w:lineRule="auto" w:after="120"/>
        <w:ind w:firstLine="480"/>
      </w:pPr>
      <w:r>
        <w:rPr>
          <w:rFonts w:ascii="Times New Roman" w:hAnsi="Times New Roman"/>
          <w:sz w:val="24"/>
        </w:rPr>
        <w:t xml:space="preserve">We represent protein and nucleic acid receptors uniformly as</w:t>
      </w:r>
      <w:r>
        <w:rPr>
          <w:rFonts w:ascii="Times New Roman" w:hAnsi="Times New Roman"/>
          <w:sz w:val="24"/>
        </w:rPr>
        <w:t xml:space="preserve"> </w:t>
      </w:r>
      <m:oMath>
        <m:r>
          <m:t>A</m:t>
        </m:r>
        <m:r>
          <m:rPr>
            <m:sty m:val="p"/>
          </m:rPr>
          <m:t>=</m:t>
        </m:r>
        <m:r>
          <m:rPr>
            <m:sty m:val="p"/>
          </m:rPr>
          <m:t>{</m:t>
        </m:r>
        <m:r>
          <m:rPr>
            <m:sty m:val="p"/>
          </m:rPr>
          <m:t>(</m:t>
        </m:r>
        <m:sSub>
          <m:e>
            <m:r>
              <m:t>a</m:t>
            </m:r>
          </m:e>
          <m:sub>
            <m:r>
              <m:t>i</m:t>
            </m:r>
          </m:sub>
        </m:sSub>
        <m:r>
          <m:rPr>
            <m:sty m:val="p"/>
          </m:rPr>
          <m:t>,</m:t>
        </m:r>
        <m:sSub>
          <m:e>
            <m:r>
              <m:t>x</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sz w:val="24"/>
        </w:rPr>
        <w:t xml:space="preserve">. Here,</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is the number of receptor atoms, and</w:t>
      </w:r>
      <w:r>
        <w:rPr>
          <w:rFonts w:ascii="Times New Roman" w:hAnsi="Times New Roman"/>
          <w:sz w:val="24"/>
        </w:rPr>
        <w:t xml:space="preserve"> </w:t>
      </w:r>
      <m:oMath>
        <m:sSub>
          <m:e>
            <m:r>
              <m:t>x</m:t>
            </m:r>
          </m:e>
          <m:sub>
            <m:r>
              <m:t>i</m:t>
            </m:r>
          </m:sub>
        </m:sSub>
        <m:r>
          <m:rPr>
            <m:sty m:val="p"/>
          </m:rPr>
          <m:t>∈</m:t>
        </m:r>
        <m:sSup>
          <m:e>
            <m:r>
              <m:rPr>
                <m:scr m:val="double-struck"/>
                <m:sty m:val="p"/>
              </m:rPr>
              <m:t>R</m:t>
            </m:r>
          </m:e>
          <m:sup>
            <m:r>
              <m:t>3</m:t>
            </m:r>
          </m:sup>
        </m:sSup>
      </m:oMath>
      <w:r>
        <w:rPr>
          <w:rFonts w:ascii="Times New Roman" w:hAnsi="Times New Roman"/>
          <w:sz w:val="24"/>
        </w:rPr>
        <w:t xml:space="preserve"> </w:t>
      </w:r>
      <w:r>
        <w:rPr>
          <w:rFonts w:ascii="Times New Roman" w:hAnsi="Times New Roman"/>
          <w:sz w:val="24"/>
        </w:rPr>
        <w:t xml:space="preserve">is the spatial position of atom</w:t>
      </w:r>
      <w:r>
        <w:rPr>
          <w:rFonts w:ascii="Times New Roman" w:hAnsi="Times New Roman"/>
          <w:sz w:val="24"/>
        </w:rPr>
        <w:t xml:space="preserve"> </w:t>
      </w:r>
      <m:oMath>
        <m:r>
          <m:t>i</m:t>
        </m:r>
      </m:oMath>
      <w:r>
        <w:rPr>
          <w:rFonts w:ascii="Times New Roman" w:hAnsi="Times New Roman"/>
          <w:sz w:val="24"/>
        </w:rPr>
        <w:t xml:space="preserve">. The representation</w:t>
      </w:r>
      <w:r>
        <w:rPr>
          <w:rFonts w:ascii="Times New Roman" w:hAnsi="Times New Roman"/>
          <w:sz w:val="24"/>
        </w:rPr>
        <w:t xml:space="preserve"> </w:t>
      </w:r>
      <m:oMath>
        <m:sSub>
          <m:e>
            <m:r>
              <m:t>a</m:t>
            </m:r>
          </m:e>
          <m:sub>
            <m:r>
              <m:t>i</m:t>
            </m:r>
          </m:sub>
        </m:sSub>
      </m:oMath>
      <w:r>
        <w:rPr>
          <w:rFonts w:ascii="Times New Roman" w:hAnsi="Times New Roman"/>
          <w:sz w:val="24"/>
        </w:rPr>
        <w:t xml:space="preserve"> </w:t>
      </w:r>
      <w:r>
        <w:rPr>
          <w:rFonts w:ascii="Times New Roman" w:hAnsi="Times New Roman"/>
          <w:sz w:val="24"/>
        </w:rPr>
        <w:t xml:space="preserve">encodes the atom’s attributes, such as its element type and amino acid or nucleotide type. These attributes are represented by a 50-dimensional feature vector for each receptor atom.</w:t>
      </w:r>
    </w:p>
    <w:p>
      <w:pPr>
        <w:pStyle w:val="BodyText"/>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sSub>
          <m:e>
            <m:r>
              <m:t>M</m:t>
            </m:r>
          </m:e>
          <m:sub>
            <m:r>
              <m:t>e</m:t>
            </m:r>
            <m:r>
              <m:t>x</m:t>
            </m:r>
            <m:r>
              <m:t>p</m:t>
            </m:r>
          </m:sub>
        </m:sSub>
        <m:r>
          <m:rPr>
            <m:sty m:val="p"/>
          </m:rPr>
          <m:t>∈</m:t>
        </m:r>
        <m:sSup>
          <m:e>
            <m:r>
              <m:rPr>
                <m:scr m:val="double-struck"/>
                <m:sty m:val="p"/>
              </m:rPr>
              <m:t>R</m:t>
            </m:r>
          </m:e>
          <m:sup>
            <m:r>
              <m:t>D</m:t>
            </m:r>
            <m:r>
              <m:rPr>
                <m:sty m:val="p"/>
              </m:rPr>
              <m:t>×</m:t>
            </m:r>
            <m:r>
              <m:t>H</m:t>
            </m:r>
            <m:r>
              <m:rPr>
                <m:sty m:val="p"/>
              </m:rPr>
              <m:t>×</m:t>
            </m:r>
            <m:r>
              <m:t>W</m:t>
            </m:r>
          </m:sup>
        </m:sSup>
      </m:oMath>
      <w:r>
        <w:rPr>
          <w:rFonts w:ascii="Times New Roman" w:hAnsi="Times New Roman"/>
          <w:sz w:val="24"/>
        </w:rPr>
        <w:t xml:space="preserve"> </w:t>
      </w:r>
      <w:r>
        <w:rPr>
          <w:rFonts w:ascii="Times New Roman" w:hAnsi="Times New Roman"/>
          <w:sz w:val="24"/>
        </w:rPr>
        <w:t xml:space="preserve">denote the voxelised three-dimensional cryo-EM density map. The receptor structure yields a simulated density map</w:t>
      </w:r>
      <w:r>
        <w:rPr>
          <w:rFonts w:ascii="Times New Roman" w:hAnsi="Times New Roman"/>
          <w:sz w:val="24"/>
        </w:rPr>
        <w:t xml:space="preserve"> </w:t>
      </w:r>
      <m:oMath>
        <m:sSub>
          <m:e>
            <m:r>
              <m:t>M</m:t>
            </m:r>
          </m:e>
          <m:sub>
            <m:r>
              <m:t>s</m:t>
            </m:r>
            <m:r>
              <m:t>i</m:t>
            </m:r>
            <m:r>
              <m:t>m</m:t>
            </m:r>
          </m:sub>
        </m:sSub>
        <m:r>
          <m:rPr>
            <m:sty m:val="p"/>
          </m:rPr>
          <m:t>∈</m:t>
        </m:r>
        <m:sSup>
          <m:e>
            <m:r>
              <m:rPr>
                <m:scr m:val="double-struck"/>
                <m:sty m:val="p"/>
              </m:rPr>
              <m:t>R</m:t>
            </m:r>
          </m:e>
          <m:sup>
            <m:r>
              <m:t>D</m:t>
            </m:r>
            <m:r>
              <m:rPr>
                <m:sty m:val="p"/>
              </m:rPr>
              <m:t>×</m:t>
            </m:r>
            <m:r>
              <m:t>H</m:t>
            </m:r>
            <m:r>
              <m:rPr>
                <m:sty m:val="p"/>
              </m:rPr>
              <m:t>×</m:t>
            </m:r>
            <m:r>
              <m:t>W</m:t>
            </m:r>
          </m:sup>
        </m:sSup>
      </m:oMath>
      <w:r>
        <w:rPr>
          <w:rFonts w:ascii="Times New Roman" w:hAnsi="Times New Roman"/>
          <w:sz w:val="24"/>
        </w:rPr>
        <w:t xml:space="preserve"> </w:t>
      </w:r>
      <w:r>
        <w:rPr>
          <w:rFonts w:ascii="Times New Roman" w:hAnsi="Times New Roman"/>
          <w:sz w:val="24"/>
        </w:rPr>
        <w:t xml:space="preserve">of the same dimensions. From</w:t>
      </w:r>
      <w:r>
        <w:rPr>
          <w:rFonts w:ascii="Times New Roman" w:hAnsi="Times New Roman"/>
          <w:sz w:val="24"/>
        </w:rPr>
        <w:t xml:space="preserve"> </w:t>
      </w:r>
      <m:oMath>
        <m:sSub>
          <m:e>
            <m:r>
              <m:t>M</m:t>
            </m:r>
          </m:e>
          <m:sub>
            <m:r>
              <m:t>e</m:t>
            </m:r>
            <m:r>
              <m:t>x</m:t>
            </m:r>
            <m:r>
              <m:t>p</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M</m:t>
            </m:r>
          </m:e>
          <m:sub>
            <m:r>
              <m:t>s</m:t>
            </m:r>
            <m:r>
              <m:t>i</m:t>
            </m:r>
            <m:r>
              <m:t>m</m:t>
            </m:r>
          </m:sub>
        </m:sSub>
      </m:oMath>
      <w:r>
        <w:rPr>
          <w:rFonts w:ascii="Times New Roman" w:hAnsi="Times New Roman"/>
          <w:sz w:val="24"/>
        </w:rPr>
        <w:t xml:space="preserve">, we construct a 56-channel multi-view density bank</w:t>
      </w:r>
      <w:r>
        <w:rPr>
          <w:rFonts w:ascii="Times New Roman" w:hAnsi="Times New Roman"/>
          <w:sz w:val="24"/>
        </w:rPr>
        <w:t xml:space="preserve"> </w:t>
      </w:r>
      <m:oMath>
        <m:r>
          <m:t>M</m:t>
        </m:r>
        <m:r>
          <m:rPr>
            <m:sty m:val="p"/>
          </m:rPr>
          <m:t>∈</m:t>
        </m:r>
        <m:sSup>
          <m:e>
            <m:r>
              <m:rPr>
                <m:scr m:val="double-struck"/>
                <m:sty m:val="p"/>
              </m:rPr>
              <m:t>R</m:t>
            </m:r>
          </m:e>
          <m:sup>
            <m:r>
              <m:t>56</m:t>
            </m:r>
            <m:r>
              <m:rPr>
                <m:sty m:val="p"/>
              </m:rPr>
              <m:t>×</m:t>
            </m:r>
            <m:r>
              <m:t>D</m:t>
            </m:r>
            <m:r>
              <m:rPr>
                <m:sty m:val="p"/>
              </m:rPr>
              <m:t>×</m:t>
            </m:r>
            <m:r>
              <m:t>H</m:t>
            </m:r>
            <m:r>
              <m:rPr>
                <m:sty m:val="p"/>
              </m:rPr>
              <m:t>×</m:t>
            </m:r>
            <m:r>
              <m:t>W</m:t>
            </m:r>
          </m:sup>
        </m:sSup>
      </m:oMath>
      <w:r>
        <w:rPr>
          <w:rFonts w:ascii="Times New Roman" w:hAnsi="Times New Roman"/>
          <w:sz w:val="24"/>
        </w:rPr>
        <w:t xml:space="preserve">.</w:t>
      </w:r>
    </w:p>
    <w:p>
      <w:pPr>
        <w:pStyle w:val="BodyText"/>
        <w:spacing w:line="480" w:lineRule="auto" w:after="120"/>
        <w:ind w:firstLine="480"/>
      </w:pPr>
      <w:r>
        <w:rPr>
          <w:rStyle w:val="MDFIGREF_eJyrrk7LTC9KTbMCUrr5ZalFZZmp5fFlRrW1AI3eCn8"/>
          <w:rFonts w:ascii="Times New Roman" w:hAnsi="Times New Roman"/>
          <w:sz w:val="24"/>
        </w:rPr>
        <w:t xml:space="preserve">Fig. 1</w:t>
      </w:r>
      <w:r>
        <w:rPr>
          <w:rFonts w:ascii="Times New Roman" w:hAnsi="Times New Roman"/>
          <w:sz w:val="24"/>
        </w:rPr>
        <w:t xml:space="preserve"> </w:t>
      </w:r>
      <w:r>
        <w:rPr>
          <w:rFonts w:ascii="Times New Roman" w:hAnsi="Times New Roman"/>
          <w:sz w:val="24"/>
        </w:rPr>
        <w:t xml:space="preserve">shows the model inputs, outputs and overall workflow. LigandSeek reconstructs ligand poses end to end through three stages: Find, Match and Build. The 50-dimensional receptor-atom features and the multi-view density bank are the main inputs shared by all three stages.</w:t>
      </w:r>
      <w:r>
        <w:rPr>
          <w:rFonts w:ascii="Times New Roman" w:hAnsi="Times New Roman"/>
          <w:sz w:val="24"/>
        </w:rPr>
        <w:t xml:space="preserve"> </w:t>
      </w:r>
      <w:r>
        <w:rPr>
          <w:rStyle w:val="MDFIGREF_eJyrrk7LTC9KTbMCUrq5qSUZ-Sm6ZRa1tQB3TQld"/>
          <w:rFonts w:ascii="Times New Roman" w:hAnsi="Times New Roman"/>
          <w:sz w:val="24"/>
        </w:rPr>
        <w:t xml:space="preserve">Fig. 2</w:t>
      </w:r>
      <w:r>
        <w:rPr>
          <w:rFonts w:ascii="Times New Roman" w:hAnsi="Times New Roman"/>
          <w:sz w:val="24"/>
        </w:rPr>
        <w:t xml:space="preserve"> </w:t>
      </w:r>
      <w:r>
        <w:rPr>
          <w:rFonts w:ascii="Times New Roman" w:hAnsi="Times New Roman"/>
          <w:sz w:val="24"/>
        </w:rPr>
        <w:t xml:space="preserve">shows the overall network architecture, with further details provided in Methods.</w:t>
      </w:r>
    </w:p>
    <w:p>
      <w:pPr>
        <w:pStyle w:val="BodyText"/>
        <w:spacing w:line="480" w:lineRule="auto" w:after="120"/>
        <w:ind w:firstLine="480"/>
      </w:pPr>
      <w:r>
        <w:rPr>
          <w:rFonts w:ascii="Times New Roman" w:hAnsi="Times New Roman"/>
          <w:sz w:val="24"/>
        </w:rPr>
        <w:t xml:space="preserve">Find combines receptor information and experimental density information to predict ligand regions. It produces</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candidate ligand regions (blobs), expressed as:</w:t>
      </w:r>
    </w:p>
    <w:p>
      <w:pPr>
        <w:pStyle w:val="BodyText"/>
        <w:keepLines/>
        <w:spacing w:line="240" w:lineRule="auto" w:before="180" w:after="220"/>
        <w:ind w:firstLine="0"/>
        <w:jc w:val="center"/>
      </w:pPr>
      <m:oMathPara>
        <m:oMathParaPr>
          <m:jc m:val="center"/>
        </m:oMathParaPr>
        <m:oMath>
          <m:r>
            <m:rPr>
              <m:sty m:val="bi"/>
            </m:rPr>
            <m:t>F</m:t>
          </m:r>
          <m:r>
            <m:rPr>
              <m:sty m:val="bi"/>
            </m:rPr>
            <m:t>i</m:t>
          </m:r>
          <m:r>
            <m:rPr>
              <m:sty m:val="bi"/>
            </m:rPr>
            <m:t>n</m:t>
          </m:r>
          <m:r>
            <m:rPr>
              <m:sty m:val="bi"/>
            </m:rPr>
            <m:t>d</m:t>
          </m:r>
          <m:r>
            <m:rPr>
              <m:sty m:val="p"/>
            </m:rPr>
            <m:t>(</m:t>
          </m:r>
          <m:r>
            <m:t>A</m:t>
          </m:r>
          <m:r>
            <m:rPr>
              <m:sty m:val="p"/>
            </m:rPr>
            <m:t>,</m:t>
          </m:r>
          <m:r>
            <m:t>M</m:t>
          </m:r>
          <m:r>
            <m:rPr>
              <m:sty m:val="p"/>
            </m:rPr>
            <m:t>)</m:t>
          </m:r>
          <m:r>
            <m:rPr>
              <m:sty m:val="p"/>
            </m:rPr>
            <m:t>→</m:t>
          </m:r>
          <m:r>
            <m:rPr>
              <m:sty m:val="p"/>
            </m:rPr>
            <m:t>{</m:t>
          </m:r>
          <m:sSub>
            <m:e>
              <m:r>
                <m:t>B</m:t>
              </m:r>
            </m:e>
            <m:sub>
              <m:r>
                <m:t>j</m:t>
              </m:r>
            </m:sub>
          </m:sSub>
          <m:sSubSup>
            <m:e>
              <m:r>
                <m:rPr>
                  <m:sty m:val="p"/>
                </m:rPr>
                <m:t>}</m:t>
              </m:r>
            </m:e>
            <m:sub>
              <m:r>
                <m:t>j</m:t>
              </m:r>
              <m:r>
                <m:rPr>
                  <m:sty m:val="p"/>
                </m:rPr>
                <m:t>=</m:t>
              </m:r>
              <m:r>
                <m:t>1</m:t>
              </m:r>
            </m:sub>
            <m:sup>
              <m:r>
                <m:t>J</m:t>
              </m:r>
            </m:sup>
          </m:sSubSup>
        </m:oMath>
      </m:oMathPara>
    </w:p>
    <w:p>
      <w:pPr>
        <w:pStyle w:val="FirstParagraph"/>
        <w:spacing w:line="480" w:lineRule="auto" w:after="120"/>
        <w:ind w:firstLine="480"/>
      </w:pPr>
      <w:r>
        <w:rPr>
          <w:rFonts w:ascii="Times New Roman" w:hAnsi="Times New Roman"/>
          <w:sz w:val="24"/>
        </w:rPr>
        <w:t xml:space="preserve">Each</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ascii="Times New Roman" w:hAnsi="Times New Roman"/>
          <w:sz w:val="24"/>
        </w:rPr>
        <w:t xml:space="preserve">is a 26-connected region in the three-dimensional voxel grid.</w:t>
      </w:r>
    </w:p>
    <w:p>
      <w:pPr>
        <w:pStyle w:val="BodyText"/>
        <w:spacing w:line="480" w:lineRule="auto" w:after="120"/>
        <w:ind w:firstLine="480"/>
      </w:pPr>
      <w:r>
        <w:rPr>
          <w:rFonts w:ascii="Times New Roman" w:hAnsi="Times New Roman"/>
          <w:sz w:val="24"/>
        </w:rPr>
        <w:t xml:space="preserve">Match uses the density bank</w:t>
      </w:r>
      <w:r>
        <w:rPr>
          <w:rFonts w:ascii="Times New Roman" w:hAnsi="Times New Roman"/>
          <w:sz w:val="24"/>
        </w:rPr>
        <w:t xml:space="preserve"> </w:t>
      </w:r>
      <m:oMath>
        <m:r>
          <m:t>M</m:t>
        </m:r>
      </m:oMath>
      <w:r>
        <w:rPr>
          <w:rFonts w:ascii="Times New Roman" w:hAnsi="Times New Roman"/>
          <w:sz w:val="24"/>
        </w:rPr>
        <w:t xml:space="preserve">, the receptor pocket</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surrounding each blob and auxiliary features from Find (</w:t>
      </w:r>
      <m:oMath>
        <m:r>
          <m:rPr>
            <m:sty m:val="p"/>
          </m:rPr>
          <m:t>A</m:t>
        </m:r>
        <m:r>
          <m:rPr>
            <m:sty m:val="p"/>
          </m:rPr>
          <m:t>U</m:t>
        </m:r>
        <m:r>
          <m:rPr>
            <m:sty m:val="p"/>
          </m:rPr>
          <m:t>X</m:t>
        </m:r>
      </m:oMath>
      <w:r>
        <w:rPr>
          <w:rFonts w:ascii="Times New Roman" w:hAnsi="Times New Roman"/>
          <w:sz w:val="24"/>
        </w:rPr>
        <w:t xml:space="preserve">) to associate the predicted blobs</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ascii="Times New Roman" w:hAnsi="Times New Roman"/>
          <w:sz w:val="24"/>
        </w:rPr>
        <w:t xml:space="preserve">with user-provided ligand identities</w:t>
      </w:r>
      <w:r>
        <w:rPr>
          <w:rFonts w:ascii="Times New Roman" w:hAnsi="Times New Roman"/>
          <w:sz w:val="24"/>
        </w:rPr>
        <w:t xml:space="preserve"> </w:t>
      </w:r>
      <m:oMath>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w:t>
      </w:r>
      <w:r>
        <w:rPr>
          <w:rFonts w:ascii="Times New Roman" w:hAnsi="Times New Roman"/>
          <w:sz w:val="24"/>
        </w:rPr>
        <w:t xml:space="preserve">in the PDB entry. Here,</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denotes the number of ligand identities present in that complex. Specifically, it determines whether each blob is a false-positive Find prediction and, if not, identifies its corresponding ligand identity:</w:t>
      </w:r>
    </w:p>
    <w:p>
      <w:pPr>
        <w:pStyle w:val="BodyText"/>
        <w:keepLines/>
        <w:spacing w:line="240" w:lineRule="auto" w:before="180" w:after="220"/>
        <w:ind w:firstLine="0"/>
        <w:jc w:val="center"/>
      </w:pPr>
      <m:oMathPara>
        <m:oMathParaPr>
          <m:jc m:val="center"/>
        </m:oMathParaPr>
        <m:oMath>
          <m:eqArr>
            <m:e>
              <m:r>
                <w:rPr>
                  <w:sz w:val="20"/>
                </w:rPr>
                <m:rPr>
                  <m:sty m:val="bi"/>
                </m:rPr>
                <m:t>M</m:t>
              </m:r>
              <m:r>
                <w:rPr>
                  <w:sz w:val="20"/>
                </w:rPr>
                <m:rPr>
                  <m:sty m:val="bi"/>
                </m:rPr>
                <m:t>a</m:t>
              </m:r>
              <m:r>
                <w:rPr>
                  <w:sz w:val="20"/>
                </w:rPr>
                <m:rPr>
                  <m:sty m:val="bi"/>
                </m:rPr>
                <m:t>t</m:t>
              </m:r>
              <m:r>
                <w:rPr>
                  <w:sz w:val="20"/>
                </w:rPr>
                <m:rPr>
                  <m:sty m:val="bi"/>
                </m:rPr>
                <m:t>c</m:t>
              </m:r>
              <m:r>
                <w:rPr>
                  <w:sz w:val="20"/>
                </w:rPr>
                <m:rPr>
                  <m:sty m:val="bi"/>
                </m:rPr>
                <m:t>h</m:t>
              </m:r>
              <m:r>
                <w:rPr>
                  <w:sz w:val="20"/>
                </w:rPr>
                <m:rPr>
                  <m:sty m:val="p"/>
                </m:rPr>
                <m:t>(</m:t>
              </m:r>
              <m:r>
                <w:rPr>
                  <w:sz w:val="20"/>
                </w:rPr>
                <m:t>M</m:t>
              </m:r>
              <m:r>
                <w:rPr>
                  <w:sz w:val="20"/>
                </w:rPr>
                <m:rPr>
                  <m:sty m:val="p"/>
                </m:rPr>
                <m:t>,</m:t>
              </m:r>
              <m:r>
                <w:rPr>
                  <w:sz w:val="20"/>
                </w:rPr>
                <m:t>A</m:t>
              </m:r>
              <m:r>
                <w:rPr>
                  <w:sz w:val="20"/>
                </w:rPr>
                <m:rPr>
                  <m:sty m:val="p"/>
                </m:rPr>
                <m:t>,</m:t>
              </m:r>
              <m:r>
                <w:rPr>
                  <w:sz w:val="20"/>
                </w:rPr>
                <m:t>A</m:t>
              </m:r>
              <m:r>
                <w:rPr>
                  <w:sz w:val="20"/>
                </w:rPr>
                <m:t>U</m:t>
              </m:r>
              <m:r>
                <w:rPr>
                  <w:sz w:val="20"/>
                </w:rPr>
                <m:t>X</m:t>
              </m:r>
              <m:r>
                <w:rPr>
                  <w:sz w:val="20"/>
                </w:rPr>
                <m:rPr>
                  <m:sty m:val="p"/>
                </m:rPr>
                <m:t>;</m:t>
              </m:r>
              <m:sSub>
                <m:e>
                  <m:r>
                    <w:rPr>
                      <w:sz w:val="20"/>
                    </w:rPr>
                    <m:t>B</m:t>
                  </m:r>
                </m:e>
                <m:sub>
                  <m:r>
                    <w:rPr>
                      <w:sz w:val="20"/>
                    </w:rPr>
                    <m:t>j</m:t>
                  </m:r>
                </m:sub>
              </m:sSub>
              <m:r>
                <w:rPr>
                  <w:sz w:val="20"/>
                </w:rPr>
                <m:rPr>
                  <m:sty m:val="p"/>
                </m:rPr>
                <m:t>,</m:t>
              </m:r>
              <m:r>
                <w:rPr>
                  <w:sz w:val="20"/>
                </w:rPr>
                <m:rPr>
                  <m:sty m:val="p"/>
                </m:rPr>
                <m:t>{</m:t>
              </m:r>
              <m:sSub>
                <m:e>
                  <m:r>
                    <w:rPr>
                      <w:sz w:val="20"/>
                    </w:rPr>
                    <m:t>S</m:t>
                  </m:r>
                </m:e>
                <m:sub>
                  <m:r>
                    <w:rPr>
                      <w:sz w:val="20"/>
                    </w:rPr>
                    <m:t>k</m:t>
                  </m:r>
                </m:sub>
              </m:sSub>
              <m:sSubSup>
                <m:e>
                  <m:r>
                    <w:rPr>
                      <w:sz w:val="20"/>
                    </w:rPr>
                    <m:rPr>
                      <m:sty m:val="p"/>
                    </m:rPr>
                    <m:t>}</m:t>
                  </m:r>
                </m:e>
                <m:sub>
                  <m:r>
                    <w:rPr>
                      <w:sz w:val="20"/>
                    </w:rPr>
                    <m:t>k</m:t>
                  </m:r>
                  <m:r>
                    <w:rPr>
                      <w:sz w:val="20"/>
                    </w:rPr>
                    <m:rPr>
                      <m:sty m:val="p"/>
                    </m:rPr>
                    <m:t>=</m:t>
                  </m:r>
                  <m:r>
                    <w:rPr>
                      <w:sz w:val="20"/>
                    </w:rPr>
                    <m:t>1</m:t>
                  </m:r>
                </m:sub>
                <m:sup>
                  <m:r>
                    <w:rPr>
                      <w:sz w:val="20"/>
                    </w:rPr>
                    <m:t>K</m:t>
                  </m:r>
                </m:sup>
              </m:sSubSup>
              <m:r>
                <w:rPr>
                  <w:sz w:val="20"/>
                </w:rPr>
                <m:rPr>
                  <m:sty m:val="p"/>
                </m:rPr>
                <m:t>)</m:t>
              </m:r>
              <m:r>
                <w:rPr>
                  <w:sz w:val="20"/>
                </w:rPr>
                <m:t>&amp;</m:t>
              </m:r>
              <m:r>
                <w:rPr>
                  <w:sz w:val="20"/>
                </w:rPr>
                <m:rPr>
                  <m:sty m:val="p"/>
                </m:rPr>
                <m:t>=</m:t>
              </m:r>
              <m:d>
                <m:dPr>
                  <m:begChr m:val="{"/>
                  <m:sepChr m:val=""/>
                  <m:endChr m:val=""/>
                  <m:grow/>
                </m:dPr>
                <m:e>
                  <m:m>
                    <m:mPr>
                      <m:baseJc m:val="center"/>
                      <m:plcHide m:val="on"/>
                      <m:mcs>
                        <m:mc>
                          <m:mcPr>
                            <m:mcJc m:val="left"/>
                            <m:count m:val="1"/>
                          </m:mcPr>
                        </m:mc>
                        <m:mc>
                          <m:mcPr>
                            <m:mcJc m:val="left"/>
                            <m:count m:val="1"/>
                          </m:mcPr>
                        </m:mc>
                      </m:mcs>
                    </m:mPr>
                    <m:mr>
                      <m:e>
                        <m:r>
                          <w:rPr>
                            <w:sz w:val="20"/>
                          </w:rPr>
                          <m:rPr>
                            <m:sty m:val="p"/>
                          </m:rPr>
                          <m:t>(</m:t>
                        </m:r>
                        <m:r>
                          <w:rPr>
                            <w:sz w:val="20"/>
                          </w:rPr>
                          <m:t>1</m:t>
                        </m:r>
                        <m:r>
                          <w:rPr>
                            <w:sz w:val="20"/>
                          </w:rPr>
                          <m:rPr>
                            <m:sty m:val="p"/>
                          </m:rPr>
                          <m:t>,</m:t>
                        </m:r>
                        <m:sSub>
                          <m:e>
                            <m:r>
                              <w:rPr>
                                <w:sz w:val="20"/>
                              </w:rPr>
                              <m:t>S</m:t>
                            </m:r>
                          </m:e>
                          <m:sub>
                            <m:r>
                              <w:rPr>
                                <w:sz w:val="20"/>
                              </w:rPr>
                              <m:t>k</m:t>
                            </m:r>
                          </m:sub>
                        </m:sSub>
                        <m:r>
                          <w:rPr>
                            <w:sz w:val="20"/>
                          </w:rPr>
                          <m:rPr>
                            <m:sty m:val="p"/>
                          </m:rPr>
                          <m:t>)</m:t>
                        </m:r>
                        <m:r>
                          <w:rPr>
                            <w:sz w:val="20"/>
                          </w:rPr>
                          <m:rPr>
                            <m:sty m:val="p"/>
                          </m:rPr>
                          <m:t>,</m:t>
                        </m:r>
                      </m:e>
                      <m:e>
                        <m:eqArr>
                          <m:e>
                            <m:r>
                              <w:rPr>
                                <w:sz w:val="20"/>
                              </w:rPr>
                              <m:t>&amp;</m:t>
                            </m:r>
                            <m:r>
                              <w:rPr>
                                <w:sz w:val="20"/>
                              </w:rPr>
                              <m:rPr>
                                <m:nor/>
                                <m:sty m:val="p"/>
                              </m:rPr>
                              <m:t>if </m:t>
                            </m:r>
                            <m:sSub>
                              <m:e>
                                <m:r>
                                  <w:rPr>
                                    <w:sz w:val="20"/>
                                  </w:rPr>
                                  <m:t>B</m:t>
                                </m:r>
                              </m:e>
                              <m:sub>
                                <m:r>
                                  <w:rPr>
                                    <w:sz w:val="20"/>
                                  </w:rPr>
                                  <m:t>j</m:t>
                                </m:r>
                              </m:sub>
                            </m:sSub>
                            <m:r>
                              <w:rPr>
                                <w:sz w:val="20"/>
                              </w:rPr>
                              <m:rPr>
                                <m:nor/>
                                <m:sty m:val="p"/>
                              </m:rPr>
                              <m:t> is not a false positive and corresponds to ligand identity </m:t>
                            </m:r>
                            <m:sSub>
                              <m:e>
                                <m:r>
                                  <w:rPr>
                                    <w:sz w:val="20"/>
                                  </w:rPr>
                                  <m:t>S</m:t>
                                </m:r>
                              </m:e>
                              <m:sub>
                                <m:r>
                                  <w:rPr>
                                    <w:sz w:val="20"/>
                                  </w:rPr>
                                  <m:t>k</m:t>
                                </m:r>
                              </m:sub>
                            </m:sSub>
                          </m:e>
                        </m:eqArr>
                      </m:e>
                    </m:mr>
                    <m:mr>
                      <m:e>
                        <m:r>
                          <w:rPr>
                            <w:sz w:val="20"/>
                          </w:rPr>
                          <m:rPr>
                            <m:sty m:val="p"/>
                          </m:rPr>
                          <m:t>(</m:t>
                        </m:r>
                        <m:r>
                          <w:rPr>
                            <w:sz w:val="20"/>
                          </w:rPr>
                          <m:t>0</m:t>
                        </m:r>
                        <m:r>
                          <w:rPr>
                            <w:sz w:val="20"/>
                          </w:rPr>
                          <m:rPr>
                            <m:sty m:val="p"/>
                          </m:rPr>
                          <m:t>,</m:t>
                        </m:r>
                        <m:r>
                          <w:rPr>
                            <w:sz w:val="20"/>
                          </w:rPr>
                          <m:rPr>
                            <m:sty m:val="p"/>
                          </m:rPr>
                          <m:t>∅</m:t>
                        </m:r>
                        <m:r>
                          <w:rPr>
                            <w:sz w:val="20"/>
                          </w:rPr>
                          <m:rPr>
                            <m:sty m:val="p"/>
                          </m:rPr>
                          <m:t>)</m:t>
                        </m:r>
                        <m:r>
                          <w:rPr>
                            <w:sz w:val="20"/>
                          </w:rPr>
                          <m:rPr>
                            <m:sty m:val="p"/>
                          </m:rPr>
                          <m:t>,</m:t>
                        </m:r>
                      </m:e>
                      <m:e>
                        <m:r>
                          <w:rPr>
                            <w:sz w:val="20"/>
                          </w:rPr>
                          <m:rPr>
                            <m:nor/>
                            <m:sty m:val="p"/>
                          </m:rPr>
                          <m:t>if </m:t>
                        </m:r>
                        <m:sSub>
                          <m:e>
                            <m:r>
                              <w:rPr>
                                <w:sz w:val="20"/>
                              </w:rPr>
                              <m:t>B</m:t>
                            </m:r>
                          </m:e>
                          <m:sub>
                            <m:r>
                              <w:rPr>
                                <w:sz w:val="20"/>
                              </w:rPr>
                              <m:t>j</m:t>
                            </m:r>
                          </m:sub>
                        </m:sSub>
                        <m:r>
                          <w:rPr>
                            <w:sz w:val="20"/>
                          </w:rPr>
                          <m:rPr>
                            <m:nor/>
                            <m:sty m:val="p"/>
                          </m:rPr>
                          <m:t> is a false positive</m:t>
                        </m:r>
                      </m:e>
                    </m:mr>
                  </m:m>
                </m:e>
              </m:d>
            </m:e>
          </m:eqArr>
        </m:oMath>
      </m:oMathPara>
    </w:p>
    <w:p>
      <w:pPr>
        <w:pStyle w:val="FirstParagraph"/>
        <w:spacing w:line="480" w:lineRule="auto" w:after="120"/>
        <w:ind w:firstLine="480"/>
      </w:pPr>
      <w:r>
        <w:rPr>
          <w:rFonts w:ascii="Times New Roman" w:hAnsi="Times New Roman"/>
          <w:sz w:val="24"/>
        </w:rPr>
        <w:t xml:space="preserve">Once Find locates a ligand region and Match assigns its chemical identity, downstream molecular docking tools can reconstruct the three-dimensional ligand pose. While we provide modular interfaces to standard docking tools, we developed a density-guided variant of PocketXMol as the default Build model. Specifically, PocketXMol was adapted with local density conditioning and fine-tuned from official weights, enabling pose generation constrained by both the receptor environment and experimental density.</w:t>
      </w:r>
    </w:p>
    <w:p>
      <w:pPr>
        <w:pStyle w:val="BodyText"/>
        <w:spacing w:line="480" w:lineRule="auto" w:after="120"/>
        <w:ind w:firstLine="480"/>
      </w:pPr>
      <w:r>
        <w:rPr>
          <w:rFonts w:ascii="Times New Roman" w:hAnsi="Times New Roman"/>
          <w:sz w:val="24"/>
        </w:rPr>
        <w:t xml:space="preserve">Build takes a specified initial binding site</w:t>
      </w:r>
      <w:r>
        <w:rPr>
          <w:rFonts w:ascii="Times New Roman" w:hAnsi="Times New Roman"/>
          <w:sz w:val="24"/>
        </w:rPr>
        <w:t xml:space="preserve"> </w:t>
      </w:r>
      <m:oMath>
        <m:r>
          <m:t>p</m:t>
        </m:r>
        <m:r>
          <m:rPr>
            <m:sty m:val="p"/>
          </m:rPr>
          <m:t>∈</m:t>
        </m:r>
        <m:sSup>
          <m:e>
            <m:r>
              <m:t>R</m:t>
            </m:r>
          </m:e>
          <m:sup>
            <m:r>
              <m:t>3</m:t>
            </m:r>
          </m:sup>
        </m:sSup>
      </m:oMath>
      <w:r>
        <w:rPr>
          <w:rFonts w:ascii="Times New Roman" w:hAnsi="Times New Roman"/>
          <w:sz w:val="24"/>
        </w:rPr>
        <w:t xml:space="preserve">, a small-molecule identity represented by SMILES</w:t>
      </w:r>
      <w:r>
        <w:rPr>
          <w:rStyle w:val="MDCITE_eJyLdihPzczLzEtPLTK0tLAozs3MSS2OBQBdrwgo"/>
          <w:rFonts w:ascii="Times New Roman" w:hAnsi="Times New Roman"/>
          <w:sz w:val="24"/>
          <w:vertAlign w:val="superscript"/>
        </w:rPr>
        <w:t xml:space="preserve">14</w:t>
      </w:r>
      <w:r>
        <w:rPr>
          <w:rFonts w:ascii="Times New Roman" w:hAnsi="Times New Roman"/>
          <w:sz w:val="24"/>
        </w:rPr>
        <w:t xml:space="preserve"> </w:t>
      </w:r>
      <w:r>
        <w:rPr>
          <w:rFonts w:ascii="Times New Roman" w:hAnsi="Times New Roman"/>
          <w:sz w:val="24"/>
        </w:rPr>
        <w:t xml:space="preserve">and the surrounding pocket environment</w:t>
      </w:r>
      <w:r>
        <w:rPr>
          <w:rFonts w:ascii="Times New Roman" w:hAnsi="Times New Roman"/>
          <w:sz w:val="24"/>
        </w:rPr>
        <w:t xml:space="preserve"> </w:t>
      </w:r>
      <m:oMath>
        <m:r>
          <m:t>P</m:t>
        </m:r>
      </m:oMath>
      <w:r>
        <w:rPr>
          <w:rFonts w:ascii="Times New Roman" w:hAnsi="Times New Roman"/>
          <w:sz w:val="24"/>
        </w:rPr>
        <w:t xml:space="preserve">. It also accepts optional guiding density information</w:t>
      </w:r>
      <w:r>
        <w:rPr>
          <w:rFonts w:ascii="Times New Roman" w:hAnsi="Times New Roman"/>
          <w:sz w:val="24"/>
        </w:rPr>
        <w:t xml:space="preserve"> </w:t>
      </w:r>
      <m:oMath>
        <m:r>
          <m:t>M</m:t>
        </m:r>
        <m:r>
          <m:rPr>
            <m:sty m:val="p"/>
          </m:rPr>
          <m:t>∈</m:t>
        </m:r>
        <m:sSup>
          <m:e>
            <m:r>
              <m:rPr>
                <m:scr m:val="double-struck"/>
                <m:sty m:val="p"/>
              </m:rPr>
              <m:t>R</m:t>
            </m:r>
          </m:e>
          <m:sup>
            <m:r>
              <m:t>D</m:t>
            </m:r>
            <m:r>
              <m:rPr>
                <m:sty m:val="p"/>
              </m:rPr>
              <m:t>×</m:t>
            </m:r>
            <m:r>
              <m:t>H</m:t>
            </m:r>
            <m:r>
              <m:rPr>
                <m:sty m:val="p"/>
              </m:rPr>
              <m:t>×</m:t>
            </m:r>
            <m:r>
              <m:t>W</m:t>
            </m:r>
          </m:sup>
        </m:sSup>
      </m:oMath>
      <w:r>
        <w:rPr>
          <w:rFonts w:ascii="Times New Roman" w:hAnsi="Times New Roman"/>
          <w:sz w:val="24"/>
        </w:rPr>
        <w:t xml:space="preserve"> </w:t>
      </w:r>
      <w:r>
        <w:rPr>
          <w:rFonts w:ascii="Times New Roman" w:hAnsi="Times New Roman"/>
          <w:sz w:val="24"/>
        </w:rPr>
        <w:t xml:space="preserve">and generates all-atom coordinates for the small molecule.</w:t>
      </w:r>
    </w:p>
    <w:p>
      <w:pPr>
        <w:pStyle w:val="BodyText"/>
        <w:spacing w:line="480" w:lineRule="auto" w:after="120"/>
        <w:ind w:firstLine="480"/>
      </w:pPr>
      <w:r>
        <w:rPr>
          <w:rFonts w:ascii="Times New Roman" w:hAnsi="Times New Roman"/>
          <w:sz w:val="24"/>
        </w:rPr>
        <w:t xml:space="preserve">We tested the framework on a non-redundant set of 179 PDB entries. To evaluate Find’s localisation performance, we computed semantic and instance-level metrics for each full density map. To evaluate Match’s identity matching and Build’s molecular docking performance, we assessed the relevant ligands from these PDB entries.</w:t>
      </w:r>
    </w:p>
    <w:p>
      <w:pPr>
        <w:pStyle w:val="CaptionedFigure"/>
        <w:keepNext/>
        <w:spacing w:line="240" w:lineRule="auto" w:before="0" w:after="0"/>
        <w:ind w:firstLine="0"/>
        <w:jc w:val="center"/>
      </w:pPr>
      <w:r>
        <w:rPr>
          <w:rFonts w:ascii="Times New Roman" w:hAnsi="Times New Roman"/>
          <w:sz w:val="24"/>
        </w:rPr>
        <w:drawing>
          <wp:inline>
            <wp:extent cx="5733415" cy="4549160"/>
            <wp:effectExtent b="0" l="0" r="0" t="0"/>
            <wp:docPr descr="Fig. 2 | Network architecture and data flow of the LigandSeek Find–Match–Build framework. a, Find encodes density and receptor information to produce candidate ligand regions (blobs in \mathbb{R}^3) and auxiliary features. The receptor embedding head encodes and supplies atom representations. A 3D voxel U-Net and Point Transformer V3 combine density and receptor-atom features and further encode them. An AlphaFold3-style recycling mechanism iteratively refines predictions across both branches. b, Match classifies candidates as foreground or background and assigns ligand identities. A 3D U-Net encodes a local voxel crop. Pooling, cross-attention and FiLM integrate pocket and blob information with auxiliary features from Find into the candidate representation. The identity encoder combines molecular graph features, SMI-TED language representations and identity context within the same PDB entry. A foreground head predicts foreground probability, and cosine scoring produces candidate-to-identity matching scores. c, Build uses the binding site, SMILES identity, pocket and density information with downstream docking tools to reconstruct an all-atom ligand pose. PocketXMol-tuned is the default option." title="MDPPTFIG_eJztWN1qHDcUfhWxVy3s7vg3jYfU4NhxCayDsZ1S6BSj0Wh2xGokIWn2x00hd6UXvWrpTV-gV32AFtp3KTTJY_QcaWa9G_sipLjUEINXP-foO0c6fxp93TPUV72U9F7_-PvfP_-RnHBf6eLVSxwMjfHzXp_0LHdaTnmBfIdplj133Los29zd29zLsiPuJl6bLHvz62-vfvr2zfffvf7lzyyLgFl2K6KiNUe0UowHdWAYTB8igVHjhVaXNbWTxgDLl71Hs9SQeS2VS2efZr3Ke5MmiWMVr6kbasMVEEtta-phaMfJTNvCWM24c0KNa5lsbWw8SGoqVNbbR7RTG5pzv5CczNIplYD7tKZjfhjFI1_ScSDvhHMzEoq7ML8ymqXOUAZiAEfCFABt7WxkvXZ41kicoo3XLWbLjiuFKoCtFNb5UVy60TIBJSoQNY0_bf9YK-9gHXVMCFhzIWruyDM-I2e6piqIrg6Uu5UWUCMEguVhnIfuYdxbaEHNq-XBbO10ql_F5VERjzYJ20HNDfgIt1MOrMdiPCRb5AXI9WCKCaGWVcJz5hvLCYVNF9RTUko9I7okvuJkJMYwf875hBzD3v96-cMJ9ayC9nEjZEFKC_6CWENUwEc17vRk_sX-yX-l451Yj96DE-4HLyFcMV2AjIKDRL8IrmU548ZrS4SKKQGimXhNIB8UDeOEAZMA_-NEBp-DBWNgceSjXOrcwbJ7sP91D6tTDdFStSmyfqcUqctSMH6kWVNz5bsE6SvUo07deWOw5fgTJASNgMAsqVulC93kkg-ctw2bBP0DPbCBMTo205H8IrQtkt8_w5GPc-E3SHNRcsuz_TZPICedhkm79f-rnT4OLkmbuZCC2gUpOcUc6IbkApLe0lV5nfOiwBpScXrt1rgW9mukwIHXNawI4MoHtwaYA7J9RKZ6ziV5PoB0G9acaqE8ubBUOTQ5t-TzbcJ0nUONuTVWBgG8Uy6QysZCXratLpija5CmyIE0FT3WstgGw2P1BIwFk6h7zVlFlXA1gVxvQcMplwugl1goIf54IVhQm1BmtXMk1-C0OagJbuo-JPa7Tuz5PTjhPgl1nzBJ4e5WouMvEzb4jSPg0HxsdQMuCoGTUzZpRyHQYM0Y_KvN7AJ83QsveBcoMUSW4UWkZlS24QMuaYYQOhp9uU-Ch0JceISACoJ4x2J0AvXBgwJYP4xmkzbisHSsFZyZANe-Gfdwj4FAC7ULcHS4-lwXpPXojjmi3cOi1dp2cexIrSVnjaSWgDqmWsrok_OTp4OLJ0dEUjVu4E77dtogK4ezAEDY0dwHlYUKKjm4bJHTo8cg1NsFHt7KsYcU1Ubzmj2gwuY0hx37RT-IYNphxnFMW8wPbQVesejA68FSjxoNj3zI_yEf3H0-YPfghPsk3v8bBxLQNcH3Q6GEGsaDp4-enC99ub8ak12huxGWhZ4puLRwWkOXTRDNQ9g7vCVCNdMq3GgQhFApY21sM4rRjmOSQCFfnGg58I3iEEtRt4KXtJGe6PAJue7A-C233_sKPnCXH7a93U-2t3c2d-c7uzt7mw82XjwygqXw317k6Dtd5ApLZzc-clsEwHofDFiGmWQJY9_7Rmm5jCmnEsah5XGHanoqGNodB-zZ9NTCycHFEaQcpkl4WkjCy0LSPiwkq-8Kiee1gW2qBpYI4y9LMca0d1mIvYdqdrVI4sTlBv5tDY0aw0ZEAeibD6CHDw_QP-32CKZZ6nGtUlSQ4gmOwNqOKH0Il5sxP7BWzzAFOgREvI7gDHzgxknAvF66IiCiJjcOIZfCHAspUSL2w_rYoSm6KmRG7JbAcwZSAn1tsGRK1vFw5AyccD47gfKx8hJB03lpa2zBcGQe3x7IYvkGEeaRjLWBIb11V-BiyNZ6bcsMXKHtQI11_jMOkYMd4IbA8lEsnY5c5L3uddxIVzqqnlx3aSohdgFlb3drN6LcyoV2eRJeTlb6NPVUyG56tS9Ve17OLO0C__u9b_4BQdujEg" id="15" name="Picture"/>
            <a:graphic>
              <a:graphicData uri="http://schemas.openxmlformats.org/drawingml/2006/picture">
                <pic:pic>
                  <pic:nvPicPr>
                    <pic:cNvPr descr="C:/Users/15919/Desktop/论文草稿/temp/manuscript_figures_di98nwzy/figure_000002.png" id="16" name="Picture"/>
                    <pic:cNvPicPr>
                      <a:picLocks noChangeArrowheads="1" noChangeAspect="1"/>
                    </pic:cNvPicPr>
                  </pic:nvPicPr>
                  <pic:blipFill>
                    <a:blip r:embed="rId14"/>
                    <a:stretch>
                      <a:fillRect/>
                    </a:stretch>
                  </pic:blipFill>
                  <pic:spPr bwMode="auto">
                    <a:xfrm>
                      <a:off x="0" y="0"/>
                      <a:ext cx="5733415" cy="454916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2 | Network architecture and data flow of the LigandSeek Find–Match–Build framework.</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Find encodes density and receptor information to produce candidate ligand regions (blobs in</w:t>
      </w:r>
      <w:r>
        <w:rPr>
          <w:rFonts w:ascii="Times New Roman" w:hAnsi="Times New Roman"/>
          <w:sz w:val="24"/>
        </w:rPr>
        <w:t xml:space="preserve"> </w:t>
      </w:r>
      <m:oMath>
        <m:sSup>
          <m:e>
            <m:r>
              <m:rPr>
                <m:scr m:val="double-struck"/>
                <m:sty m:val="p"/>
              </m:rPr>
              <m:t>R</m:t>
            </m:r>
          </m:e>
          <m:sup>
            <m:r>
              <m:t>3</m:t>
            </m:r>
          </m:sup>
        </m:sSup>
      </m:oMath>
      <w:r>
        <w:rPr>
          <w:rFonts w:ascii="Times New Roman" w:hAnsi="Times New Roman"/>
          <w:sz w:val="24"/>
        </w:rPr>
        <w:t xml:space="preserve">) and auxiliary features. The receptor embedding head encodes and supplies atom representations. A 3D voxel U-Net and Point Transformer V3 combine density and receptor-atom features and further encode them. An AlphaFold3-style recycling mechanism iteratively refines predictions across both branches.</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Match classifies candidates as foreground or background and assigns ligand identities. A 3D U-Net encodes a local voxel crop. Pooling, cross-attention and FiLM integrate pocket and blob information with auxiliary features from Find into the candidate representation. The identity encoder combines molecular graph features, SMI-TED language representations and identity context within the same PDB entry. A foreground head predicts foreground probability, and cosine scoring produces candidate-to-identity matching scores.</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Build uses the binding site, SMILES identity, pocket and density information with downstream docking tools to reconstruct an all-atom ligand pose. PocketXMol-tuned is the default option.</w:t>
      </w:r>
    </w:p>
    <w:bookmarkEnd w:id="17"/>
    <w:bookmarkStart w:id="74" w:name="results"/>
    <w:p>
      <w:pPr>
        <w:pStyle w:val="Heading1"/>
        <w:keepNext/>
        <w:spacing w:line="480" w:lineRule="auto"/>
        <w:ind w:firstLine="0"/>
      </w:pPr>
      <w:r>
        <w:rPr>
          <w:rFonts w:ascii="Times New Roman" w:hAnsi="Times New Roman"/>
          <w:sz w:val="24"/>
        </w:rPr>
        <w:t xml:space="preserve">Results</w:t>
      </w:r>
    </w:p>
    <w:bookmarkStart w:id="30" w:name="stage-1"/>
    <w:p>
      <w:pPr>
        <w:pStyle w:val="Heading2"/>
        <w:keepNext/>
        <w:spacing w:line="480" w:lineRule="auto"/>
        <w:ind w:firstLine="0"/>
      </w:pPr>
      <w:r>
        <w:rPr>
          <w:rFonts w:ascii="Times New Roman" w:hAnsi="Times New Roman"/>
          <w:sz w:val="24"/>
        </w:rPr>
        <w:t xml:space="preserve">Stage 1</w:t>
      </w:r>
    </w:p>
    <w:bookmarkStart w:id="18" w:name="stage-1-evaluation-metrics"/>
    <w:p>
      <w:pPr>
        <w:pStyle w:val="Heading3"/>
        <w:keepNext/>
        <w:spacing w:line="480" w:lineRule="auto"/>
        <w:ind w:firstLine="0"/>
      </w:pPr>
      <w:r>
        <w:rPr>
          <w:rFonts w:ascii="Times New Roman" w:hAnsi="Times New Roman"/>
          <w:sz w:val="24"/>
        </w:rPr>
        <w:t xml:space="preserve">Stage 1: Evaluation metrics</w:t>
      </w:r>
    </w:p>
    <w:p>
      <w:pPr>
        <w:pStyle w:val="FirstParagraph"/>
        <w:spacing w:line="480" w:lineRule="auto" w:after="120"/>
        <w:ind w:firstLine="480"/>
      </w:pPr>
      <w:r>
        <w:rPr>
          <w:rFonts w:ascii="Times New Roman" w:hAnsi="Times New Roman"/>
          <w:sz w:val="24"/>
        </w:rPr>
        <w:t xml:space="preserve">For a given PDB structure, let the model predict</w:t>
      </w:r>
      <w:r>
        <w:rPr>
          <w:rFonts w:ascii="Times New Roman" w:hAnsi="Times New Roman"/>
          <w:sz w:val="24"/>
        </w:rPr>
        <w:t xml:space="preserve"> </w:t>
      </w:r>
      <m:oMath>
        <m:sSub>
          <m:e>
            <m:r>
              <m:t>N</m:t>
            </m:r>
          </m:e>
          <m:sub>
            <m:r>
              <m:t>p</m:t>
            </m:r>
            <m:r>
              <m:t>r</m:t>
            </m:r>
            <m:r>
              <m:t>e</m:t>
            </m:r>
            <m:r>
              <m:t>d</m:t>
            </m:r>
          </m:sub>
        </m:sSub>
      </m:oMath>
      <w:r>
        <w:rPr>
          <w:rFonts w:ascii="Times New Roman" w:hAnsi="Times New Roman"/>
          <w:sz w:val="24"/>
        </w:rPr>
        <w:t xml:space="preserve"> </w:t>
      </w:r>
      <w:r>
        <w:rPr>
          <w:rFonts w:ascii="Times New Roman" w:hAnsi="Times New Roman"/>
          <w:sz w:val="24"/>
        </w:rPr>
        <w:t xml:space="preserve">three-dimensional candidate blobs,</w:t>
      </w:r>
      <w:r>
        <w:rPr>
          <w:rFonts w:ascii="Times New Roman" w:hAnsi="Times New Roman"/>
          <w:sz w:val="24"/>
        </w:rP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rPr>
          <w:rFonts w:ascii="Times New Roman" w:hAnsi="Times New Roman"/>
          <w:sz w:val="24"/>
        </w:rPr>
        <w:t xml:space="preserve">. The structure contains</w:t>
      </w:r>
      <w:r>
        <w:rPr>
          <w:rFonts w:ascii="Times New Roman" w:hAnsi="Times New Roman"/>
          <w:sz w:val="24"/>
        </w:rPr>
        <w:t xml:space="preserve"> </w:t>
      </w:r>
      <m:oMath>
        <m:sSub>
          <m:e>
            <m:r>
              <m:t>N</m:t>
            </m:r>
          </m:e>
          <m:sub>
            <m:r>
              <m:t>g</m:t>
            </m:r>
            <m:r>
              <m:t>t</m:t>
            </m:r>
          </m:sub>
        </m:sSub>
      </m:oMath>
      <w:r>
        <w:rPr>
          <w:rFonts w:ascii="Times New Roman" w:hAnsi="Times New Roman"/>
          <w:sz w:val="24"/>
        </w:rPr>
        <w:t xml:space="preserve"> </w:t>
      </w:r>
      <w:r>
        <w:rPr>
          <w:rFonts w:ascii="Times New Roman" w:hAnsi="Times New Roman"/>
          <w:sz w:val="24"/>
        </w:rPr>
        <w:t xml:space="preserve">ground-truth ligand instances,</w:t>
      </w:r>
      <w:r>
        <w:rPr>
          <w:rFonts w:ascii="Times New Roman" w:hAnsi="Times New Roman"/>
          <w:sz w:val="24"/>
        </w:rP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rPr>
          <w:rFonts w:ascii="Times New Roman" w:hAnsi="Times New Roman"/>
          <w:sz w:val="24"/>
        </w:rPr>
        <w:t xml:space="preserve">, where</w:t>
      </w:r>
      <w:r>
        <w:rPr>
          <w:rFonts w:ascii="Times New Roman" w:hAnsi="Times New Roman"/>
          <w:sz w:val="24"/>
        </w:rPr>
        <w:t xml:space="preserve"> </w:t>
      </w:r>
      <m:oMath>
        <m:sSub>
          <m:e>
            <m:r>
              <m:t>G</m:t>
            </m:r>
          </m:e>
          <m:sub>
            <m:r>
              <m:t>j</m:t>
            </m:r>
          </m:sub>
        </m:sSub>
      </m:oMath>
      <w:r>
        <w:rPr>
          <w:rFonts w:ascii="Times New Roman" w:hAnsi="Times New Roman"/>
          <w:sz w:val="24"/>
        </w:rPr>
        <w:t xml:space="preserve"> </w:t>
      </w:r>
      <w:r>
        <w:rPr>
          <w:rFonts w:ascii="Times New Roman" w:hAnsi="Times New Roman"/>
          <w:sz w:val="24"/>
        </w:rPr>
        <w:t xml:space="preserve">denotes the ligand region of instance</w:t>
      </w:r>
      <w:r>
        <w:rPr>
          <w:rFonts w:ascii="Times New Roman" w:hAnsi="Times New Roman"/>
          <w:sz w:val="24"/>
        </w:rPr>
        <w:t xml:space="preserve"> </w:t>
      </w:r>
      <m:oMath>
        <m:r>
          <m:t>j</m:t>
        </m:r>
      </m:oMath>
      <w:r>
        <w:rPr>
          <w:rFonts w:ascii="Times New Roman" w:hAnsi="Times New Roman"/>
          <w:sz w:val="24"/>
        </w:rPr>
        <w:t xml:space="preserve">. We set the bidirectional coverage threshold to</w:t>
      </w:r>
      <w:r>
        <w:rPr>
          <w:rFonts w:ascii="Times New Roman" w:hAnsi="Times New Roman"/>
          <w:sz w:val="24"/>
        </w:rPr>
        <w:t xml:space="preserve"> </w:t>
      </w:r>
      <m:oMath>
        <m:r>
          <m:t>τ</m:t>
        </m:r>
        <m:r>
          <m:rPr>
            <m:sty m:val="p"/>
          </m:rPr>
          <m:t>∈</m:t>
        </m:r>
        <m:r>
          <m:rPr>
            <m:sty m:val="p"/>
          </m:rPr>
          <m:t>{</m:t>
        </m:r>
        <m:r>
          <m:t>0.3</m:t>
        </m:r>
        <m:r>
          <m:rPr>
            <m:sty m:val="p"/>
          </m:rPr>
          <m:t>,</m:t>
        </m:r>
        <m:r>
          <m:t>0.5</m:t>
        </m:r>
        <m:r>
          <m:rPr>
            <m:sty m:val="p"/>
          </m:rPr>
          <m:t>}</m:t>
        </m:r>
      </m:oMath>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We evaluated Find at both the semantic and instance levels. At the semantic level, the Dice score measured the overlap between the unions of predicted and ground-truth ligand regions:</w:t>
      </w:r>
    </w:p>
    <w:p>
      <w:pPr>
        <w:pStyle w:val="BodyText"/>
        <w:keepLines/>
        <w:spacing w:line="240" w:lineRule="auto" w:before="180" w:after="220"/>
        <w:ind w:firstLine="0"/>
        <w:jc w:val="center"/>
      </w:pPr>
      <m:oMathPara>
        <m:oMathParaPr>
          <m:jc m:val="center"/>
        </m:oMathParaPr>
        <m:oMath>
          <m:r>
            <m:rPr>
              <m:sty m:val="p"/>
            </m:rPr>
            <m:t>D</m:t>
          </m:r>
          <m:r>
            <m:rPr>
              <m:sty m:val="p"/>
            </m:rPr>
            <m:t>i</m:t>
          </m:r>
          <m:r>
            <m:rPr>
              <m:sty m:val="p"/>
            </m:rPr>
            <m:t>c</m:t>
          </m:r>
          <m:r>
            <m:rPr>
              <m:sty m:val="p"/>
            </m:rPr>
            <m:t>e</m:t>
          </m:r>
          <m:r>
            <m:rPr>
              <m:sty m:val="p"/>
            </m:rPr>
            <m:t>=</m:t>
          </m:r>
          <m:f>
            <m:fPr>
              <m:type m:val="bar"/>
            </m:fPr>
            <m:num>
              <m:r>
                <m:t>2</m:t>
              </m:r>
              <m:d>
                <m:dPr>
                  <m:begChr m:val="|"/>
                  <m:sepChr m:val=""/>
                  <m:endChr m:val="|"/>
                  <m:grow/>
                </m:dPr>
                <m:e>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e>
              </m:d>
            </m:num>
            <m:den>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den>
          </m:f>
          <m:r>
            <m:rPr>
              <m:sty m:val="p"/>
            </m:rPr>
            <m:t>,</m:t>
          </m:r>
        </m:oMath>
      </m:oMathPara>
    </w:p>
    <w:p>
      <w:pPr>
        <w:pStyle w:val="FirstParagraph"/>
        <w:spacing w:line="480" w:lineRule="auto" w:after="120"/>
        <w:ind w:firstLine="480"/>
      </w:pPr>
      <w:r>
        <w:rPr>
          <w:rFonts w:ascii="Times New Roman" w:hAnsi="Times New Roman"/>
          <w:sz w:val="24"/>
        </w:rPr>
        <w:t xml:space="preserve">where</w:t>
      </w:r>
      <w:r>
        <w:rPr>
          <w:rFonts w:ascii="Times New Roman" w:hAnsi="Times New Roman"/>
          <w:sz w:val="24"/>
        </w:rPr>
        <w:t xml:space="preserve"> </w:t>
      </w:r>
      <m:oMath>
        <m:r>
          <m:rPr>
            <m:sty m:val="p"/>
          </m:rPr>
          <m:t>|</m:t>
        </m:r>
        <m:r>
          <m:t>​</m:t>
        </m:r>
        <m:r>
          <m:rPr>
            <m:sty m:val="p"/>
          </m:rPr>
          <m:t>⋅</m:t>
        </m:r>
        <m:r>
          <m:rPr>
            <m:sty m:val="p"/>
          </m:rPr>
          <m:t>|</m:t>
        </m:r>
        <m:r>
          <m:t>​</m:t>
        </m:r>
      </m:oMath>
      <w:r>
        <w:rPr>
          <w:rFonts w:ascii="Times New Roman" w:hAnsi="Times New Roman"/>
          <w:sz w:val="24"/>
        </w:rPr>
        <w:t xml:space="preserve"> </w:t>
      </w:r>
      <w:r>
        <w:rPr>
          <w:rFonts w:ascii="Times New Roman" w:hAnsi="Times New Roman"/>
          <w:sz w:val="24"/>
        </w:rPr>
        <w:t xml:space="preserve">denotes the number of voxels in a region.</w:t>
      </w:r>
    </w:p>
    <w:p>
      <w:pPr>
        <w:pStyle w:val="BodyText"/>
        <w:spacing w:line="480" w:lineRule="auto" w:after="120"/>
        <w:ind w:firstLine="480"/>
      </w:pPr>
      <w:r>
        <w:rPr>
          <w:rFonts w:ascii="Times New Roman" w:hAnsi="Times New Roman"/>
          <w:sz w:val="24"/>
        </w:rPr>
        <w:t xml:space="preserve">At the instance level, predicted instances</w:t>
      </w:r>
      <w:r>
        <w:rPr>
          <w:rFonts w:ascii="Times New Roman" w:hAnsi="Times New Roman"/>
          <w:sz w:val="24"/>
        </w:rP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rPr>
          <w:rFonts w:ascii="Times New Roman" w:hAnsi="Times New Roman"/>
          <w:sz w:val="24"/>
        </w:rPr>
        <w:t xml:space="preserve"> </w:t>
      </w:r>
      <w:r>
        <w:rPr>
          <w:rFonts w:ascii="Times New Roman" w:hAnsi="Times New Roman"/>
          <w:sz w:val="24"/>
        </w:rPr>
        <w:t xml:space="preserve">and ground-truth instances</w:t>
      </w:r>
      <w:r>
        <w:rPr>
          <w:rFonts w:ascii="Times New Roman" w:hAnsi="Times New Roman"/>
          <w:sz w:val="24"/>
        </w:rP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rPr>
          <w:rFonts w:ascii="Times New Roman" w:hAnsi="Times New Roman"/>
          <w:sz w:val="24"/>
        </w:rPr>
        <w:t xml:space="preserve"> </w:t>
      </w:r>
      <w:r>
        <w:rPr>
          <w:rFonts w:ascii="Times New Roman" w:hAnsi="Times New Roman"/>
          <w:sz w:val="24"/>
        </w:rPr>
        <w:t xml:space="preserve">form the two vertex sets of a bipartite graph. An edge connects</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G</m:t>
            </m:r>
          </m:e>
          <m:sub>
            <m:r>
              <m:t>j</m:t>
            </m:r>
          </m:sub>
        </m:sSub>
      </m:oMath>
      <w:r>
        <w:rPr>
          <w:rFonts w:ascii="Times New Roman" w:hAnsi="Times New Roman"/>
          <w:sz w:val="24"/>
        </w:rPr>
        <w:t xml:space="preserve"> </w:t>
      </w:r>
      <w:r>
        <w:rPr>
          <w:rFonts w:ascii="Times New Roman" w:hAnsi="Times New Roman"/>
          <w:sz w:val="24"/>
        </w:rPr>
        <w:t xml:space="preserve">if each covers at least a fraction</w:t>
      </w:r>
      <w:r>
        <w:rPr>
          <w:rFonts w:ascii="Times New Roman" w:hAnsi="Times New Roman"/>
          <w:sz w:val="24"/>
        </w:rPr>
        <w:t xml:space="preserve"> </w:t>
      </w:r>
      <m:oMath>
        <m:r>
          <m:t>τ</m:t>
        </m:r>
      </m:oMath>
      <w:r>
        <w:rPr>
          <w:rFonts w:ascii="Times New Roman" w:hAnsi="Times New Roman"/>
          <w:sz w:val="24"/>
        </w:rPr>
        <w:t xml:space="preserve"> </w:t>
      </w:r>
      <w:r>
        <w:rPr>
          <w:rFonts w:ascii="Times New Roman" w:hAnsi="Times New Roman"/>
          <w:sz w:val="24"/>
        </w:rPr>
        <w:t xml:space="preserve">of the other. We then used the Hungarian algorithm</w:t>
      </w:r>
      <w:r>
        <w:rPr>
          <w:rStyle w:val="MDCITE_eJyLdsguzcgztDQ1zSjNS08sykzMiwUASXEHQA"/>
          <w:rFonts w:ascii="Times New Roman" w:hAnsi="Times New Roman"/>
          <w:sz w:val="24"/>
          <w:vertAlign w:val="superscript"/>
        </w:rPr>
        <w:t xml:space="preserve">15</w:t>
      </w:r>
      <w:r>
        <w:rPr>
          <w:rFonts w:ascii="Times New Roman" w:hAnsi="Times New Roman"/>
          <w:sz w:val="24"/>
        </w:rPr>
        <w:t xml:space="preserve"> </w:t>
      </w:r>
      <w:r>
        <w:rPr>
          <w:rFonts w:ascii="Times New Roman" w:hAnsi="Times New Roman"/>
          <w:sz w:val="24"/>
        </w:rPr>
        <w:t xml:space="preserve">to obtain a maximum matching between the two sets. Let</w:t>
      </w:r>
      <w:r>
        <w:rPr>
          <w:rFonts w:ascii="Times New Roman" w:hAnsi="Times New Roman"/>
          <w:sz w:val="24"/>
        </w:rPr>
        <w:t xml:space="preserve"> </w:t>
      </w:r>
      <m:oMath>
        <m:sSubSup>
          <m:e>
            <m:r>
              <m:t>N</m:t>
            </m:r>
          </m:e>
          <m:sub>
            <m:r>
              <m:t>τ</m:t>
            </m:r>
          </m:sub>
          <m:sup>
            <m:r>
              <m:rPr>
                <m:sty m:val="p"/>
              </m:rPr>
              <m:t>1</m:t>
            </m:r>
            <m:r>
              <m:rPr>
                <m:sty m:val="p"/>
              </m:rPr>
              <m:t>t</m:t>
            </m:r>
            <m:r>
              <m:rPr>
                <m:sty m:val="p"/>
              </m:rPr>
              <m:t>o</m:t>
            </m:r>
            <m:r>
              <m:rPr>
                <m:sty m:val="p"/>
              </m:rPr>
              <m:t>1</m:t>
            </m:r>
          </m:sup>
        </m:sSubSup>
      </m:oMath>
      <w:r>
        <w:rPr>
          <w:rFonts w:ascii="Times New Roman" w:hAnsi="Times New Roman"/>
          <w:sz w:val="24"/>
        </w:rPr>
        <w:t xml:space="preserve"> </w:t>
      </w:r>
      <w:r>
        <w:rPr>
          <w:rFonts w:ascii="Times New Roman" w:hAnsi="Times New Roman"/>
          <w:sz w:val="24"/>
        </w:rPr>
        <w:t xml:space="preserve">be the number of successfully matched instance pairs. We define one-to-one precision and recall as:</w:t>
      </w:r>
    </w:p>
    <w:p>
      <w:pPr>
        <w:pStyle w:val="BodyText"/>
        <w:keepLines/>
        <w:spacing w:line="240" w:lineRule="auto" w:before="180" w:after="220"/>
        <w:ind w:firstLine="0"/>
        <w:jc w:val="center"/>
      </w:pPr>
      <m:oMathPara>
        <m:oMathParaPr>
          <m:jc m:val="center"/>
        </m:oMathParaPr>
        <m:oMath>
          <m:sSub>
            <m:e>
              <m:r>
                <m:rPr>
                  <m:sty m:val="p"/>
                </m:rPr>
                <m:t>1to1P</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p</m:t>
                  </m:r>
                  <m:r>
                    <m:rPr>
                      <m:sty m:val="p"/>
                    </m:rPr>
                    <m:t>r</m:t>
                  </m:r>
                  <m:r>
                    <m:rPr>
                      <m:sty m:val="p"/>
                    </m:rPr>
                    <m:t>e</m:t>
                  </m:r>
                  <m:r>
                    <m:rPr>
                      <m:sty m:val="p"/>
                    </m:rPr>
                    <m:t>d</m:t>
                  </m:r>
                </m:sub>
              </m:sSub>
            </m:den>
          </m:f>
          <m:r>
            <m:rPr>
              <m:sty m:val="p"/>
            </m:rPr>
            <m:t>,</m:t>
          </m:r>
          <m:r>
            <m:t>  </m:t>
          </m:r>
          <m:sSub>
            <m:e>
              <m:r>
                <m:rPr>
                  <m:sty m:val="p"/>
                </m:rPr>
                <m:t>1to1R</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g</m:t>
                  </m:r>
                  <m:r>
                    <m:rPr>
                      <m:sty m:val="p"/>
                    </m:rPr>
                    <m:t>t</m:t>
                  </m:r>
                </m:sub>
              </m:sSub>
            </m:den>
          </m:f>
          <m:r>
            <m:rPr>
              <m:sty m:val="p"/>
            </m:rPr>
            <m:t>,</m:t>
          </m:r>
        </m:oMath>
      </m:oMathPara>
    </w:p>
    <w:p>
      <w:pPr>
        <w:pStyle w:val="FirstParagraph"/>
        <w:spacing w:line="480" w:lineRule="auto" w:after="120"/>
        <w:ind w:firstLine="480"/>
      </w:pPr>
      <w:r>
        <w:rPr>
          <w:rFonts w:ascii="Times New Roman" w:hAnsi="Times New Roman"/>
          <w:sz w:val="24"/>
        </w:rPr>
        <w:t xml:space="preserve">These quantities yield the one-to-one F1 score at threshold</w:t>
      </w:r>
      <w:r>
        <w:rPr>
          <w:rFonts w:ascii="Times New Roman" w:hAnsi="Times New Roman"/>
          <w:sz w:val="24"/>
        </w:rPr>
        <w:t xml:space="preserve"> </w:t>
      </w:r>
      <m:oMath>
        <m:r>
          <m:t>τ</m:t>
        </m:r>
      </m:oMath>
      <w:r>
        <w:rPr>
          <w:rFonts w:ascii="Times New Roman" w:hAnsi="Times New Roman"/>
          <w:sz w:val="24"/>
        </w:rPr>
        <w:t xml:space="preserve">,</w:t>
      </w:r>
      <w:r>
        <w:rPr>
          <w:rFonts w:ascii="Times New Roman" w:hAnsi="Times New Roman"/>
          <w:sz w:val="24"/>
        </w:rPr>
        <w:t xml:space="preserve"> </w:t>
      </w:r>
      <m:oMath>
        <m:sSub>
          <m:e>
            <m:r>
              <m:rPr>
                <m:sty m:val="p"/>
              </m:rPr>
              <m:t>1to1F1</m:t>
            </m:r>
          </m:e>
          <m:sub>
            <m:r>
              <m:t>τ</m:t>
            </m:r>
          </m:sub>
        </m:sSub>
      </m:oMath>
      <w:r>
        <w:rPr>
          <w:rFonts w:ascii="Times New Roman" w:hAnsi="Times New Roman"/>
          <w:sz w:val="24"/>
        </w:rPr>
        <w:t xml:space="preserve">. Ranking predicted instances by their mean voxel probability yields the corresponding one-to-one precision–recall area under the curve (PRAUC),</w:t>
      </w:r>
      <w:r>
        <w:rPr>
          <w:rFonts w:ascii="Times New Roman" w:hAnsi="Times New Roman"/>
          <w:sz w:val="24"/>
        </w:rPr>
        <w:t xml:space="preserve"> </w:t>
      </w:r>
      <m:oMath>
        <m:sSub>
          <m:e>
            <m:r>
              <m:rPr>
                <m:sty m:val="p"/>
              </m:rPr>
              <m:t>1to1PRAUC</m:t>
            </m:r>
          </m:e>
          <m:sub>
            <m:r>
              <m:t>τ</m:t>
            </m:r>
          </m:sub>
        </m:sSub>
      </m:oMath>
      <w:r>
        <w:rPr>
          <w:rFonts w:ascii="Times New Roman" w:hAnsi="Times New Roman"/>
          <w:sz w:val="24"/>
        </w:rPr>
        <w:t xml:space="preserve">. We use</w:t>
      </w:r>
      <w:r>
        <w:rPr>
          <w:rFonts w:ascii="Times New Roman" w:hAnsi="Times New Roman"/>
          <w:sz w:val="24"/>
        </w:rPr>
        <w:t xml:space="preserve"> </w:t>
      </w:r>
      <w:r>
        <w:rPr>
          <w:rFonts w:ascii="Times New Roman" w:hAnsi="Times New Roman"/>
          <w:sz w:val="24"/>
        </w:rPr>
        <w:t xml:space="preserve">“1to1”</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“one-to-one”</w:t>
      </w:r>
      <w:r>
        <w:rPr>
          <w:rFonts w:ascii="Times New Roman" w:hAnsi="Times New Roman"/>
          <w:sz w:val="24"/>
        </w:rPr>
        <w:t xml:space="preserve"> </w:t>
      </w:r>
      <w:r>
        <w:rPr>
          <w:rFonts w:ascii="Times New Roman" w:hAnsi="Times New Roman"/>
          <w:sz w:val="24"/>
        </w:rPr>
        <w:t xml:space="preserve">interchangeably depending on the context.</w:t>
      </w:r>
    </w:p>
    <w:p>
      <w:pPr>
        <w:pStyle w:val="BodyText"/>
        <w:spacing w:line="480" w:lineRule="auto" w:after="120"/>
        <w:ind w:firstLine="480"/>
      </w:pPr>
      <w:r>
        <w:rPr>
          <w:rFonts w:ascii="Times New Roman" w:hAnsi="Times New Roman"/>
          <w:sz w:val="24"/>
        </w:rPr>
        <w:t xml:space="preserve">One-to-one metrics exclude both one-to-many and many-to-one matches between predicted and ground-truth instances. For example, if one predicted blob covers several ground-truth ligands, at most one pair can count as a successful match. These metrics require accurate instance localisation and separation, penalising incorrect splitting or merging as well as localisation errors. They therefore provide a precise assessment of the model’s performance.</w:t>
      </w:r>
    </w:p>
    <w:p>
      <w:pPr>
        <w:pStyle w:val="BodyText"/>
        <w:spacing w:line="480" w:lineRule="auto" w:after="120"/>
        <w:ind w:firstLine="480"/>
      </w:pPr>
      <w:r>
        <w:rPr>
          <w:rFonts w:ascii="Times New Roman" w:hAnsi="Times New Roman"/>
          <w:sz w:val="24"/>
        </w:rPr>
        <w:t xml:space="preserve">We also evaluated the fraction of detected instances as a function of relative candidate count, which normalises the number of examined candidates by the ground-truth instance count per PDB. A ground-truth instance was considered detected if it was matched to a predicted blob at the</w:t>
      </w:r>
      <w:r>
        <w:rPr>
          <w:rFonts w:ascii="Times New Roman" w:hAnsi="Times New Roman"/>
          <w:sz w:val="24"/>
        </w:rPr>
        <w:t xml:space="preserve"> </w:t>
      </w:r>
      <m:oMath>
        <m:r>
          <m:t>τ</m:t>
        </m:r>
        <m:r>
          <m:rPr>
            <m:sty m:val="p"/>
          </m:rPr>
          <m:t>=</m:t>
        </m:r>
        <m:r>
          <m:t>0.3</m:t>
        </m:r>
      </m:oMath>
      <w:r>
        <w:rPr>
          <w:rFonts w:ascii="Times New Roman" w:hAnsi="Times New Roman"/>
          <w:sz w:val="24"/>
        </w:rPr>
        <w:t xml:space="preserve"> </w:t>
      </w:r>
      <w:r>
        <w:rPr>
          <w:rFonts w:ascii="Times New Roman" w:hAnsi="Times New Roman"/>
          <w:sz w:val="24"/>
        </w:rPr>
        <w:t xml:space="preserve">bidirectional coverage threshold.</w:t>
      </w:r>
    </w:p>
    <w:p>
      <w:pPr>
        <w:pStyle w:val="BodyText"/>
        <w:spacing w:line="480" w:lineRule="auto" w:after="120"/>
        <w:ind w:firstLine="480"/>
      </w:pPr>
      <w:r>
        <w:rPr>
          <w:rFonts w:ascii="Times New Roman" w:hAnsi="Times New Roman"/>
          <w:sz w:val="24"/>
        </w:rPr>
        <w:t xml:space="preserve">All metrics were evaluated across all ligands and for small molecules only. In the small-molecule evaluation, non-small-molecule ground-truth ligands, such as sugars and metal ions, and the candidate blobs matched to them were excluded from numerators, denominators and candidate counts.</w:t>
      </w:r>
    </w:p>
    <w:bookmarkEnd w:id="18"/>
    <w:bookmarkStart w:id="25" w:name="stage-1-results"/>
    <w:p>
      <w:pPr>
        <w:pStyle w:val="Heading3"/>
        <w:keepNext/>
        <w:spacing w:line="480" w:lineRule="auto"/>
        <w:ind w:firstLine="0"/>
      </w:pPr>
      <w:r>
        <w:rPr>
          <w:rFonts w:ascii="Times New Roman" w:hAnsi="Times New Roman"/>
          <w:sz w:val="24"/>
        </w:rPr>
        <w:t xml:space="preserve">Stage 1: Results</w:t>
      </w:r>
    </w:p>
    <w:p>
      <w:pPr>
        <w:pStyle w:val="CaptionedFigure"/>
        <w:keepNext/>
        <w:spacing w:line="240" w:lineRule="auto" w:before="0" w:after="0"/>
        <w:ind w:firstLine="0"/>
        <w:jc w:val="center"/>
      </w:pPr>
      <w:r>
        <w:rPr>
          <w:rFonts w:ascii="Times New Roman" w:hAnsi="Times New Roman"/>
          <w:sz w:val="24"/>
        </w:rPr>
        <w:drawing>
          <wp:inline>
            <wp:extent cx="5724762" cy="6353811"/>
            <wp:effectExtent b="0" l="0" r="0" t="0"/>
            <wp:docPr descr="Fig. 3 | Ligand-region detection by LigandSeek-Find. LigandSeek-Find uses deposited or CryoAtom2-reconstructed receptor structures and is compared with the density-only baseline Emap2lig-Find. The left column shows all ligands (179 PDB entries, 2,502 instances); the right shows only small molecules (94 PDB entries, 821 instances). a, b, Per-PDB Dice scores and one-to-one PRAUC at thresholds of 0.3 and 0.5. Error bars show 95% intervals for the mean from 10,000 bootstrap resamples of PDB entries. c, d, Direct comparisons of LigandSeek-Find using CryoAtom2-reconstructed receptors with Emap2lig-Find. LigandSeek-Find performs better, comparably or worse on 112/40/27 PDB entries for all ligands and 40/36/18 for small molecules, respectively. e, f, One-to-one precision and recall at threshold of 0.3. Each point represents one PDB entry; open white circles and thick bars indicate the median and interquartile range, respectively." title="MDPPTFIG_eJztWFGPGzUQ_ivWSkggJdkkd7m7bEulI9dDSEeJru0Ti06O18la57WN7WSTozwjHngC8QLimSd-AJXg19D2ZzBjb3LptYIKdA-RLlKytmf8zXjs_TKerxJDfZlkJHn5w_O_fvojdZ7OeO_l8-9f_PJzxxi_TFoksdxpueAF6o2yPH_quHV53hsMe8M8P-Hu0muT569--_3Fj9-8-u7bl7_-mecRMM_fiqhoxREtCtsVFartxNJQxSXKGTVeaHVRUXs5N6D5eXK_zgxZVlK5rP4wT0rvTZamjpW8oq6jDVcgnGpbUQ9dO0trbQtjNePOCTWrZNrvdg9SNJUnDxBtbMPjsV9JTupsQSXgflKBR6NoHvXStQbqXnJuzoTiLoxv9erMGcrADOBIGAKg_n43T5ru-VziEJ173WA26jhTqALUpsI6fxandhslkEQHoqfxp2mfauUdzKOOCQFznoiKO_KI1-RcV1QF0-Wxcm-VBdQIgWCT0J-E5iiuLTzBzatNYPr7a9ev4vToiMc9CctBzw0cFW4XHFRPxaxD9sgzciZmVBVty2cQUlJwzxkGl0xWjegx55ftU1hsB3F9RL_VBf-PZZEd8PFGWMncgaWCG-2E5wXRlozsSh97XfVhW5hWzts5QxH0uPGgEEfmgEkAighHmK4MtaBTC18SX3JAhJX4VVsruSIT6jgedfKwoqYvxSzuKHkCipJPPcyX80oRV-oaMKUkMnjpyPu9wyEZn3xEuPJWcNci_dag2ycC3KIKXt8P7gVzVsxK38wPJl2FMJWWnMH7BUDD_ddxjvq9LZS703XbrzzdgQi3dsDH3T4Fkx2IcIuMuW0jWZwIxoljes10WvG218BpnIzPj5-OCPXAPiAttQSy0lPS7ewFzW5n0CEPrQW2nFDrAjOR4eA9oBwPZqh0BNKRQF0Vp4pMra5Ir9vqdrtkorUHiqUGGNfRyiB9AfQWe92x1W2fU7YDEb5jq9s-BcUORLgFLAWZmW9yMOEgY0O6eDPPwxvIv-V2LmZwN_K0m1iGW7xMOTLhHuis1dimE0i8gNXgcuU4kCXp9frpfjftH26TVyC-7RwP-RK09g7S3lEQ3sjdWsiDBi8GCy5Xd9x326ee70CE77jvtk_BdAci3CKfXWdkMM6Ew-IBEgp0kES2E7QmP4O8jLKSGA2pGKgFOFxNyOoamlrdI1g0InUJl2LChGWySQF9KdhlzOmACQWjII9ZXCFoNB1SvC_n1Hoh4WZK1Yz_E4VhDedB8kWLJJuCVjI47O8fHvSXB3uDvaNe79l9I1gG36bGRd-pxlVYWr9R3GoQAOu_YMA0vPdvYOw7gejpFBLpE83mFQQ3IlkuKVZ6XCmMw13HFarFWDDcc-ywR4uxJQV3DK2MsjRUFtNQWEybumK6XVZMPa8MLFPNYYow_mIqZlikuCjE8EjVV6s0Dlx08bPXMWoGCxEFHrwetLDuCO3xeo2wNRs_rl2KDlKM4Jlml44oPSpxj48h269LTgsHIAFvLQg7HwcB83rqloGImr4RhIkU5lRIiRaxHebHBs3g35t7VmJzCjrnYCXIX-tslNLX8bDnDER4Un-qi-0KJM2WU1vhEzaOLGPNkaw2tccwjmK-hKwD5c1xBS2Gas2pbZRBKzzXoMY6_zGH6w42QBuTl2iWLs5c1L1urbVRrnR0Pb1u0kzCWwoow0F_EFHeqoX78jBUTLfaNPNUyPXwdluqJl7ObPYFvg-Sr_8GD-Xbsg" id="20" name="Picture"/>
            <a:graphic>
              <a:graphicData uri="http://schemas.openxmlformats.org/drawingml/2006/picture">
                <pic:pic>
                  <pic:nvPicPr>
                    <pic:cNvPr descr="C:/Users/15919/Desktop/论文草稿/temp/manuscript_figures_di98nwzy/figure_000003.png" id="21" name="Picture"/>
                    <pic:cNvPicPr>
                      <a:picLocks noChangeArrowheads="1" noChangeAspect="1"/>
                    </pic:cNvPicPr>
                  </pic:nvPicPr>
                  <pic:blipFill>
                    <a:blip r:embed="rId19"/>
                    <a:stretch>
                      <a:fillRect/>
                    </a:stretch>
                  </pic:blipFill>
                  <pic:spPr bwMode="auto">
                    <a:xfrm>
                      <a:off x="0" y="0"/>
                      <a:ext cx="5724762" cy="635381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3 | Ligand-region detection by LigandSeek-Find.</w:t>
      </w:r>
      <w:r>
        <w:rPr>
          <w:rFonts w:ascii="Times New Roman" w:hAnsi="Times New Roman"/>
          <w:sz w:val="24"/>
        </w:rPr>
        <w:t xml:space="preserve"> </w:t>
      </w:r>
      <w:r>
        <w:rPr>
          <w:rFonts w:ascii="Times New Roman" w:hAnsi="Times New Roman"/>
          <w:sz w:val="24"/>
        </w:rPr>
        <w:t xml:space="preserve">LigandSeek-Find uses deposited or CryoAtom2-reconstructed receptor structures and is compared with the density-only baseline Emap2lig-Find. The left column shows all ligands (179 PDB entries, 2,502 instances); the right shows only small molecules (94 PDB entries, 821 instances).</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Per-PDB Dice scores and one-to-one PRAUC at thresholds of 0.3 and 0.5. Error bars show 95% intervals for the mean from 10,000 bootstrap resamples of PDB entries.</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Direct comparisons of LigandSeek-Find using CryoAtom2-reconstructed receptors with Emap2lig-Find. LigandSeek-Find performs better, comparably or worse on 112/40/27 PDB entries for all ligands and 40/36/18 for small molecules, respectively.</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One-to-one precision and recall at threshold of 0.3. Each point represents one PDB entry; open white circles and thick bars indicate the median and interquartile range, respectively.</w:t>
      </w:r>
    </w:p>
    <w:p>
      <w:pPr>
        <w:pStyle w:val="BodyText"/>
        <w:spacing w:line="480" w:lineRule="auto" w:after="120"/>
        <w:ind w:firstLine="480"/>
      </w:pPr>
      <w:r>
        <w:rPr>
          <w:rFonts w:ascii="Times New Roman" w:hAnsi="Times New Roman"/>
          <w:sz w:val="24"/>
        </w:rPr>
        <w:t xml:space="preserve">Panels a, c and e of</w:t>
      </w:r>
      <w:r>
        <w:rPr>
          <w:rFonts w:ascii="Times New Roman" w:hAnsi="Times New Roman"/>
          <w:sz w:val="24"/>
        </w:rPr>
        <w:t xml:space="preserve"> </w:t>
      </w:r>
      <w:r>
        <w:rPr>
          <w:rStyle w:val="MDFIGREF_eJyrrk7LTC9KTbMqLklMTzXUzU3MzNMtzqwoSMxLzamtBQDDLQxG"/>
          <w:rFonts w:ascii="Times New Roman" w:hAnsi="Times New Roman"/>
          <w:sz w:val="24"/>
        </w:rPr>
        <w:t xml:space="preserve">Fig. 3</w:t>
      </w:r>
      <w:r>
        <w:rPr>
          <w:rFonts w:ascii="Times New Roman" w:hAnsi="Times New Roman"/>
          <w:sz w:val="24"/>
        </w:rPr>
        <w:t xml:space="preserve"> </w:t>
      </w:r>
      <w:r>
        <w:rPr>
          <w:rFonts w:ascii="Times New Roman" w:hAnsi="Times New Roman"/>
          <w:sz w:val="24"/>
        </w:rPr>
        <w:t xml:space="preserve">show predictions on the full test set. Panels b, d and f show evaluations restricted to small molecules.</w:t>
      </w:r>
    </w:p>
    <w:p>
      <w:pPr>
        <w:pStyle w:val="BodyText"/>
        <w:spacing w:line="480" w:lineRule="auto" w:after="120"/>
        <w:ind w:firstLine="480"/>
      </w:pPr>
      <w:r>
        <w:rPr>
          <w:rFonts w:ascii="Times New Roman" w:hAnsi="Times New Roman"/>
          <w:sz w:val="24"/>
        </w:rPr>
        <w:t xml:space="preserve">We compared LigandSeek-Find using either deposited or CryoAtom2-reconstructed receptors with the density-only method Emap2lig-Find</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1EmqrQUA9wANsQ"/>
          <w:rFonts w:ascii="Times New Roman" w:hAnsi="Times New Roman"/>
          <w:sz w:val="24"/>
        </w:rPr>
        <w:t xml:space="preserve">Fig. 3a, 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Across the full test set, their mean Dice scores were 0.584, 0.477 and 0.050, respectively. Their mean</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ascii="Times New Roman" w:hAnsi="Times New Roman"/>
          <w:sz w:val="24"/>
        </w:rPr>
        <w:t xml:space="preserve">scores were 0.663, 0.541 and 0.255, respectively</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rK0FANzYDSM"/>
          <w:rFonts w:ascii="Times New Roman" w:hAnsi="Times New Roman"/>
          <w:sz w:val="24"/>
        </w:rPr>
        <w:t xml:space="preserve">Fig. 3a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At the stricter matching threshold of 0.5, their mean</w:t>
      </w:r>
      <w:r>
        <w:rPr>
          <w:rFonts w:ascii="Times New Roman" w:hAnsi="Times New Roman"/>
          <w:sz w:val="24"/>
        </w:rPr>
        <w:t xml:space="preserve"> </w:t>
      </w:r>
      <m:oMath>
        <m:sSub>
          <m:e>
            <m:r>
              <m:rPr>
                <m:sty m:val="p"/>
              </m:rPr>
              <m:t>one-to-one PRAUC</m:t>
            </m:r>
          </m:e>
          <m:sub>
            <m:r>
              <m:t>0.5</m:t>
            </m:r>
          </m:sub>
        </m:sSub>
      </m:oMath>
      <w:r>
        <w:rPr>
          <w:rFonts w:ascii="Times New Roman" w:hAnsi="Times New Roman"/>
          <w:sz w:val="24"/>
        </w:rPr>
        <w:t xml:space="preserve"> </w:t>
      </w:r>
      <w:r>
        <w:rPr>
          <w:rFonts w:ascii="Times New Roman" w:hAnsi="Times New Roman"/>
          <w:sz w:val="24"/>
        </w:rPr>
        <w:t xml:space="preserve">scores were 0.558, 0.447 and 0.126, respectively. LigandSeek-Find outperformed Emap2lig-Find even without deposited receptor structures as input, and this trend persisted in the small-molecule test subset.</w:t>
      </w:r>
    </w:p>
    <w:p>
      <w:pPr>
        <w:pStyle w:val="BodyText"/>
        <w:spacing w:line="480" w:lineRule="auto" w:after="120"/>
        <w:ind w:firstLine="480"/>
      </w:pPr>
      <w:r>
        <w:rPr>
          <w:rFonts w:ascii="Times New Roman" w:hAnsi="Times New Roman"/>
          <w:sz w:val="24"/>
        </w:rPr>
        <w:t xml:space="preserve">Panels c and d compare LigandSeek-Find directly against Emap2lig-Find using</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ascii="Times New Roman" w:hAnsi="Times New Roman"/>
          <w:sz w:val="24"/>
        </w:rPr>
        <w:t xml:space="preserve">(</w:t>
      </w:r>
      <w:r>
        <w:rPr>
          <w:rStyle w:val="MDFIGREF_eJyrrk7LTC9KTbMqLklMTzXUzU3MzNMtzqwoSMxLzalJ1kmprQUA9xANtQ"/>
          <w:rFonts w:ascii="Times New Roman" w:hAnsi="Times New Roman"/>
          <w:sz w:val="24"/>
        </w:rPr>
        <w:t xml:space="preserve">Fig. 3c, 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CryoAtom2-reconstructed receptors, LigandSeek-Find outperformed Emap2lig-Find on 112 structures, performed comparably on 40 and was inferior on only 27 across the full test set</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rq0FANzeDSU"/>
          <w:rFonts w:ascii="Times New Roman" w:hAnsi="Times New Roman"/>
          <w:sz w:val="24"/>
        </w:rPr>
        <w:t xml:space="preserve">Fig. 3c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demonstrating a substantial overall advantage. Emap2lig primarily targets small-molecule identification and modelling, and its detection performance was better for small molecules than across all ligand categories, as shown in</w:t>
      </w:r>
      <w:r>
        <w:rPr>
          <w:rFonts w:ascii="Times New Roman" w:hAnsi="Times New Roman"/>
          <w:sz w:val="24"/>
        </w:rPr>
        <w:t xml:space="preserve"> </w:t>
      </w:r>
      <w:r>
        <w:rPr>
          <w:rStyle w:val="MDFIGREF_eJyrrk7LTC9KTbMqLklMTzXUzU3MzNMtzqwoSMxLzalJ1EmqrQUA9wANsQ"/>
          <w:rFonts w:ascii="Times New Roman" w:hAnsi="Times New Roman"/>
          <w:sz w:val="24"/>
        </w:rPr>
        <w:t xml:space="preserve">Fig. 3a, b</w:t>
      </w:r>
      <w:r>
        <w:rPr>
          <w:rFonts w:ascii="Times New Roman" w:hAnsi="Times New Roman"/>
          <w:sz w:val="24"/>
        </w:rPr>
        <w:t xml:space="preserve">.</w:t>
      </w:r>
    </w:p>
    <w:p>
      <w:pPr>
        <w:pStyle w:val="CaptionedFigure"/>
        <w:keepNext/>
        <w:spacing w:line="240" w:lineRule="auto" w:before="0" w:after="0"/>
        <w:ind w:firstLine="0"/>
        <w:jc w:val="center"/>
      </w:pPr>
      <w:r>
        <w:rPr>
          <w:rFonts w:ascii="Times New Roman" w:hAnsi="Times New Roman"/>
          <w:sz w:val="24"/>
        </w:rPr>
        <w:drawing>
          <wp:inline>
            <wp:extent cx="5733415" cy="4359712"/>
            <wp:effectExtent b="0" l="0" r="0" t="0"/>
            <wp:docPr descr="Fig. 4 | Ligand-instance detection by LigandSeek-Find and Emap2lig-Find. a–c, All ligands (179 PDBs, 2,502 instances). d–f, Small molecules only (94 PDBs, 821 instances). Left and middle, LigandSeek-Find with deposited receptors (GT) and CryoAtom2-reconstructed receptors (CA2), respectively. Right, Emap2lig-Find. The x-axis shows the number of candidates examined relative to the reference instance count per PDB; 100% denotes equal counts. The y-axis shows the percentage of distinct instances detected. Green lines and circles show the PDB-equal mean, and blue lines and diamonds show the median. Grey points and violins show PDB distributions at relative candidate counts of 50%, 100%, 200% and 300%." title="MDPPTFIG_eJzVVs1uGzcQfhVCQIAYkLSSLDXRNjXgyrERwA0MJz11C4PijiTCy5-S1F-aAr0VPfSUopcWPffUB2iA9l0KNM5jdIZcyXKcQ9AiBWpA3iH5zTfDmSE5XzYsD7NGzhpX37_868ffMx_4FLpXL1-8-vmntrVh1WiyhgNvqgWUhBvlRfGpB-eLojsYdodFcQT-MhhbFK9__e3VD9-8_u7bq1_-KIpEWBRvZdRcAbFNpC5bRlfrltQI1AJawihbQZBGE1BwS-KF4u5yblHls8aDZW7ZSlXa58uPisYsBJtnmRczUNy3jQWNixPjFA84dNNsaVxpnRHgvdRTVWW9TueDTHGpi8YBsZ25-HkS1hWwZb7gFfI-Uuj3KJknXLZBEPYSwJ5KDT7O74yWubdcoBnkqXAKiXr9TtGoh-fziqb4PJias4aTJsYCYRPpfDhNqp0ahCvJgeRp-lfLx0YHj3rcCylR56lU4NljWLJzo7iOpmeH2r91LbImCiIbx_E4iqO0t_hFN59tA9Prb1x_ltSTI4FyErdDnlusGXALQOixnLZZnz1np3LKMd2bTLMSAggKLxuv68UnAJetYwoEDthDxW2vktM40yZbIVl8r0H4F1tl_5WP7yVR_M-vX4j_QZSb7LCqWBULxrO73XtDdnb0sW-yXnPQ6bFNffm9NitxS5Mme6I4aihTgcAD6BndOOzusF_r3e91b2idwiTEAlSyLCto3irOpQwzLF9rvAxQMgcCbDAOnTl5uhc1R25tDoNRvRYuGuR2c_EGdHTY22vihLd0ChZQrdvsXE5noflG4bOnM2CrFl9Jz_zMLD0LOKHnagyOmQkTaFCWPODGYMUVXh1kp-JEyoKJaAcTcECnbnv8hJnrwCxyYBQ-ZN1O5w7uSZvI88WcVwnhk_31m_ZRUYCmy518KKUPUotwHcf6eAP6f-IANKP7z8fgCOkEpYHIIhc60EomFXDdjKBxNYcdnVJyZSjfWyUFOKcj-5pZI6k2CbmQBtVqIDJH35wcz-mqQUi4Ds42cvVWaSeDzp1mDAbWE4WEKPdRuHn_0GV80PgcX6jty9QY3Nvf73cHq_7-YHiv23v-wEqR469-rPg7PVal48tbr1TNgFz_hAPVwtzBlsa9E4mZTKSAIyPmCtOcmFLgMIozaT0dWtqhXpxJQUeWBuLx4sxh6r0gK6M8i71CFluFrO4Ust1GIQugLG5Tz1FF2nAxkVN01l-UcnhfL5-tszRx0aG_ftvqKW5ElvW9waiTQPlss0dMzdaPa5eSg5wieGrEpWfajGZcT-HQObOcAS89knSJb7MQj2WaRM5r1R0DiTW7FYRxJe2xrCqySHLUTwLPsRYhiBmJE8Sco5W4fmOwBWU3-WjksQtg4-UnptxtJXi-mjhFX0wcW6Xmga23TUScp2VYBSZovS5XRAmC1VVbgxEVvxtSi03JCRjFSEA03mMhmeWLU5-w19IGTevaJNeza5HnlWbUuw0HvUFieSuK8vIwtj47Ms8Dl9VmeleudB0vb7d5wd9B46u_AX5VyC8" id="23" name="Picture"/>
            <a:graphic>
              <a:graphicData uri="http://schemas.openxmlformats.org/drawingml/2006/picture">
                <pic:pic>
                  <pic:nvPicPr>
                    <pic:cNvPr descr="C:/Users/15919/Desktop/论文草稿/temp/manuscript_figures_di98nwzy/figure_000004.png" id="24" name="Picture"/>
                    <pic:cNvPicPr>
                      <a:picLocks noChangeArrowheads="1" noChangeAspect="1"/>
                    </pic:cNvPicPr>
                  </pic:nvPicPr>
                  <pic:blipFill>
                    <a:blip r:embed="rId22"/>
                    <a:stretch>
                      <a:fillRect/>
                    </a:stretch>
                  </pic:blipFill>
                  <pic:spPr bwMode="auto">
                    <a:xfrm>
                      <a:off x="0" y="0"/>
                      <a:ext cx="5733415" cy="4359712"/>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4 | Ligand-instance detection by LigandSeek-Find and Emap2lig-Find.</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All ligands (179 PDBs, 2,502 instances). d–f, Small molecules only (94 PDBs, 821 instances). Left and middle, LigandSeek-Find with deposited receptors (GT) and CryoAtom2-reconstructed receptors (CA2), respectively. Right, Emap2lig-Find. The x-axis shows the number of candidates examined relative to the reference instance count per PDB; 100% denotes equal counts. The y-axis shows the percentage of distinct instances detected. Green lines and circles show the PDB-equal mean, and blue lines and diamonds show the median. Grey points and violins show PDB distributions at relative candidate counts of 50%, 100%, 200% and 300%.</w:t>
      </w:r>
    </w:p>
    <w:p>
      <w:pPr>
        <w:pStyle w:val="BodyText"/>
        <w:spacing w:line="480" w:lineRule="auto" w:after="120"/>
        <w:ind w:firstLine="480"/>
      </w:pPr>
      <w:r>
        <w:rPr>
          <w:rStyle w:val="MDFIGREF_eJyrrk7LTC9KTbNKy8xL0c3Py6nUzcwrLknMS07VTc7PLchJLcnMz6utBQBF4BAX"/>
          <w:rFonts w:ascii="Times New Roman" w:hAnsi="Times New Roman"/>
          <w:sz w:val="24"/>
        </w:rPr>
        <w:t xml:space="preserve">Fig. 4</w:t>
      </w:r>
      <w:r>
        <w:rPr>
          <w:rFonts w:ascii="Times New Roman" w:hAnsi="Times New Roman"/>
          <w:sz w:val="24"/>
        </w:rPr>
        <w:t xml:space="preserve"> </w:t>
      </w:r>
      <w:r>
        <w:rPr>
          <w:rFonts w:ascii="Times New Roman" w:hAnsi="Times New Roman"/>
          <w:sz w:val="24"/>
        </w:rPr>
        <w:t xml:space="preserve">shows the number of ground-truth instances recovered at different candidate count thresholds. At equal candidate counts, LigandSeek-Find recovered more ligand instances than Emap2lig-Find</w:t>
      </w:r>
      <w:r>
        <w:rPr>
          <w:rFonts w:ascii="Times New Roman" w:hAnsi="Times New Roman"/>
          <w:sz w:val="24"/>
        </w:rPr>
        <w:t xml:space="preserve"> </w:t>
      </w:r>
      <w:r>
        <w:rPr>
          <w:rFonts w:ascii="Times New Roman" w:hAnsi="Times New Roman"/>
          <w:sz w:val="24"/>
        </w:rPr>
        <w:t xml:space="preserve">(</w:t>
      </w:r>
      <w:r>
        <w:rPr>
          <w:rStyle w:val="MDFIGREF_eJyrrk7LTC9KTbNKy8xL0c3Py6nUzcwrLknMS07VTc7PLchJLcnMz6utBQBF4BAX"/>
          <w:rFonts w:ascii="Times New Roman" w:hAnsi="Times New Roman"/>
          <w:sz w:val="24"/>
        </w:rPr>
        <w:t xml:space="preserve">Fig. 4</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relative candidate count of 100% limits the number of predicted candidates examined to the ground-truth instance count in that PDB. At 100%, mean detection completion across all ligands was 55.6% with CA2 and 66.4% with GT, compared with 25.9% for Emap2lig-Find. In the small-molecule subset, the corresponding values were 59.8% and 70.5%, compared with 44.2% for Emap2lig-Find. At 300%, the candidate count limit was three times the ground-truth instance count. Small-molecule completion reached 68.5% for CA2 and 73.3% for GT, whereas Emap2lig-Find reached 51.6%. LigandSeek-Find therefore concentrated more true ligand instances among the highest-ranked candidates under both receptor conditions.</w:t>
      </w:r>
    </w:p>
    <w:p>
      <w:pPr>
        <w:pStyle w:val="BodyText"/>
        <w:spacing w:line="480" w:lineRule="auto" w:after="120"/>
        <w:ind w:firstLine="480"/>
      </w:pPr>
      <w:r>
        <w:rPr>
          <w:rFonts w:ascii="Times New Roman" w:hAnsi="Times New Roman"/>
          <w:sz w:val="24"/>
        </w:rPr>
        <w:t xml:space="preserve">Across the 179 test PDB entries, each complex contained an average of 14.0 ground-truth ligand instances, whereas Emap2lig-Find predicted an average of 353.9 candidate regions per entry. This flood of false positives severely undermined its precision despite acceptable recall</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1UmrrQUA9yANuQ"/>
          <w:rFonts w:ascii="Times New Roman" w:hAnsi="Times New Roman"/>
          <w:sz w:val="24"/>
        </w:rPr>
        <w:t xml:space="preserve">Fig. 3e, 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Low precision directly depressed the semantic Dice score of Emap2lig-Find. However, true-positive instances generally ranked above false-positive instances among its predictions</w:t>
      </w:r>
      <w:r>
        <w:rPr>
          <w:rFonts w:ascii="Times New Roman" w:hAnsi="Times New Roman"/>
          <w:sz w:val="24"/>
        </w:rPr>
        <w:t xml:space="preserve"> </w:t>
      </w:r>
      <w:r>
        <w:rPr>
          <w:rFonts w:ascii="Times New Roman" w:hAnsi="Times New Roman"/>
          <w:sz w:val="24"/>
        </w:rPr>
        <w:t xml:space="preserve">(</w:t>
      </w:r>
      <w:r>
        <w:rPr>
          <w:rStyle w:val="MDFIGREF_eJyrrk7LTC9KTbNKy8xL0c3Py6nUzcwrLknMS07VTc7PLchJLcnMz6utBQBF4BAX"/>
          <w:rFonts w:ascii="Times New Roman" w:hAnsi="Times New Roman"/>
          <w:sz w:val="24"/>
        </w:rPr>
        <w:t xml:space="preserve">Fig. 4</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Both the detected instances ratio and one-to-one PRAUC are strongly influenced by candidate ranking quality, and their scores were somewhat higher than semantic Dice. Because downstream tasks cannot tolerate overwhelming candidate pools, inflating recall at the expense of precision is impractical. In contrast, LigandSeek-Find balanced precision and recall effectively</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1UmrrQUA9yANuQ"/>
          <w:rFonts w:ascii="Times New Roman" w:hAnsi="Times New Roman"/>
          <w:sz w:val="24"/>
        </w:rPr>
        <w:t xml:space="preserve">Fig. 3e, f</w:t>
      </w:r>
      <w:r>
        <w:rPr>
          <w:rFonts w:ascii="Times New Roman" w:hAnsi="Times New Roman"/>
          <w:sz w:val="24"/>
        </w:rPr>
        <w:t xml:space="preserve">).</w:t>
      </w:r>
    </w:p>
    <w:bookmarkEnd w:id="25"/>
    <w:bookmarkStart w:id="29" w:name="stage-1-representative-cases"/>
    <w:p>
      <w:pPr>
        <w:pStyle w:val="Heading3"/>
        <w:keepNext/>
        <w:spacing w:line="480" w:lineRule="auto"/>
        <w:ind w:firstLine="0"/>
      </w:pPr>
      <w:r>
        <w:rPr>
          <w:rFonts w:ascii="Times New Roman" w:hAnsi="Times New Roman"/>
          <w:sz w:val="24"/>
        </w:rPr>
        <w:t xml:space="preserve">Stage 1: Representative cases</w:t>
      </w:r>
    </w:p>
    <w:p>
      <w:pPr>
        <w:pStyle w:val="FirstParagraph"/>
        <w:spacing w:line="480" w:lineRule="auto" w:after="120"/>
        <w:ind w:firstLine="480"/>
      </w:pPr>
      <w:r>
        <w:rPr>
          <w:rFonts w:ascii="Times New Roman" w:hAnsi="Times New Roman"/>
          <w:sz w:val="24"/>
        </w:rPr>
        <w:t xml:space="preserve">Three representative cases showed that LigandSeek-Find covered ligand regions more completely than the density-only method Emap2lig-Find and detected regions that it missed</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XzUMDm5thYAJ60Pyw"/>
          <w:rFonts w:ascii="Times New Roman" w:hAnsi="Times New Roman"/>
          <w:sz w:val="24"/>
        </w:rPr>
        <w:t xml:space="preserve">Fig. 5a–c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cholesterol in 9UWI, Emap2lig-Find predictions were concentrated within the ground-truth ligand region, achieving a precision of 0.990 but covering only 0.300 of that region. LigandSeek-Find increased coverage to 0.812, recovering more of the missed ligand region</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aytBQDqeQ1z"/>
          <w:rFonts w:ascii="Times New Roman" w:hAnsi="Times New Roman"/>
          <w:sz w:val="24"/>
        </w:rPr>
        <w:t xml:space="preserve">Fig. 5a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At the NADPH binding site in 9WUP, Emap2lig-Find produced no prediction overlapping the ground-truth ligand region. LigandSeek-Find covered 0.922 of that region in the same comparison</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aqtBQDqfA10"/>
          <w:rFonts w:ascii="Times New Roman" w:hAnsi="Times New Roman"/>
          <w:sz w:val="24"/>
        </w:rPr>
        <w:t xml:space="preserve">Fig. 5b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Similarly, at the ADP site in 9RMI, Emap2lig-Find covered only 0.103 of the ground-truth region, whereas LigandSeek-Find covered 0.883</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a6tBQDqfw11"/>
          <w:rFonts w:ascii="Times New Roman" w:hAnsi="Times New Roman"/>
          <w:sz w:val="24"/>
        </w:rPr>
        <w:t xml:space="preserve">Fig. 5c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These local comparisons demonstrated advantages in both detecting ligand regions and delineating their spatial boundaries more accurately.</w:t>
      </w:r>
    </w:p>
    <w:p>
      <w:pPr>
        <w:pStyle w:val="BodyText"/>
        <w:spacing w:line="480" w:lineRule="auto" w:after="120"/>
        <w:ind w:firstLine="480"/>
      </w:pPr>
      <w:r>
        <w:rPr>
          <w:rFonts w:ascii="Times New Roman" w:hAnsi="Times New Roman"/>
          <w:sz w:val="24"/>
        </w:rPr>
        <w:t xml:space="preserve">LigandSeek-Find retained its main detection and coverage advantages in these cases when deposited receptor structures were replaced with receptors automatically reconstructed by CryoAtom2. With reconstructed receptors, the instance Dice scores for 9UWI and 9WUP were 0.848 and 0.715, respectively. These scores were close to those obtained with deposited receptors and exceeded those of Emap2lig-Find</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XzUMDmpthYAJ6oPyg"/>
          <w:rFonts w:ascii="Times New Roman" w:hAnsi="Times New Roman"/>
          <w:sz w:val="24"/>
        </w:rPr>
        <w:t xml:space="preserve">Fig. 5a–b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9RMI case illustrated a loss of precision after receptor replacement. For this ligand instance, the predicted region extended beyond the ligand, reducing precision from 0.607 to 0.396 and the Dice score from 0.719 to 0.532</w:t>
      </w:r>
      <w:r>
        <w:rPr>
          <w:rFonts w:ascii="Times New Roman" w:hAnsi="Times New Roman"/>
          <w:sz w:val="24"/>
        </w:rPr>
        <w:t xml:space="preserve"> </w:t>
      </w:r>
      <w:r>
        <w:rPr>
          <w:rFonts w:ascii="Times New Roman" w:hAnsi="Times New Roman"/>
          <w:sz w:val="24"/>
        </w:rPr>
        <w:t xml:space="preserve">(</w:t>
      </w:r>
      <w:r>
        <w:rPr>
          <w:rStyle w:val="MDFIGREF_eJyrrk7LTC9KTbMqLklMTzXULckoSk1NTixO1c1NzMyrSa6tBQDqfw11"/>
          <w:rFonts w:ascii="Times New Roman" w:hAnsi="Times New Roman"/>
          <w:sz w:val="24"/>
        </w:rPr>
        <w:t xml:space="preserve">Fig. 5c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Nevertheless, the prediction still covered 0.810 of the ground-truth ligand region, and its Dice score exceeded the 0.131 achieved by Emap2lig-Find. Thus, across these three cases, LigandSeek-Find usually retained good detection performance with CryoAtom2-reconstructed receptors when deposited receptor structures were unavailable.</w:t>
      </w:r>
    </w:p>
    <w:p>
      <w:pPr>
        <w:pStyle w:val="CaptionedFigure"/>
        <w:keepNext/>
        <w:spacing w:line="240" w:lineRule="auto" w:before="0" w:after="0"/>
        <w:ind w:firstLine="0"/>
        <w:jc w:val="center"/>
      </w:pPr>
      <w:r>
        <w:rPr>
          <w:rFonts w:ascii="Times New Roman" w:hAnsi="Times New Roman"/>
          <w:sz w:val="24"/>
        </w:rPr>
        <w:drawing>
          <wp:inline>
            <wp:extent cx="5733415" cy="5311037"/>
            <wp:effectExtent b="0" l="0" r="0" t="0"/>
            <wp:docPr descr="Fig. 5 | Small-molecule region detection under different receptor conditions. a–c, cholesterol in 9UWI (CLR, B:502), NADPH in 9WUP (NDP, A:1104) and ADP in 9RMI (C:401), respectively. The left view of each row shows the full complex with ligand regions predicted by LigandSeek-Find using the deposited receptor. A box marks the selected ligand binding site for the six close-up views on the right. The top row shows the deposited receptor, the CryoAtom2 receptor, and the deposited ligand with its ground-truth ligand region, from left to right. The bottom row compares LigandSeek-Find with the deposited receptor, LigandSeek-Find with the CryoAtom2 receptor, and Emap2lig-Find, from left to right. All three prediction views show the same deposited ligand and experimental density. The first two prediction views additionally show the deposited and CryoAtom2-reconstructed receptors, respectively. The six close-up views for each case use the same orientation and scale. Receptors are light green, experimental density is shown as a grey mesh; blue envelopes show selected predicted regions, and pale grey-blue envelopes show ground-truth ligand regions." title="MDPPTFIG_eJzVVl-PGzUQ_ypWnqiUZJPchfaWUinkelDpeoqurfrAopPjnWSt864t2_lXisQTCAnEA6gvfAB4gneQ4LsglfZjMGNv_rSXkypQkTgpt7Zn5jd_PZ5PG4b7opGyxovvf3v-w--J83wK3eff_vLyxy-ef_2sbYxfNpqsYcFpNYecWIdplj1yYF2WdftH3aMsOwZ36bXJspc___rXsy9ffvPVi5_-yLKImWXXgVa8BAKM9JYvLIDgDlollxUxCG681NVFye3lzCDrx43bi9SwZakqly7ezxqF9yZNEicKKLlrawMVEifaltzj1k6Thba5sVqAc7KalirpdTrvJqQha9whtJENnwd-pYAt0jlXiHuvRJOGUT3xJWsO4r0EMKeyAhfOd3aL1BkuUA3iKDxCoN5hJ2vU2_OZoiM-87rGrNlJUlY5sk2kdf40inZqJqREA6Kl8V-9PtGVdyjHnZASZR7KEhw7gwU71yWvgupiULm9tIAaIQhsHPbjsBxG38IXzXyyCUzvcG36kygeDfGUk-AOWW6wXMDOAVlP5LTN-uwpe1BypVqlViAwDMzCFEPLcvAgKMhsVuVgWS4nE7BQeWQQYLy2TOgql8Ti2qTQR7VvNRL_wl_2X9n4VrLF__z8O_E_iHKTiQIryXmwWjFZsaNHj--xd4an5032Qdrv9G402dngePRRoD1-NGLvnB2PmmyQdrudwxuM42VDcqCe3yfJ9LDTRSFUYagg56BWbfawAKZg4tlcohd6woCLglm9YK7QC8c80iczpbBGS6NgyRbSF0zJKeHHCncMzc6l8JCz8YqdBtoDgMvWCd34GTWlgJOD0U4S27ry22zAxnrJqPtFXQ7w9hBLrWKMECRPcgybXmSSSyaUxjY6M8Fwx_B6EcXKaeGjV9itX_Pjqv5mOB_alR54XfZ2zkn3qzK1QcF_iRUytRovdMvb2esBabKJ1WUMq9e7No21Rz3BLIonx1xciVdQcJ251zJf58PdkpseWhfY9xs2wOyGh2mdR-pVMaoUuxhxfMeuxoJ-sDRg8RpUnivkwHvh67IKjZ75hb6Ky_PY77BfrrZKtvgEvPGohR5hlWGgxW4w3L5S3lMZVDShqOndxWqErUPaSrI7GEYqneAK2ux8rYFhgsjXwmO2ATCx-7xlMgYKMVCCOFcM20LxHhurGTCo0Dx8tetobgp8e2nqaxQTZtCEgNHaJ3190b32dNBjeqfxCU4Ym8mi0b95cHDY7S_7B9giDm4-vW2kSPFXDxv8jYaN3PLFlSmjRkCsf4KBYn5mYQNj3whETyZSwLEWM0pHRLKgQjZdIY2jfkseVvORFNRtaSPO5iN8g8EJ0jJMkzDmJWHKS-ohL9md8RIPpUE3qxmKSOMvJnKKxrqLXB7dqhZPVkk8uOjQX79tqik6InNq-bdwRRMgrkdrHzE1Gzu2JkUDOUXwVAvshZUeFryawsBisyiA5w5BuoS3JoTSj4eIuRXdURBRkytBGCtpTqRSpJHWQT4ueIoXDbwoaDlBHrwMPtBf2WyYklfxaOdwimPjxX2d746CPF1ObElfTBxbxuGPrTZDYDgnMiw9E0SvyxW5BLHVVVszI1f4rkEN9poPAZsbLZAbu4SPavn81EXe7WrNTfRKR9OT7ZKnqmI0ex_1e_2IspeL8nI3jK47a556LtX6eHetqjpezmzygr87jc_-Br-gcq0" id="27" name="Picture"/>
            <a:graphic>
              <a:graphicData uri="http://schemas.openxmlformats.org/drawingml/2006/picture">
                <pic:pic>
                  <pic:nvPicPr>
                    <pic:cNvPr descr="C:/Users/15919/Desktop/论文草稿/temp/manuscript_figures_di98nwzy/figure_000005.png" id="28" name="Picture"/>
                    <pic:cNvPicPr>
                      <a:picLocks noChangeArrowheads="1" noChangeAspect="1"/>
                    </pic:cNvPicPr>
                  </pic:nvPicPr>
                  <pic:blipFill>
                    <a:blip r:embed="rId26"/>
                    <a:stretch>
                      <a:fillRect/>
                    </a:stretch>
                  </pic:blipFill>
                  <pic:spPr bwMode="auto">
                    <a:xfrm>
                      <a:off x="0" y="0"/>
                      <a:ext cx="5733415" cy="5311037"/>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5 | Small-molecule region detection under different receptor conditions.</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cholesterol in 9UWI (CLR, B:502), NADPH in 9WUP (NDP, A:1104) and ADP in 9RMI (C:401), respectively. The left view of each row shows the full complex with ligand regions predicted by LigandSeek-Find using the deposited receptor. A box marks the selected ligand binding site for the six close-up views on the right. The top row shows the deposited receptor, the CryoAtom2 receptor, and the deposited ligand with its ground-truth ligand region, from left to right. The bottom row compares LigandSeek-Find with the deposited receptor, LigandSeek-Find with the CryoAtom2 receptor, and Emap2lig-Find, from left to right. All three prediction views show the same deposited ligand and experimental density. The first two prediction views additionally show the deposited and CryoAtom2-reconstructed receptors, respectively. The six close-up views for each case use the same orientation and scale. Receptors are light green, experimental density is shown as a grey mesh; blue envelopes show selected predicted regions, and pale grey-blue envelopes show ground-truth ligand regions.</w:t>
      </w:r>
    </w:p>
    <w:bookmarkEnd w:id="29"/>
    <w:bookmarkEnd w:id="30"/>
    <w:bookmarkStart w:id="39" w:name="stage-2"/>
    <w:p>
      <w:pPr>
        <w:pStyle w:val="Heading2"/>
        <w:keepNext/>
        <w:spacing w:line="480" w:lineRule="auto"/>
        <w:ind w:firstLine="0"/>
      </w:pPr>
      <w:r>
        <w:rPr>
          <w:rFonts w:ascii="Times New Roman" w:hAnsi="Times New Roman"/>
          <w:sz w:val="24"/>
        </w:rPr>
        <w:t xml:space="preserve">Stage 2</w:t>
      </w:r>
    </w:p>
    <w:bookmarkStart w:id="31" w:name="stage-2-evaluation-protocol"/>
    <w:p>
      <w:pPr>
        <w:pStyle w:val="Heading3"/>
        <w:keepNext/>
        <w:spacing w:line="480" w:lineRule="auto"/>
        <w:ind w:firstLine="0"/>
      </w:pPr>
      <w:r>
        <w:rPr>
          <w:rFonts w:ascii="Times New Roman" w:hAnsi="Times New Roman"/>
          <w:sz w:val="24"/>
        </w:rPr>
        <w:t xml:space="preserve">Stage 2: Evaluation protocol</w:t>
      </w:r>
    </w:p>
    <w:p>
      <w:pPr>
        <w:pStyle w:val="FirstParagraph"/>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ascii="Times New Roman" w:hAnsi="Times New Roman"/>
          <w:sz w:val="24"/>
        </w:rPr>
        <w:t xml:space="preserve">denote the</w:t>
      </w:r>
      <w:r>
        <w:rPr>
          <w:rFonts w:ascii="Times New Roman" w:hAnsi="Times New Roman"/>
          <w:sz w:val="24"/>
        </w:rPr>
        <w:t xml:space="preserve"> </w:t>
      </w:r>
      <m:oMath>
        <m:r>
          <m:t>i</m:t>
        </m:r>
      </m:oMath>
      <w:r>
        <w:rPr>
          <w:rFonts w:ascii="Times New Roman" w:hAnsi="Times New Roman"/>
          <w:sz w:val="24"/>
        </w:rPr>
        <w:t xml:space="preserve">-th candidate blob predicted by Find, and let</w:t>
      </w:r>
      <w:r>
        <w:rPr>
          <w:rFonts w:ascii="Times New Roman" w:hAnsi="Times New Roman"/>
          <w:sz w:val="24"/>
        </w:rPr>
        <w:t xml:space="preserve"> </w:t>
      </w:r>
      <m:oMath>
        <m:sSub>
          <m:e>
            <m:r>
              <m:t>G</m:t>
            </m:r>
          </m:e>
          <m:sub>
            <m:r>
              <m:t>j</m:t>
            </m:r>
          </m:sub>
        </m:sSub>
      </m:oMath>
      <w:r>
        <w:rPr>
          <w:rFonts w:ascii="Times New Roman" w:hAnsi="Times New Roman"/>
          <w:sz w:val="24"/>
        </w:rPr>
        <w:t xml:space="preserve"> </w:t>
      </w:r>
      <w:r>
        <w:rPr>
          <w:rFonts w:ascii="Times New Roman" w:hAnsi="Times New Roman"/>
          <w:sz w:val="24"/>
        </w:rPr>
        <w:t xml:space="preserve">denote the ground-truth ligand region of instance</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in the same PDB entry. Their bidirectional coverage is defined as:</w:t>
      </w:r>
    </w:p>
    <w:p>
      <w:pPr>
        <w:pStyle w:val="BodyText"/>
        <w:keepLines/>
        <w:spacing w:line="240" w:lineRule="auto" w:before="180" w:after="220"/>
        <w:ind w:firstLine="0"/>
        <w:jc w:val="center"/>
      </w:pPr>
      <m:oMathPara>
        <m:oMathParaPr>
          <m:jc m:val="center"/>
        </m:oMathParaPr>
        <m:oMath>
          <m:sSubSup>
            <m:e>
              <m:r>
                <m:t>c</m:t>
              </m:r>
            </m:e>
            <m:sub>
              <m:r>
                <m:t>i</m:t>
              </m:r>
              <m:r>
                <m:t>j</m:t>
              </m:r>
            </m:sub>
            <m:sup>
              <m:r>
                <m:t>B</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B</m:t>
                  </m:r>
                </m:e>
                <m:sub>
                  <m:r>
                    <m:t>i</m:t>
                  </m:r>
                </m:sub>
              </m:sSub>
              <m:r>
                <m:rPr>
                  <m:sty m:val="p"/>
                </m:rPr>
                <m:t>|</m:t>
              </m:r>
            </m:den>
          </m:f>
          <m:r>
            <m:rPr>
              <m:sty m:val="p"/>
            </m:rPr>
            <m:t>,</m:t>
          </m:r>
          <m:r>
            <m:t>  </m:t>
          </m:r>
          <m:sSubSup>
            <m:e>
              <m:r>
                <m:t>c</m:t>
              </m:r>
            </m:e>
            <m:sub>
              <m:r>
                <m:t>i</m:t>
              </m:r>
              <m:r>
                <m:t>j</m:t>
              </m:r>
            </m:sub>
            <m:sup>
              <m:r>
                <m:t>G</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G</m:t>
                  </m:r>
                </m:e>
                <m:sub>
                  <m:r>
                    <m:t>j</m:t>
                  </m:r>
                </m:sub>
              </m:sSub>
              <m:r>
                <m:rPr>
                  <m:sty m:val="p"/>
                </m:rPr>
                <m:t>|</m:t>
              </m:r>
            </m:den>
          </m:f>
          <m:r>
            <m:rPr>
              <m:sty m:val="p"/>
            </m:rPr>
            <m:t>,</m:t>
          </m:r>
        </m:oMath>
      </m:oMathPara>
    </w:p>
    <w:p>
      <w:pPr>
        <w:pStyle w:val="FirstParagraph"/>
        <w:spacing w:line="480" w:lineRule="auto" w:after="120"/>
        <w:ind w:firstLine="480"/>
      </w:pPr>
      <w:r>
        <w:rPr>
          <w:rFonts w:ascii="Times New Roman" w:hAnsi="Times New Roman"/>
          <w:sz w:val="24"/>
        </w:rPr>
        <w:t xml:space="preserve">where</w:t>
      </w:r>
      <w:r>
        <w:rPr>
          <w:rFonts w:ascii="Times New Roman" w:hAnsi="Times New Roman"/>
          <w:sz w:val="24"/>
        </w:rPr>
        <w:t xml:space="preserve"> </w:t>
      </w:r>
      <m:oMath>
        <m:sSubSup>
          <m:e>
            <m:r>
              <m:t>c</m:t>
            </m:r>
          </m:e>
          <m:sub>
            <m:r>
              <m:t>i</m:t>
            </m:r>
            <m:r>
              <m:t>j</m:t>
            </m:r>
          </m:sub>
          <m:sup>
            <m:r>
              <m:t>B</m:t>
            </m:r>
          </m:sup>
        </m:sSubSup>
      </m:oMath>
      <w:r>
        <w:rPr>
          <w:rFonts w:ascii="Times New Roman" w:hAnsi="Times New Roman"/>
          <w:sz w:val="24"/>
        </w:rPr>
        <w:t xml:space="preserve"> </w:t>
      </w:r>
      <w:r>
        <w:rPr>
          <w:rFonts w:ascii="Times New Roman" w:hAnsi="Times New Roman"/>
          <w:sz w:val="24"/>
        </w:rPr>
        <w:t xml:space="preserve">is the fraction of the blob covered by the ground-truth ligand region, and</w:t>
      </w:r>
      <w:r>
        <w:rPr>
          <w:rFonts w:ascii="Times New Roman" w:hAnsi="Times New Roman"/>
          <w:sz w:val="24"/>
        </w:rPr>
        <w:t xml:space="preserve"> </w:t>
      </w:r>
      <m:oMath>
        <m:sSubSup>
          <m:e>
            <m:r>
              <m:t>c</m:t>
            </m:r>
          </m:e>
          <m:sub>
            <m:r>
              <m:t>i</m:t>
            </m:r>
            <m:r>
              <m:t>j</m:t>
            </m:r>
          </m:sub>
          <m:sup>
            <m:r>
              <m:t>G</m:t>
            </m:r>
          </m:sup>
        </m:sSubSup>
      </m:oMath>
      <w:r>
        <w:rPr>
          <w:rFonts w:ascii="Times New Roman" w:hAnsi="Times New Roman"/>
          <w:sz w:val="24"/>
        </w:rPr>
        <w:t xml:space="preserve"> </w:t>
      </w:r>
      <w:r>
        <w:rPr>
          <w:rFonts w:ascii="Times New Roman" w:hAnsi="Times New Roman"/>
          <w:sz w:val="24"/>
        </w:rPr>
        <w:t xml:space="preserve">is the fraction of the ground-truth ligand region covered by the blob. For each candidate blob</w:t>
      </w:r>
      <w:r>
        <w:rPr>
          <w:rFonts w:ascii="Times New Roman" w:hAnsi="Times New Roman"/>
          <w:sz w:val="24"/>
        </w:rPr>
        <w:t xml:space="preserve"> </w:t>
      </w:r>
      <m:oMath>
        <m:sSub>
          <m:e>
            <m:r>
              <m:t>B</m:t>
            </m:r>
          </m:e>
          <m:sub>
            <m:r>
              <m:t>i</m:t>
            </m:r>
          </m:sub>
        </m:sSub>
      </m:oMath>
      <w:r>
        <w:rPr>
          <w:rFonts w:ascii="Times New Roman" w:hAnsi="Times New Roman"/>
          <w:sz w:val="24"/>
        </w:rPr>
        <w:t xml:space="preserve">, the indices of ground-truth instances meeting a bidirectional coverage threshold of 0.30 are collected into the set:</w:t>
      </w:r>
    </w:p>
    <w:p>
      <w:pPr>
        <w:pStyle w:val="BodyText"/>
        <w:keepLines/>
        <w:spacing w:line="240" w:lineRule="auto" w:before="180" w:after="220"/>
        <w:ind w:firstLine="0"/>
        <w:jc w:val="center"/>
      </w:pPr>
      <m:oMathPara>
        <m:oMathParaPr>
          <m:jc m:val="center"/>
        </m:oMathParaPr>
        <m:oMath>
          <m:sSub>
            <m:e>
              <m:r>
                <m:rPr>
                  <m:scr m:val="script"/>
                  <m:sty m:val="p"/>
                </m:rPr>
                <m:t>J</m:t>
              </m:r>
            </m:e>
            <m:sub>
              <m:r>
                <m:t>i</m:t>
              </m:r>
            </m:sub>
          </m:sSub>
          <m:r>
            <m:rPr>
              <m:sty m:val="p"/>
            </m:rPr>
            <m:t>=</m:t>
          </m:r>
          <m:d>
            <m:dPr>
              <m:begChr m:val="{"/>
              <m:sepChr m:val=""/>
              <m:endChr m:val="}"/>
              <m:grow/>
            </m:dPr>
            <m:e>
              <m:r>
                <m:t>j</m:t>
              </m:r>
              <m:r>
                <m:rPr>
                  <m:sty m:val="p"/>
                </m:rPr>
                <m:t>:</m:t>
              </m:r>
              <m:sSubSup>
                <m:e>
                  <m:r>
                    <m:t>c</m:t>
                  </m:r>
                </m:e>
                <m:sub>
                  <m:r>
                    <m:t>i</m:t>
                  </m:r>
                  <m:r>
                    <m:t>j</m:t>
                  </m:r>
                </m:sub>
                <m:sup>
                  <m:r>
                    <m:t>B</m:t>
                  </m:r>
                </m:sup>
              </m:sSubSup>
              <m:r>
                <m:rPr>
                  <m:sty m:val="p"/>
                </m:rPr>
                <m:t>≥</m:t>
              </m:r>
              <m:r>
                <m:t>0.30</m:t>
              </m:r>
              <m:r>
                <m:t> </m:t>
              </m:r>
              <m:r>
                <m:rPr>
                  <m:sty m:val="p"/>
                </m:rPr>
                <m:t>∧</m:t>
              </m:r>
              <m:r>
                <m:t> </m:t>
              </m:r>
              <m:sSubSup>
                <m:e>
                  <m:r>
                    <m:t>c</m:t>
                  </m:r>
                </m:e>
                <m:sub>
                  <m:r>
                    <m:t>i</m:t>
                  </m:r>
                  <m:r>
                    <m:t>j</m:t>
                  </m:r>
                </m:sub>
                <m:sup>
                  <m:r>
                    <m:t>G</m:t>
                  </m:r>
                </m:sup>
              </m:sSubSup>
              <m:r>
                <m:rPr>
                  <m:sty m:val="p"/>
                </m:rPr>
                <m:t>≥</m:t>
              </m:r>
              <m:r>
                <m:t>0.30</m:t>
              </m:r>
            </m:e>
          </m:d>
          <m:r>
            <m:rPr>
              <m:sty m:val="p"/>
            </m:rPr>
            <m:t>.</m:t>
          </m:r>
        </m:oMath>
      </m:oMathPara>
    </w:p>
    <w:p>
      <w:pPr>
        <w:pStyle w:val="FirstParagraph"/>
        <w:spacing w:line="480" w:lineRule="auto" w:after="120"/>
        <w:ind w:firstLine="480"/>
      </w:pPr>
      <w:r>
        <w:rPr>
          <w:rFonts w:ascii="Times New Roman" w:hAnsi="Times New Roman"/>
          <w:sz w:val="24"/>
        </w:rPr>
        <w:t xml:space="preserve">A candidate blob</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ascii="Times New Roman" w:hAnsi="Times New Roman"/>
          <w:sz w:val="24"/>
        </w:rPr>
        <w:t xml:space="preserve">is labeled as foreground if</w:t>
      </w:r>
      <w:r>
        <w:rPr>
          <w:rFonts w:ascii="Times New Roman" w:hAnsi="Times New Roman"/>
          <w:sz w:val="24"/>
        </w:rPr>
        <w:t xml:space="preserve"> </w:t>
      </w:r>
      <m:oMath>
        <m:sSub>
          <m:e>
            <m:r>
              <m:rPr>
                <m:scr m:val="script"/>
                <m:sty m:val="p"/>
              </m:rPr>
              <m:t>J</m:t>
            </m:r>
          </m:e>
          <m:sub>
            <m:r>
              <m:t>i</m:t>
            </m:r>
          </m:sub>
        </m:sSub>
      </m:oMath>
      <w:r>
        <w:rPr>
          <w:rFonts w:ascii="Times New Roman" w:hAnsi="Times New Roman"/>
          <w:sz w:val="24"/>
        </w:rPr>
        <w:t xml:space="preserve"> </w:t>
      </w:r>
      <w:r>
        <w:rPr>
          <w:rFonts w:ascii="Times New Roman" w:hAnsi="Times New Roman"/>
          <w:sz w:val="24"/>
        </w:rPr>
        <w:t xml:space="preserve">is non-empty (i.e. sharing at least 30% bidirectional coverage with a ground-truth ligand); otherwise, it is labeled as background. For each foreground blob, we assign a unique ground-truth ligand instance by maximising the geometric mean of the two coverage fractions:</w:t>
      </w:r>
    </w:p>
    <w:p>
      <w:pPr>
        <w:pStyle w:val="BodyText"/>
        <w:keepLines/>
        <w:spacing w:line="240" w:lineRule="auto" w:before="180" w:after="220"/>
        <w:ind w:firstLine="0"/>
        <w:jc w:val="center"/>
      </w:pPr>
      <m:oMathPara>
        <m:oMathParaPr>
          <m:jc m:val="center"/>
        </m:oMathParaPr>
        <m:oMath>
          <m:sSubSup>
            <m:e>
              <m:r>
                <m:t>j</m:t>
              </m:r>
            </m:e>
            <m:sub>
              <m:r>
                <m:t>i</m:t>
              </m:r>
            </m:sub>
            <m:sup>
              <m:r>
                <m:rPr>
                  <m:sty m:val="p"/>
                </m:rPr>
                <m:t>*</m:t>
              </m:r>
            </m:sup>
          </m:sSubSup>
          <m:r>
            <m:rPr>
              <m:sty m:val="p"/>
            </m:rPr>
            <m:t>=</m:t>
          </m:r>
          <m:limLow>
            <m:e>
              <m:r>
                <m:rPr>
                  <m:sty m:val="p"/>
                </m:rPr>
                <m:t>arg</m:t>
              </m:r>
              <m:r>
                <m:rPr>
                  <m:sty m:val="p"/>
                </m:rPr>
                <m:t>max</m:t>
              </m:r>
            </m:e>
            <m:lim>
              <m:r>
                <m:t>j</m:t>
              </m:r>
              <m:r>
                <m:rPr>
                  <m:sty m:val="p"/>
                </m:rPr>
                <m:t>∈</m:t>
              </m:r>
              <m:sSub>
                <m:e>
                  <m:r>
                    <m:rPr>
                      <m:scr m:val="script"/>
                      <m:sty m:val="p"/>
                    </m:rPr>
                    <m:t>J</m:t>
                  </m:r>
                </m:e>
                <m:sub>
                  <m:r>
                    <m:t>i</m:t>
                  </m:r>
                </m:sub>
              </m:sSub>
            </m:lim>
          </m:limLow>
          <m:r>
            <m:t> </m:t>
          </m:r>
          <m:rad>
            <m:radPr>
              <m:degHide m:val="on"/>
            </m:radPr>
            <m:deg/>
            <m:e>
              <m:sSubSup>
                <m:e>
                  <m:r>
                    <m:t>c</m:t>
                  </m:r>
                </m:e>
                <m:sub>
                  <m:r>
                    <m:t>i</m:t>
                  </m:r>
                  <m:r>
                    <m:t>j</m:t>
                  </m:r>
                </m:sub>
                <m:sup>
                  <m:r>
                    <m:t>B</m:t>
                  </m:r>
                </m:sup>
              </m:sSubSup>
              <m:sSubSup>
                <m:e>
                  <m:r>
                    <m:t>c</m:t>
                  </m:r>
                </m:e>
                <m:sub>
                  <m:r>
                    <m:t>i</m:t>
                  </m:r>
                  <m:r>
                    <m:t>j</m:t>
                  </m:r>
                </m:sub>
                <m:sup>
                  <m:r>
                    <m:t>G</m:t>
                  </m:r>
                </m:sup>
              </m:sSubSup>
            </m:e>
          </m:rad>
          <m:r>
            <m:rPr>
              <m:sty m:val="p"/>
            </m:rPr>
            <m:t>.</m:t>
          </m:r>
        </m:oMath>
      </m:oMathPara>
    </w:p>
    <w:p>
      <w:pPr>
        <w:pStyle w:val="FirstParagraph"/>
        <w:spacing w:line="480" w:lineRule="auto" w:after="120"/>
        <w:ind w:firstLine="480"/>
      </w:pPr>
      <w:r>
        <w:rPr>
          <w:rFonts w:ascii="Times New Roman" w:hAnsi="Times New Roman"/>
          <w:sz w:val="24"/>
        </w:rPr>
        <w:t xml:space="preserve">The SMILES string of this instance defines the ground-truth ligand identity for</w:t>
      </w:r>
      <w:r>
        <w:rPr>
          <w:rFonts w:ascii="Times New Roman" w:hAnsi="Times New Roman"/>
          <w:sz w:val="24"/>
        </w:rPr>
        <w:t xml:space="preserve"> </w:t>
      </w:r>
      <m:oMath>
        <m:sSub>
          <m:e>
            <m:r>
              <m:t>B</m:t>
            </m:r>
          </m:e>
          <m:sub>
            <m:r>
              <m:t>i</m:t>
            </m:r>
          </m:sub>
        </m:sSub>
      </m:oMath>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After training LigandSeek-Find, we used it to run inference with deposited receptors on 1,650 training and 200 validation PDB entries. The resulting candidate blobs and associated auxiliary features formed the training and validation sets for Match.</w:t>
      </w:r>
    </w:p>
    <w:p>
      <w:pPr>
        <w:pStyle w:val="BodyText"/>
        <w:spacing w:line="480" w:lineRule="auto" w:after="120"/>
        <w:ind w:firstLine="480"/>
      </w:pPr>
      <w:r>
        <w:rPr>
          <w:rFonts w:ascii="Times New Roman" w:hAnsi="Times New Roman"/>
          <w:sz w:val="24"/>
        </w:rPr>
        <w:t xml:space="preserve">We also ran inference with LigandSeek-Find on the 179 test PDB entries using both deposited and CryoAtom2-reconstructed receptors. These conditions yielded 1,238 and 1,160 blobs defined as foreground blobs with corresponding parsable ligands, alongside 413 and 489 false-positive blobs, respectively. The Match test set incorporated all these candidate blobs without manual pre-filtering, ensuring that the benchmark accurately reflected real-world pipeline performance.</w:t>
      </w:r>
    </w:p>
    <w:p>
      <w:pPr>
        <w:pStyle w:val="BodyText"/>
        <w:spacing w:line="480" w:lineRule="auto" w:after="120"/>
        <w:ind w:firstLine="480"/>
      </w:pPr>
      <w:r>
        <w:rPr>
          <w:rFonts w:ascii="Times New Roman" w:hAnsi="Times New Roman"/>
          <w:sz w:val="24"/>
        </w:rPr>
        <w:t xml:space="preserve">We refer to the main model, which integrates the full voxel features, pocket context and auxiliary information, as strongest. The full voxel features comprise the 56-channel multi-view density bank and 50-dimensional receptor-atom features scattered onto the voxel grid. For comparison, we trained three ablation models under identical protocols: voxel-only (using only the full voxel features), density-only (using only the experimental density), and pocket-only (using only the pocket information).</w:t>
      </w:r>
    </w:p>
    <w:bookmarkEnd w:id="31"/>
    <w:bookmarkStart w:id="38" w:name="stage-2-results"/>
    <w:p>
      <w:pPr>
        <w:pStyle w:val="Heading3"/>
        <w:keepNext/>
        <w:spacing w:line="480" w:lineRule="auto"/>
        <w:ind w:firstLine="0"/>
      </w:pPr>
      <w:r>
        <w:rPr>
          <w:rFonts w:ascii="Times New Roman" w:hAnsi="Times New Roman"/>
          <w:sz w:val="24"/>
        </w:rPr>
        <w:t xml:space="preserve">Stage 2: Results</w:t>
      </w:r>
    </w:p>
    <w:p>
      <w:pPr>
        <w:pStyle w:val="CaptionedFigure"/>
        <w:keepNext/>
        <w:spacing w:line="240" w:lineRule="auto" w:before="0" w:after="0"/>
        <w:ind w:firstLine="0"/>
        <w:jc w:val="center"/>
      </w:pPr>
      <w:r>
        <w:rPr>
          <w:rFonts w:ascii="Times New Roman" w:hAnsi="Times New Roman"/>
          <w:sz w:val="24"/>
        </w:rPr>
        <w:drawing>
          <wp:inline>
            <wp:extent cx="5733415" cy="5744663"/>
            <wp:effectExtent b="0" l="0" r="0" t="0"/>
            <wp:docPr descr="Fig. 6 | Foreground F1 and ligand identity matching accuracy of each model with deposited receptors (a) and CryoAtom2-reconstructed receptors (b). Clockwise from the top, the six axes show overall SMILES, small molecules, sugars, foreground F1, metal ions and peptides. Radial values range from 20% to 100%. With deposited receptors, 1,651 candidates require classification and matching, of which 1,238 are foreground. These comprise 389 small molecules, 284 sugars, 564 metal ions and 1 peptide. With CryoAtom2-reconstructed receptors, 1,649 candidates require classification and matching, of which 1,160 are foreground. These comprise 348 small molecules, 277 sugars, 534 metal ions and 1 peptide. Peptides account for only 0.08% of ligand instances in the full dataset; this rare category was not additionally enriched, resulting in a single peptide test case. Diamonds indicate EMERALD-ID accuracy on an independent small-molecule test set, averaged only over sites returning valid predictions. Predictions were returned at 282 sites with deposited receptors and 313 sites with CryoAtom2-reconstructed receptors." title="MDPPTFIG_eJzVVltvHDUU_itHK1WiYrOz9yRDqRRtElQpraK0iAcGRY7Hu2Nlxja2Z2e3lFcQQkhIIF5AvMIL_AAq2j9DLz-Dc8azl95oRcUDkTZzbB9_5zsXH_uzlmE-a8XQevL9_Uc_PoicZzPRf3L_u8c__3T-6OGfT3_5ov9u_68HXz_67duOMX7RakPLCqfzuUhp3yROkg-dsC5JeqP93n6SHAp36bVJkqe___H4hy-ffvPVk18fJkkwkCRvZEGxQhB6UN6xLGV2xzBpaZEz46VW5wWzl6VBtY9b16rYwKLIlYur95NW5r2Jo8jxTBTMdbQRChen2hbM49DOokrb1FjNhXNSzYo86ne746hgUiWt64R2auvPbb_MBVTxnOWIe6NAOpNgnvSilQbpXgphTqQSrp7fGlWxM4yjGcTJcQqB-sNu0mqGZ2VOU6z0usFs1GmnVCmqTaV1_iRs7TZKuBIIBKbhXyMfa-Ud7mOOS4l77shCOLglKjjTBVO16exAuZeu1agBgsAu6vFFLU6Cb_UXad5dB6Y_XFG_G7YHIp5yUrtDzA3WjbBzgarHctaBMdyDY23FzOoS3TzuAcNPLmf0kalQXvolYMp4RsFjnJeW8SXoKQjGMyh0KnKopM8gFUY76UUKVnBhvLYO3mFXa8CJXeoDrwssI8G1ct6W_DnNi6sdYu0D9_80nG8RNPgfcJzkml9W0gmYWl2AzwRgL2jXgpMLYAu07DJdgZ4Ly_Icbt-8cXJ0uw2uoFGhc8HxQDicKGfM4ne6XSJtKIRnOeABdHV2DeYQa8V14IylEleQd4k2LFOzhkS_ewVJQK_bvdKBj15RLm3otcejHnAElSnzBCE-LaUVwHOGXWIqOaNzX1tdFWWbirHKJFZjr90f7AFD_Q3hDtzJMDTAdWEsBWWwt_-io_294drZ0Xj4vIe9lY8N-dfWc-3KcP9tXOmNu691Zbj3Eld2dzeuDP7JldMmb3SsEd-TKdAqX0K30927QmRWnQBdZAo7NUp1HU1LNIp-MSf8ezgjKdvkHLo603YJFXOgtAeWppL8RJJLEMqibyJtYzBcmXtqKQjIgC4A7PENM8BweYRyyPFQskKrlAynFDIBRzePzg5ODnduHG61I4ojqQi8ZqhrhbDsrMISEJFrGxjV_AxzVTtKJwCoDCk_vrSKKGH5SqxqK9AiccfCPt0MoBLoaNBGGOaxePoNxisbIQVx0Btsq722hp7th3TNXG99gnfv-s5tjXYHg2FvtBjtDofj8eDeNSN5jL_mGmZvdA2nllUv3L8NAmL9GwzchtERaxj7RiB6iodCHGpeFpjBgGRFXh8Tl0njqA2Sh2p-Kjk1QRrwW_NTizF3nKxM4qh-CUX1Qyhq3kHR9jMo8qIw6KYqcYs0_nwqZ0jWnadyf09Vd5dRmDjv0t-4Y9QMHZEpog-wEwO9i1A-XfmIqVnz2FAKBBlF8ATbMR2GSUb98MBaXWWCpQ5BeoS3WnBGcB8mEXOzdctAQI1eCMJFLs2xzHOySHK9PwgsxsoS2F9InKLOGVqp158ZrJWiZ_Fo5PB9AxfVTbzrtx5JLF5MbUFfTBwswrMIluvnUT1Py2KBh5nWm3JFLb6sh3XVNsqoVX9XoAafWx8IvDpIQG08Fj6YZfMTF3Q30kqb1pUO1KONyOJcAb1K90f9UUB5qRbl5ah-1G3JLPZM5qvpbTlXTbycWecFf9dbn_8NPjwtFg" id="33" name="Picture"/>
            <a:graphic>
              <a:graphicData uri="http://schemas.openxmlformats.org/drawingml/2006/picture">
                <pic:pic>
                  <pic:nvPicPr>
                    <pic:cNvPr descr="C:/Users/15919/Desktop/论文草稿/temp/manuscript_figures_di98nwzy/figure_000006.png" id="34" name="Picture"/>
                    <pic:cNvPicPr>
                      <a:picLocks noChangeArrowheads="1" noChangeAspect="1"/>
                    </pic:cNvPicPr>
                  </pic:nvPicPr>
                  <pic:blipFill>
                    <a:blip r:embed="rId32"/>
                    <a:stretch>
                      <a:fillRect/>
                    </a:stretch>
                  </pic:blipFill>
                  <pic:spPr bwMode="auto">
                    <a:xfrm>
                      <a:off x="0" y="0"/>
                      <a:ext cx="5733415" cy="5744663"/>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6 | Foreground F1 and ligand identity matching accuracy of each model with deposited receptors (a) and CryoAtom2-reconstructed receptors (b).</w:t>
      </w:r>
      <w:r>
        <w:rPr>
          <w:rFonts w:ascii="Times New Roman" w:hAnsi="Times New Roman"/>
          <w:sz w:val="24"/>
        </w:rPr>
        <w:t xml:space="preserve"> </w:t>
      </w:r>
      <w:r>
        <w:rPr>
          <w:rFonts w:ascii="Times New Roman" w:hAnsi="Times New Roman"/>
          <w:sz w:val="24"/>
        </w:rPr>
        <w:t xml:space="preserve">Clockwise from the top, the six axes show overall SMILES, small molecules, sugars, foreground F1, metal ions and peptides. Radial values range from 20% to 100%. With deposited receptors, 1,651 candidates require classification and matching, of which 1,238 are foreground. These comprise 389 small molecules, 284 sugars, 564 metal ions and 1 peptide. With CryoAtom2-reconstructed receptors, 1,649 candidates require classification and matching, of which 1,160 are foreground. These comprise 348 small molecules, 277 sugars, 534 metal ions and 1 peptide. Peptides account for only 0.08% of ligand instances in the full dataset; this rare category was not additionally enriched, resulting in a single peptide test case. Diamonds indicate EMERALD-ID accuracy on an independent small-molecule test set, averaged only over sites returning valid predictions. Predictions were returned at 282 sites with deposited receptors and 313 sites with CryoAtom2-reconstructed receptors.</w:t>
      </w:r>
    </w:p>
    <w:p>
      <w:pPr>
        <w:pStyle w:val="BodyText"/>
        <w:spacing w:line="480" w:lineRule="auto" w:after="120"/>
        <w:ind w:firstLine="480"/>
      </w:pPr>
      <w:r>
        <w:rPr>
          <w:rStyle w:val="MDFIGREF_eJyrrk7LTC9KTbMqLklMTzXSLUpMSSzSLUjMLKpJrK0FALa-C9E"/>
          <w:rFonts w:ascii="Times New Roman" w:hAnsi="Times New Roman"/>
          <w:sz w:val="24"/>
        </w:rPr>
        <w:t xml:space="preserve">Fig. 6a</w:t>
      </w:r>
      <w:r>
        <w:rPr>
          <w:rFonts w:ascii="Times New Roman" w:hAnsi="Times New Roman"/>
          <w:sz w:val="24"/>
        </w:rPr>
        <w:t xml:space="preserve"> </w:t>
      </w:r>
      <w:r>
        <w:rPr>
          <w:rFonts w:ascii="Times New Roman" w:hAnsi="Times New Roman"/>
          <w:sz w:val="24"/>
        </w:rPr>
        <w:t xml:space="preserve">shows false-positive detection and ligand identity matching for four model variants with deposited receptors.</w:t>
      </w:r>
      <w:r>
        <w:rPr>
          <w:rFonts w:ascii="Times New Roman" w:hAnsi="Times New Roman"/>
          <w:sz w:val="24"/>
        </w:rPr>
        <w:t xml:space="preserve"> </w:t>
      </w:r>
      <w:r>
        <w:rPr>
          <w:rStyle w:val="MDFIGREF_eJyrrk7LTC9KTbMqLklMTzXSLUpMSSzSLUjMLKpJqq0FALbBC9I"/>
          <w:rFonts w:ascii="Times New Roman" w:hAnsi="Times New Roman"/>
          <w:sz w:val="24"/>
        </w:rPr>
        <w:t xml:space="preserve">Fig. 6b</w:t>
      </w:r>
      <w:r>
        <w:rPr>
          <w:rFonts w:ascii="Times New Roman" w:hAnsi="Times New Roman"/>
          <w:sz w:val="24"/>
        </w:rPr>
        <w:t xml:space="preserve"> </w:t>
      </w:r>
      <w:r>
        <w:rPr>
          <w:rFonts w:ascii="Times New Roman" w:hAnsi="Times New Roman"/>
          <w:sz w:val="24"/>
        </w:rPr>
        <w:t xml:space="preserve">shows the corresponding false-positive detection and identity matching results with CryoAtom2-reconstructed receptors. We treated each candidate blob as one sample and computed foreground F1 and ligand identity matching accuracy across blobs. We also calculated matching accuracy separately for small molecules, metal ions, sugars and peptides.</w:t>
      </w:r>
    </w:p>
    <w:p>
      <w:pPr>
        <w:pStyle w:val="BodyText"/>
        <w:spacing w:line="480" w:lineRule="auto" w:after="120"/>
        <w:ind w:firstLine="480"/>
      </w:pPr>
      <w:r>
        <w:rPr>
          <w:rFonts w:ascii="Times New Roman" w:hAnsi="Times New Roman"/>
          <w:sz w:val="24"/>
        </w:rPr>
        <w:t xml:space="preserve">With deposited receptors, strongest achieved an overall matching accuracy of 87.8% and a foreground F1 of 86.0%. Matching accuracy was 92.5% for small molecules and 93.1% for metal ions, both exceeding the 70.8% (201/284) achieved for sugars. The voxel-only model achieved a foreground F1 of 84.1% and an overall matching accuracy of 83.7%. Its matching accuracy was slightly lower than that of strongest (87.8%) but substantially higher than those of density-only (78.6%) and pocket-only (79.4%). These comparisons indicated that the full voxel feature set contributed substantially to ligand discrimination.</w:t>
      </w:r>
    </w:p>
    <w:p>
      <w:pPr>
        <w:pStyle w:val="BodyText"/>
        <w:spacing w:line="480" w:lineRule="auto" w:after="120"/>
        <w:ind w:firstLine="480"/>
      </w:pPr>
      <w:r>
        <w:rPr>
          <w:rFonts w:ascii="Times New Roman" w:hAnsi="Times New Roman"/>
          <w:sz w:val="24"/>
        </w:rPr>
        <w:t xml:space="preserve">With CryoAtom2-reconstructed receptors, strongest still achieved 86.6% overall matching accuracy and a foreground F1 of 82.9%, which showed no marked decline for any of the four models. By contrast, Find showed a little reduction in ligand localisation performance</w:t>
      </w:r>
      <w:r>
        <w:rPr>
          <w:rFonts w:ascii="Times New Roman" w:hAnsi="Times New Roman"/>
          <w:sz w:val="24"/>
        </w:rPr>
        <w:t xml:space="preserve"> </w:t>
      </w:r>
      <w:r>
        <w:rPr>
          <w:rFonts w:ascii="Times New Roman" w:hAnsi="Times New Roman"/>
          <w:sz w:val="24"/>
        </w:rPr>
        <w:t xml:space="preserve">(</w:t>
      </w:r>
      <w:r>
        <w:rPr>
          <w:rStyle w:val="MDFIGREF_eJyrrk7LTC9KTbMqLklMTzXUzU3MzNMtzqwoSMxLzalJ1EmqrQUA9wANsQ"/>
          <w:rFonts w:ascii="Times New Roman" w:hAnsi="Times New Roman"/>
          <w:sz w:val="24"/>
        </w:rPr>
        <w:t xml:space="preserve">Fig. 3a, 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Match was therefore more robust to the change in receptor source.</w:t>
      </w:r>
    </w:p>
    <w:p>
      <w:pPr>
        <w:pStyle w:val="CaptionedFigure"/>
        <w:keepNext/>
        <w:spacing w:line="240" w:lineRule="auto" w:before="0" w:after="0"/>
        <w:ind w:firstLine="0"/>
        <w:jc w:val="center"/>
      </w:pPr>
      <w:r>
        <w:rPr>
          <w:rFonts w:ascii="Times New Roman" w:hAnsi="Times New Roman"/>
          <w:sz w:val="24"/>
        </w:rPr>
        <w:drawing>
          <wp:inline>
            <wp:extent cx="5733415" cy="5608064"/>
            <wp:effectExtent b="0" l="0" r="0" t="0"/>
            <wp:docPr descr="Fig. 7 | Ligand identity matching accuracy of strongest versus the number of candidate ligand identities, with deposited receptors (a) and CryoAtom2-reconstructed receptors (b). With deposited receptors, groups with 1, 2, 3, 4 and ≥5 competing ligand identities contain 419, 459, 113, 85 and 162 sites, respectively. With CryoAtom2-reconstructed receptors, the corresponding groups contain 413, 443, 91, 63 and 150 sites, respectively. One candidate identity means that all candidate regions belongs to a PDB entry containing only one ligand identity, so accuracy is naturally 100%." title="MDPPTFIG_eJzVVl9vIzUQ_yqjlZA4kWaTNGmb1VGppBw6qRxVAfHAosrxOonVXduynWxSjlfQCSEhgXgB8YbgBT4AJ-6-C6LXfgxm1ps_vRZRgXgg0u6OPb_5zdgz9uTjyDA_iRKILr9-evHts9h5Nhady6dfvfj-u9OL579d_fhp57XOH88-v_j5y6Yxfh41ILLC6XwmMrIbJGn6vhPWpWm712_30_RQuDOvTZpe_fLri28-u_riyeVPz9M0OEjTO3lQrBDEHsBbzlutxsL5LcOkJQBnxkutTgtmz6YGoR9G98vEwLzIlUvK19No4r1J4tjxiSiYa2ojFCpH2hbM49CO41LbzFjNhXNSjYs87rRaO3HBpEqjfWI7ttXnXb_IBZTJjOXI-7DAkAbBPeHiJYKwZ0KYI6mEq-Y3RmXiDOPoBnlynEKiTreVRvXwZJrTFJt6XXPWcLKUKkPYSFrnj4JpqwahJgQQIg2vWn6glXdoxxyXEm3ek4Vw8EiUcKILpirXkwPlbtVVrIGCyIbVeFiJg7C26othnq82ptNdhn4ezEMgnnJSLYciN1g7ws4EQh_IcRN24TEcyTHDJcpMKC_9AjBBfEJbxTifWsYXoEewKgGYYbFNHfiJADUthsKSmiODzJgXkF9jk8I1oJR-Apkw2kkvMrCCC-O1dfAquwcEHtiFPvC66GyhTiv0NeUvIYf3mrQoH5b2n-72v9hT-B_E-MFfZKMBY6unxoV0tRvQacB2A7pVhn5_8kMPuC6M8FQZN5KMOuXx5EK33UebHr7abbTe61Xm7Z0OkDt0goEYwb2ciXzRhCqYv01_o6o2ri0Za6w0DKEOdu2XYu3iq4-h72wHt73W7W7fUWKjZNeVL5iiymYeWJ5vIKwY43XjYChyPAUI0cDg-PANQEO7WAZBYWmV43lRL5-DRQOcXh8o6UAxj3KO6Har9cr14qYrZT_6CO_Z1f0a9Xa3t7vt3ry309pr7XQf3zeSJ_jUVy6705WbWVbeuGtrBuT6JxxohgsRKxp7JxI9GkkuDjWfFrg_gcmKnNGt7ibSOKppWqGaHUtOFU0D_mh2bLF2HScvgySuOl9cNb647nvxZtuLvSgMLlNN0UQafzqSYwzWnWayv6fK80UcJk5b9NttGjXGhcgM2bd3UaI-iPLxco2YmlUc65BCgIx28EjzM8ytHkwY3pYH1upyIljmkKRNfEtFVYxhEjnXphsOAmt8YxOGuTQPZJ6TR5Ir-yCwBM-OwNubxBFiTtBLpb82WIHi63w0ctjLYFi-rbPNhsiS-cgW9MXEwTy0QFisWmE1T2ox98BJX5crojjB6qqtwYiqvktSg631LaELIAHRePB9cMtmRy5g19ISTXqlQ-jxWmRJroD-gfR7nV5guRVFeXmzauAbMkvwIOfL6U05V_V-ObPKCz770Sd_AiWjcVQ" id="36" name="Picture"/>
            <a:graphic>
              <a:graphicData uri="http://schemas.openxmlformats.org/drawingml/2006/picture">
                <pic:pic>
                  <pic:nvPicPr>
                    <pic:cNvPr descr="C:/Users/15919/Desktop/论文草稿/temp/manuscript_figures_di98nwzy/figure_000007.png" id="37" name="Picture"/>
                    <pic:cNvPicPr>
                      <a:picLocks noChangeArrowheads="1" noChangeAspect="1"/>
                    </pic:cNvPicPr>
                  </pic:nvPicPr>
                  <pic:blipFill>
                    <a:blip r:embed="rId35"/>
                    <a:stretch>
                      <a:fillRect/>
                    </a:stretch>
                  </pic:blipFill>
                  <pic:spPr bwMode="auto">
                    <a:xfrm>
                      <a:off x="0" y="0"/>
                      <a:ext cx="5733415" cy="560806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7 | Ligand identity matching accuracy of strongest versus the number of candidate ligand identities, with deposited receptors (a) and CryoAtom2-reconstructed receptors (b).</w:t>
      </w:r>
      <w:r>
        <w:rPr>
          <w:rFonts w:ascii="Times New Roman" w:hAnsi="Times New Roman"/>
          <w:sz w:val="24"/>
        </w:rPr>
        <w:t xml:space="preserve"> </w:t>
      </w:r>
      <w:r>
        <w:rPr>
          <w:rFonts w:ascii="Times New Roman" w:hAnsi="Times New Roman"/>
          <w:sz w:val="24"/>
        </w:rPr>
        <w:t xml:space="preserve">With deposited receptors, groups with 1, 2, 3, 4 and ≥5 competing ligand identities contain 419, 459, 113, 85 and 162 sites, respectively. With CryoAtom2-reconstructed receptors, the corresponding groups contain 413, 443, 91, 63 and 150 sites, respectively. One candidate identity means that all candidate regions belongs to a PDB entry containing only one ligand identity, so accuracy is naturally 100%.</w:t>
      </w:r>
    </w:p>
    <w:p>
      <w:pPr>
        <w:pStyle w:val="BodyText"/>
        <w:spacing w:line="480" w:lineRule="auto" w:after="120"/>
        <w:ind w:firstLine="480"/>
      </w:pPr>
      <w:r>
        <w:rPr>
          <w:rStyle w:val="MDFIGREF_eJyrrk7LTC9KTbMqLklMTzXSLS4pys9LTy0u0S1IzCyqSdRJqq0FAAjSDj4"/>
          <w:rFonts w:ascii="Times New Roman" w:hAnsi="Times New Roman"/>
          <w:sz w:val="24"/>
        </w:rPr>
        <w:t xml:space="preserve">Fig. 7a, b</w:t>
      </w:r>
      <w:r>
        <w:rPr>
          <w:rFonts w:ascii="Times New Roman" w:hAnsi="Times New Roman"/>
          <w:sz w:val="24"/>
        </w:rPr>
        <w:t xml:space="preserve"> </w:t>
      </w:r>
      <w:r>
        <w:rPr>
          <w:rFonts w:ascii="Times New Roman" w:hAnsi="Times New Roman"/>
          <w:sz w:val="24"/>
        </w:rPr>
        <w:t xml:space="preserve">stratifies strongest’s results by the number of unique SMILES identities in each PDB entry, corresponding to the ligand identities competing for assignment to each candidate region. Identity discrimination became more difficult as the number of competing identities increased. For example, with deposited receptors, small-molecule matching accuracy fell from 94.8% in entries with two identities to 65.9% in entries with four. Nevertheless, when fewer than four identities competed, matching accuracy generally exceeded 80% across ligand categories. These cases accounted for approximately 80% of practical tasks, making Match useful for the majority of cases.</w:t>
      </w:r>
    </w:p>
    <w:p>
      <w:pPr>
        <w:pStyle w:val="BodyText"/>
        <w:spacing w:line="480" w:lineRule="auto" w:after="120"/>
        <w:ind w:firstLine="480"/>
      </w:pPr>
      <w:r>
        <w:rPr>
          <w:rFonts w:ascii="Times New Roman" w:hAnsi="Times New Roman"/>
          <w:sz w:val="24"/>
        </w:rPr>
        <w:t xml:space="preserve">Metal ions retained high matching accuracy across all groups and were easier to distinguish from other ligand identities. During identity matching, the model received no prior information about the ligand category of each candidate blob, so this likely reflects their greater chemical separability from the other ligands.</w:t>
      </w:r>
    </w:p>
    <w:p>
      <w:pPr>
        <w:pStyle w:val="BodyText"/>
        <w:spacing w:line="480" w:lineRule="auto" w:after="120"/>
        <w:ind w:firstLine="480"/>
      </w:pPr>
      <w:r>
        <w:rPr>
          <w:rFonts w:ascii="Times New Roman" w:hAnsi="Times New Roman"/>
          <w:sz w:val="24"/>
        </w:rPr>
        <w:t xml:space="preserve">We also evaluated EMERALD-ID, whose supported ligand scope is limited to small molecules. EMERALD-ID individually docks each candidate small-molecule identity at each site and then uses the resulting docking scores to infer the most likely ligand identity. Its computational complexity per PDB entry is</w:t>
      </w:r>
      <w:r>
        <w:rPr>
          <w:rFonts w:ascii="Times New Roman" w:hAnsi="Times New Roman"/>
          <w:sz w:val="24"/>
        </w:rPr>
        <w:t xml:space="preserve"> </w:t>
      </w:r>
      <m:oMath>
        <m:r>
          <m:t>O</m:t>
        </m:r>
        <m:r>
          <m:rPr>
            <m:sty m:val="p"/>
          </m:rPr>
          <m:t>(</m:t>
        </m:r>
        <m:sSub>
          <m:e>
            <m:r>
              <m:t>N</m:t>
            </m:r>
          </m:e>
          <m:sub>
            <m:r>
              <m:t>g</m:t>
            </m:r>
          </m:sub>
        </m:sSub>
        <m:r>
          <m:rPr>
            <m:sty m:val="p"/>
          </m:rPr>
          <m:t>×</m:t>
        </m:r>
        <m:r>
          <m:t>K</m:t>
        </m:r>
        <m:r>
          <m:rPr>
            <m:sty m:val="p"/>
          </m:rPr>
          <m:t>)</m:t>
        </m:r>
      </m:oMath>
      <w:r>
        <w:rPr>
          <w:rFonts w:ascii="Times New Roman" w:hAnsi="Times New Roman"/>
          <w:sz w:val="24"/>
        </w:rPr>
        <w:t xml:space="preserve">, where</w:t>
      </w:r>
      <w:r>
        <w:rPr>
          <w:rFonts w:ascii="Times New Roman" w:hAnsi="Times New Roman"/>
          <w:sz w:val="24"/>
        </w:rPr>
        <w:t xml:space="preserve"> </w:t>
      </w:r>
      <m:oMath>
        <m:sSub>
          <m:e>
            <m:r>
              <m:t>N</m:t>
            </m:r>
          </m:e>
          <m:sub>
            <m:r>
              <m:t>g</m:t>
            </m:r>
          </m:sub>
        </m:sSub>
      </m:oMath>
      <w:r>
        <w:rPr>
          <w:rFonts w:ascii="Times New Roman" w:hAnsi="Times New Roman"/>
          <w:sz w:val="24"/>
        </w:rPr>
        <w:t xml:space="preserve"> </w:t>
      </w:r>
      <w:r>
        <w:rPr>
          <w:rFonts w:ascii="Times New Roman" w:hAnsi="Times New Roman"/>
          <w:sz w:val="24"/>
        </w:rPr>
        <w:t xml:space="preserve">counts small-molecule ligand instances and</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counts small-molecule identities. In contrast, our model supports GPU acceleration through vectorised computation and required a mean of only 0.09 s to match each candidate blob, as measured on an NVIDIA H100 GPU.</w:t>
      </w:r>
    </w:p>
    <w:p>
      <w:pPr>
        <w:pStyle w:val="BodyText"/>
        <w:spacing w:line="480" w:lineRule="auto" w:after="120"/>
        <w:ind w:firstLine="480"/>
      </w:pPr>
      <w:r>
        <w:rPr>
          <w:rFonts w:ascii="Times New Roman" w:hAnsi="Times New Roman"/>
          <w:sz w:val="24"/>
        </w:rPr>
        <w:t xml:space="preserve">By contrast, EMERALD-ID cannot use GPU acceleration and required a mean of 64 min to dock one small-molecule identity at one site on a single CPU core. Its runtime was almost prohibitive for PDB entries in the high-cost tail, which required docking more small molecules. We therefore defined a separate evaluation set for EMERALD-ID within the original test set. Among entries containing small molecules, we excluded the 10% with the highest</w:t>
      </w:r>
      <w:r>
        <w:rPr>
          <w:rFonts w:ascii="Times New Roman" w:hAnsi="Times New Roman"/>
          <w:sz w:val="24"/>
        </w:rPr>
        <w:t xml:space="preserve"> </w:t>
      </w:r>
      <m:oMath>
        <m:sSub>
          <m:e>
            <m:r>
              <m:t>N</m:t>
            </m:r>
          </m:e>
          <m:sub>
            <m:r>
              <m:t>g</m:t>
            </m:r>
          </m:sub>
        </m:sSub>
        <m:r>
          <m:rPr>
            <m:sty m:val="p"/>
          </m:rPr>
          <m:t>×</m:t>
        </m:r>
        <m:r>
          <m:t>K</m:t>
        </m:r>
      </m:oMath>
      <w:r>
        <w:rPr>
          <w:rFonts w:ascii="Times New Roman" w:hAnsi="Times New Roman"/>
          <w:sz w:val="24"/>
        </w:rPr>
        <w:t xml:space="preserve">, retaining 357 small-molecule sites from 84 PDB entries. We supplied all small-molecule identities from the same PDB entry for matching. Chemical preparation failed at many sites, preventing EMERALD-ID from returning results. We therefore calculated its matching accuracy only for sites that returned valid results.</w:t>
      </w:r>
      <w:r>
        <w:rPr>
          <w:rFonts w:ascii="Times New Roman" w:hAnsi="Times New Roman"/>
          <w:sz w:val="24"/>
        </w:rPr>
        <w:t xml:space="preserve"> </w:t>
      </w:r>
      <w:r>
        <w:rPr>
          <w:rStyle w:val="MDFIGREF_eJyrrk7LTC9KTbMqLklMTzXSLUpMSSzSLUjMLKpJrK0FALa-C9E"/>
          <w:rFonts w:ascii="Times New Roman" w:hAnsi="Times New Roman"/>
          <w:sz w:val="24"/>
        </w:rPr>
        <w:t xml:space="preserve">Fig. 6a</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MDFIGREF_eJyrrk7LTC9KTbMqLklMTzXSLUpMSSzSLUjMLKpJqq0FALbBC9I"/>
          <w:rFonts w:ascii="Times New Roman" w:hAnsi="Times New Roman"/>
          <w:sz w:val="24"/>
        </w:rPr>
        <w:t xml:space="preserve">Fig. 6b</w:t>
      </w:r>
      <w:r>
        <w:rPr>
          <w:rFonts w:ascii="Times New Roman" w:hAnsi="Times New Roman"/>
          <w:sz w:val="24"/>
        </w:rPr>
        <w:t xml:space="preserve"> </w:t>
      </w:r>
      <w:r>
        <w:rPr>
          <w:rFonts w:ascii="Times New Roman" w:hAnsi="Times New Roman"/>
          <w:sz w:val="24"/>
        </w:rPr>
        <w:t xml:space="preserve">show its performance with deposited and CryoAtom2-reconstructed receptors, respectively.</w:t>
      </w:r>
    </w:p>
    <w:bookmarkEnd w:id="38"/>
    <w:bookmarkEnd w:id="39"/>
    <w:bookmarkStart w:id="52" w:name="stage-3"/>
    <w:p>
      <w:pPr>
        <w:pStyle w:val="Heading2"/>
        <w:keepNext/>
        <w:spacing w:line="480" w:lineRule="auto"/>
        <w:ind w:firstLine="0"/>
      </w:pPr>
      <w:r>
        <w:rPr>
          <w:rFonts w:ascii="Times New Roman" w:hAnsi="Times New Roman"/>
          <w:sz w:val="24"/>
        </w:rPr>
        <w:t xml:space="preserve">Stage 3</w:t>
      </w:r>
    </w:p>
    <w:bookmarkStart w:id="43" w:name="X91e1e06dd91711c282eeed02d5c10f441569161"/>
    <w:p>
      <w:pPr>
        <w:pStyle w:val="Heading3"/>
        <w:keepNext/>
        <w:spacing w:line="480" w:lineRule="auto"/>
        <w:ind w:firstLine="0"/>
      </w:pPr>
      <w:r>
        <w:rPr>
          <w:rFonts w:ascii="Times New Roman" w:hAnsi="Times New Roman"/>
          <w:sz w:val="24"/>
        </w:rPr>
        <w:t xml:space="preserve">Stage 3: Comparison of PocketXMol-official and PocketXMol-tuned</w:t>
      </w:r>
    </w:p>
    <w:p>
      <w:pPr>
        <w:pStyle w:val="FirstParagraph"/>
        <w:spacing w:line="480" w:lineRule="auto" w:after="120"/>
        <w:ind w:firstLine="480"/>
      </w:pPr>
      <w:r>
        <w:rPr>
          <w:rFonts w:ascii="Times New Roman" w:hAnsi="Times New Roman"/>
          <w:sz w:val="24"/>
        </w:rPr>
        <w:t xml:space="preserve">We compared the official PocketXMol model with our fine-tuned version. The official model accepts a ligand SMILES string and its binding pocket or binding site, generating 50 candidate poses by default.</w:t>
      </w:r>
    </w:p>
    <w:p>
      <w:pPr>
        <w:pStyle w:val="BodyText"/>
        <w:spacing w:line="480" w:lineRule="auto" w:after="120"/>
        <w:ind w:firstLine="480"/>
      </w:pPr>
      <w:r>
        <w:rPr>
          <w:rFonts w:ascii="Times New Roman" w:hAnsi="Times New Roman"/>
          <w:sz w:val="24"/>
        </w:rPr>
        <w:t xml:space="preserve">PocketXMol provides two pocket definitions for docking: the Envelope pocket and the Centre pocket. The Envelope pocket includes all atoms of a receptor residue if at least one of its atoms lies within a ligand atom’s 10 Å envelope. The Centre pocket includes all receptor atoms within a 15 Å sphere centred on the binding site.</w:t>
      </w:r>
    </w:p>
    <w:p>
      <w:pPr>
        <w:pStyle w:val="BodyText"/>
        <w:spacing w:line="480" w:lineRule="auto" w:after="120"/>
        <w:ind w:firstLine="480"/>
      </w:pPr>
      <w:r>
        <w:rPr>
          <w:rFonts w:ascii="Times New Roman" w:hAnsi="Times New Roman"/>
          <w:sz w:val="24"/>
        </w:rPr>
        <w:t xml:space="preserve">We treated these pocket definitions as separate training and testing conditions. We trained one fine-tuned model for each definition and evaluated each model under its corresponding condition.</w:t>
      </w:r>
    </w:p>
    <w:p>
      <w:pPr>
        <w:pStyle w:val="BodyText"/>
        <w:spacing w:line="480" w:lineRule="auto" w:after="120"/>
        <w:ind w:firstLine="480"/>
      </w:pPr>
      <w:r>
        <w:rPr>
          <w:rFonts w:ascii="Times New Roman" w:hAnsi="Times New Roman"/>
          <w:sz w:val="24"/>
        </w:rPr>
        <w:t xml:space="preserve">To assess fine-tuning, we used all single-residue organic small molecules with no atoms missing relative to their templates (hereafter eligible small molecules). This test set comprised 446 ligand instances from the 179 PDB entries.</w:t>
      </w:r>
    </w:p>
    <w:p>
      <w:pPr>
        <w:pStyle w:val="BodyText"/>
        <w:spacing w:line="480" w:lineRule="auto" w:after="120"/>
        <w:ind w:firstLine="480"/>
      </w:pPr>
      <w:r>
        <w:rPr>
          <w:rFonts w:ascii="Times New Roman" w:hAnsi="Times New Roman"/>
          <w:sz w:val="24"/>
        </w:rPr>
        <w:t xml:space="preserve">We used two complementary docking metrics based on heavy-atom root-mean-square deviation (RMSD). Top-1 RMSD measures the error of the top-1 pose, ranked first by the model’s own score, and reflects accuracy in blind evaluation. Best RMSD measures the lowest error among the 50 generated candidates, defining the best-of-50 pose. This metric measures the upper limit of the model’s pose sampling capacity.</w:t>
      </w:r>
    </w:p>
    <w:p>
      <w:pPr>
        <w:pStyle w:val="BodyText"/>
        <w:spacing w:line="480" w:lineRule="auto" w:after="120"/>
        <w:ind w:firstLine="480"/>
      </w:pPr>
      <w:r>
        <w:rPr>
          <w:rFonts w:ascii="Times New Roman" w:hAnsi="Times New Roman"/>
          <w:sz w:val="24"/>
        </w:rPr>
        <w:t xml:space="preserve">Across the 446 test instances, density-guided PocketXMol-tuned achieved substantially greater pose accuracy than PocketXMol-official under every test condition</w:t>
      </w:r>
      <w:r>
        <w:rPr>
          <w:rFonts w:ascii="Times New Roman" w:hAnsi="Times New Roman"/>
          <w:sz w:val="24"/>
        </w:rPr>
        <w:t xml:space="preserve"> </w:t>
      </w:r>
      <w:r>
        <w:rPr>
          <w:rFonts w:ascii="Times New Roman" w:hAnsi="Times New Roman"/>
          <w:sz w:val="24"/>
        </w:rPr>
        <w:t xml:space="preserve">(</w:t>
      </w:r>
      <w:r>
        <w:rPr>
          <w:rStyle w:val="MDFIGREF_eJyrrk7LTC9KTbMqLklMTzXWzU9Ly0zOTMzRLSnNS02prQUAz88MnA"/>
          <w:rFonts w:ascii="Times New Roman" w:hAnsi="Times New Roman"/>
          <w:sz w:val="24"/>
        </w:rPr>
        <w:t xml:space="preserve">Fig. 8</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improvement was particularly pronounced with the Centre pocket and deposited receptors. Without density guidance, the official model had considerable translational and rotational freedom within the spacious 15 Å pocket, allowing poses to settle in geometrically plausible cavities outside the active binding site. The official model achieved a median top-1 RMSD of 2.31 Å, with only 44.7% of predictions achieving RMSD &lt; 2 Å. Adding local three-dimensional constraints from the cryo-EM density reduced the median top-1 RMSD to 1.29 Å, while the corresponding success rates increased to 73.8% at RMSD &lt; 2 Å and 83.4% at RMSD &lt; 3 Å. For best-of-50 poses, fine-tuning substantially reduced the median minimum RMSD from 1.43 Å to 0.77 Å. The fraction achieving RMSD &lt; 2 Å increased sharply from 61.6% to 93.0%.</w:t>
      </w:r>
    </w:p>
    <w:p>
      <w:pPr>
        <w:pStyle w:val="BodyText"/>
        <w:spacing w:line="480" w:lineRule="auto" w:after="120"/>
        <w:ind w:firstLine="480"/>
      </w:pPr>
      <w:r>
        <w:rPr>
          <w:rFonts w:ascii="Times New Roman" w:hAnsi="Times New Roman"/>
          <w:sz w:val="24"/>
        </w:rPr>
        <w:t xml:space="preserve">Fine-tuning also improved docking accuracy when both models were evaluated on the more tightly defined Envelope pocket. With deposited receptors, median top-1 RMSD fell from 1.55 Å to 1.14 Å. The corresponding success rate at RMSD &lt; 2 Å increased from 62.9% to 78.0%. Median best RMSD fell from 0.94 Å to 0.69 Å, with 97.1% of best-of-50 poses achieving RMSD &lt; 2 Å. These results showed that cryo-EM density provided effective docking guidance.</w:t>
      </w:r>
    </w:p>
    <w:p>
      <w:pPr>
        <w:pStyle w:val="BodyText"/>
        <w:spacing w:line="480" w:lineRule="auto" w:after="120"/>
        <w:ind w:firstLine="480"/>
      </w:pPr>
      <w:r>
        <w:rPr>
          <w:rFonts w:ascii="Times New Roman" w:hAnsi="Times New Roman"/>
          <w:sz w:val="24"/>
        </w:rPr>
        <w:t xml:space="preserve">The fine-tuned model was also effective with CryoAtom2-reconstructed receptors. Replacing deposited receptors with CryoAtom2-reconstructed receptors increased the official model’s median top-1 RMSD from 2.31 Å to 3.01 Å with Centre pockets. Its success rate at RMSD &lt; 2 Å fell to 39.9%. By comparison, PocketXMol-tuned retained a median top-1 RMSD of 1.44 Å and a success rate of 67.5% at RMSD &lt; 2 Å. Its performance substantially exceeded that of the official model even with deposited receptors.</w:t>
      </w:r>
    </w:p>
    <w:p>
      <w:pPr>
        <w:pStyle w:val="CaptionedFigure"/>
        <w:keepNext/>
        <w:spacing w:line="240" w:lineRule="auto" w:before="0" w:after="0"/>
        <w:ind w:firstLine="0"/>
        <w:jc w:val="center"/>
      </w:pPr>
      <w:r>
        <w:rPr>
          <w:rFonts w:ascii="Times New Roman" w:hAnsi="Times New Roman"/>
          <w:sz w:val="24"/>
        </w:rPr>
        <w:drawing>
          <wp:inline>
            <wp:extent cx="5733415" cy="4421778"/>
            <wp:effectExtent b="0" l="0" r="0" t="0"/>
            <wp:docPr descr="Fig. 8 | Comparison of PocketXMol-official and density-guided PocketXMol-tuned on 446 small-molecule docking tasks. Eligible small molecules are single-residue organic small molecules with no atoms missing relative to their templates. a, Distribution of top-1 RMSD, according to each model’s own score. b, Distribution of best RMSD, selected as the lowest-RMSD pose among 50 candidates. Results for centre-defined 15 Å spherical pockets (Centre pocket) appear on the left. Results for pockets defined by a 10 Å envelope around ligand atoms (Envelope pocket) appear on the right. Both pocket definitions are evaluated with deposited and CryoAtom2-reconstructed receptors. Each point represents one ligand instance. Boxes, central lines and whiskers indicate the 25th–75th percentiles, median and 5th–95th percentiles, respectively. The vertical axis is logarithmic; outliers above 50 Å appear as triangles at the top. The official model failed for one test instance because the selected pocket contained no valid protein atoms. This instance was excluded from its statistics." title="MDPPTFIG_eJztV0FrHDcU_itiTy14Pd7Nbmxv00C6TkrBCcZJodApRjvzdkdYIwlJs7NOU8illB56SimUlp576g9ooD30nwSa5Gf0kzS7dmofQksOgRjWI-k9fe_pe09P0pc9w33Vm7Dei--f_v3TH5nzfEHXXjx98vyXn7eN8aveFutZclouqQx600mef-rIujwfjPcH-3l-QO7Ua5PnL3_7_fkP37z87tsXv_6Z5wkwz69EVLymgJaEfT2fi0Jw2feNghkoFNx4odVJze1pY6D6ee9GOzFsVUvlJu2Hea_y3kyyzBUV1dxta0MKwrm2Nffo2kXWalsaqwtyTqhFLbPhzs71rOZC5b2bAe3Ixs99fyaJtZMll8D9pIZL02Q-6GVrjaB7SmQOhSIXxy_02okzvIAZ4EgMAWg42sl7Xfe4kWGIN153mJ16mClUCbW5sM4fpqk7nRIkyYHkafrXte9o5R3mcVcIgTkPRE2O3aOWHeuaq2i6uqXclbKImiAC2Cz2Z7E5TWuLX7j5cEPMcLR2_WGanhzxISZxOcFzg1whuySo3hGLbbbHHrGprg23wmnF9Jwd6eKU_Gd3tdyEnXEwUBJ89Wf9RSNKKi-qxaRgmD0aXWeu5lL2ay2pAKeshFpg3XN36raDWz4590b5-h-ssLfAx9tSLMQM7Eay2Zpsx7jFGOiW1Ie2KBti2GhcieKSait8xZRm3OvasVrEPcgsSe7FkpjXzFckLPNUG4zRu-C98Q3J3wKGt9iBcN6KWRPqb6gXOFr6A3Z89_7BFuNFgZoe97tmxIsKCVeSfPb4R8d0q5iDmN4l0ptOpNlbwPDlRJqR810eOUKZ8jhUuAtliEndQtgPQma0I8ZrjSQb77ACR5MoY31ix-QaibXhjsEKUt5Sv6S5CIfTYMz--po5U5EVBQ40E08vx96bRr2u_z7jxhC34SyLZmnuX4Vdz1vjzs4YZ4OdAE5qSRK3HBRh3eC8RI0Ox2aqr-_dXkuvtmTFooKpjzSKctJIJkQgJ9V1As8ND6TE0l0SiBCRI1iZ2jN9C5aGqPsFZnjbRP7QI-O1BTu3w3Y0WiiP0RiIkAda0dpTgWlcFRTcWJHbShyCrHBBctFMWwl3irsldEvw6Ck6Pxz76tnjJ7vj4DzZME3IAFBTKbiKM5PK_iUV-GEQahw58mybPQDakqyPMeIrAUMOwV_gduKrWhQfMN14KYIHfKZxTI0j9R2XIVksDC7iUeijb6hOCXZzl4kVic057JcxpoECH3JvTQAyseCNS4vbpGIXFrDreYw9Dk-EREBitSehUqiDteD3GquFV7QqZBMuTXOrayZAO4Qe6S-Kfx2r4S55s_cFLtibi3VvvHvt2mgwXo1Gw8Hu7t6jG0YUE_y6uzZ_rbt2aXl76ZLdIQDrv2Bgmm8sbWDsa4HEONCBLpoaSZCQ0q0DaVsJ40IZCStUyyNRhCISOsW95ZFFzrsiWJlOsvjEyeILJ-seONnF900W7i1YpmowRRh_MhcLOOtOSrG_p9qHZ1kaONkJf3vbRi2wEFECfTREKzyA0D5arxGh2fhx7lJykAcGD5EeDjkxrZCAdMta3VbESweQQcBbC2K6p0Fgnk-9YCChZpdImElh7ggpg8XQjvNTg0-w5ckXVWjOoXMMK1H-SmejlL2KF3oOjxg2a-9ie1x4CfHJam7r8EXg2Cq9fdjZ5g0Ux4OYVtgbQd6lK7SKoNZlbacMrfhdgxq8qT4mbIrQgDbqlU9m-fLQJd3z1lo7yJVOrmfnTT6RioWn5_54OE4oV2qFuNyOL7cLbT7Btpbr4YttqTq-nNnEBb-bva_-AV13c6k" id="41" name="Picture"/>
            <a:graphic>
              <a:graphicData uri="http://schemas.openxmlformats.org/drawingml/2006/picture">
                <pic:pic>
                  <pic:nvPicPr>
                    <pic:cNvPr descr="C:/Users/15919/Desktop/论文草稿/temp/manuscript_figures_di98nwzy/figure_000008.png" id="42" name="Picture"/>
                    <pic:cNvPicPr>
                      <a:picLocks noChangeArrowheads="1" noChangeAspect="1"/>
                    </pic:cNvPicPr>
                  </pic:nvPicPr>
                  <pic:blipFill>
                    <a:blip r:embed="rId40"/>
                    <a:stretch>
                      <a:fillRect/>
                    </a:stretch>
                  </pic:blipFill>
                  <pic:spPr bwMode="auto">
                    <a:xfrm>
                      <a:off x="0" y="0"/>
                      <a:ext cx="5733415" cy="4421778"/>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8 | Comparison of PocketXMol-official and density-guided PocketXMol-tuned on 446 small-molecule docking tasks.</w:t>
      </w:r>
      <w:r>
        <w:rPr>
          <w:rFonts w:ascii="Times New Roman" w:hAnsi="Times New Roman"/>
          <w:sz w:val="24"/>
        </w:rPr>
        <w:t xml:space="preserve"> </w:t>
      </w:r>
      <w:r>
        <w:rPr>
          <w:rFonts w:ascii="Times New Roman" w:hAnsi="Times New Roman"/>
          <w:sz w:val="24"/>
        </w:rPr>
        <w:t xml:space="preserve">Eligible small molecules are single-residue organic small molecules with no atoms missing relative to their templates.</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Distribution of top-1 RMSD, according to each model’s own score.</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Distribution of best RMSD, selected as the lowest-RMSD pose among 50 candidates. Results for centre-defined 15 Å spherical pockets (Centre pocket) appear on the left. Results for pockets defined by a 10 Å envelope around ligand atoms (Envelope pocket) appear on the right. Both pocket definitions are evaluated with deposited and CryoAtom2-reconstructed receptors. Each point represents one ligand instance. Boxes, central lines and whiskers indicate the 25th–75th percentiles, median and 5th–95th percentiles, respectively. The vertical axis is logarithmic; outliers above 50 Å appear as triangles at the top. The official model failed for one test instance because the selected pocket contained no valid protein atoms. This instance was excluded from its statistics.</w:t>
      </w:r>
    </w:p>
    <w:bookmarkEnd w:id="43"/>
    <w:bookmarkStart w:id="47" w:name="Xf5ab2934b575ce019262194de9f4d310a201cf1"/>
    <w:p>
      <w:pPr>
        <w:pStyle w:val="Heading3"/>
        <w:keepNext/>
        <w:spacing w:line="480" w:lineRule="auto"/>
        <w:ind w:firstLine="0"/>
      </w:pPr>
      <w:r>
        <w:rPr>
          <w:rFonts w:ascii="Times New Roman" w:hAnsi="Times New Roman"/>
          <w:sz w:val="24"/>
        </w:rPr>
        <w:t xml:space="preserve">Stage 3: Fair comparison with Emap2lig-Build</w:t>
      </w:r>
    </w:p>
    <w:p>
      <w:pPr>
        <w:pStyle w:val="FirstParagraph"/>
        <w:spacing w:line="480" w:lineRule="auto" w:after="120"/>
        <w:ind w:firstLine="480"/>
      </w:pPr>
      <w:r>
        <w:rPr>
          <w:rFonts w:ascii="Times New Roman" w:hAnsi="Times New Roman"/>
          <w:sz w:val="24"/>
        </w:rPr>
        <w:t xml:space="preserve">We performed a fair comparison between LigandSeek’s small-molecule docking engine (PocketXMol-tuned) and Emap2lig-Build, which predicts ligand poses directly from cryo-EM density without receptor information. In its official workflow, Emap2lig-Build accepts a candidate blob predicted by Emap2lig-Find as its guiding region rather than the ground-truth binding site. To mirror this realistic setting fairly, we evaluated PocketXMol-tuned using Centre pockets defined around the centroids of candidate blobs predicted by LigandSeek-Find.</w:t>
      </w:r>
    </w:p>
    <w:p>
      <w:pPr>
        <w:pStyle w:val="BodyText"/>
        <w:spacing w:line="480" w:lineRule="auto" w:after="120"/>
        <w:ind w:firstLine="480"/>
      </w:pPr>
      <w:r>
        <w:rPr>
          <w:rFonts w:ascii="Times New Roman" w:hAnsi="Times New Roman"/>
          <w:sz w:val="24"/>
        </w:rPr>
        <w:t xml:space="preserve">Of the 446 test small-molecule instances, Emap2lig-Find returned qualifying blobs with at least 30% bidirectional coverage for 237 instances. Under the same criterion, LigandSeek-Find successfully detected 304 instances with deposited receptors and 293 instances with CryoAtom2-reconstructed receptors. When restricted to instances jointly detected and evaluable by both pipelines, the original small-molecule test set yielded 231 pairs under the deposited-receptor condition and 228 pairs under the CryoAtom2 condition. These subsets served as the benchmarks for directly comparing PocketXMol-tuned against Emap2lig-Build.</w:t>
      </w:r>
    </w:p>
    <w:p>
      <w:pPr>
        <w:pStyle w:val="CaptionedFigure"/>
        <w:keepNext/>
        <w:spacing w:line="240" w:lineRule="auto" w:before="0" w:after="0"/>
        <w:ind w:firstLine="0"/>
        <w:jc w:val="center"/>
      </w:pPr>
      <w:r>
        <w:rPr>
          <w:rFonts w:ascii="Times New Roman" w:hAnsi="Times New Roman"/>
          <w:sz w:val="24"/>
        </w:rPr>
        <w:drawing>
          <wp:inline>
            <wp:extent cx="5733415" cy="4519244"/>
            <wp:effectExtent b="0" l="0" r="0" t="0"/>
            <wp:docPr descr="Fig. 9 | Docking performance of PocketXMol-tuned and Emap2lig-Build using predicted ligand regions. a,b,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 title="MDPPTFIG_eJzVVl9vG0UQ_yqre2ol22c7dlsfJVJwmgrJqawkSEgcitZ3a9_iu93V7p7PTovEC0I88FTEC4hnnvgAVIIHvgkSTT8GM7tnx8aRqEBFSpRkZ3dmfvNvd26eB4raLIhIcP3tqz-__zU0ls7YwfWrl69__KGllF0GDRJoZmS-YCnKDaM4_sgwbeK40x90BnF8zMzcShXHb37-5fV3X7355uvrn36LYw8Yx7ciClowRPPMptIs5YllaVOzGZeimTGaNq10K8onVFk4vyyonpcKND8JHleRIssiFyaq3o-DzFoVhaFJMlZQ05KKCWBOpS6oha2ehZXUqdIyYcZwMSvysNtuPwgLykUcHCLaWLvl3K5yRqpoQXPA_bAAD4fePMqFawmUnTOmRlww4863dlVkFE3ADODkcARA3V47DurtWZnjES2trDFrcdTkIgWxKdfGjrxquxYCjnfAe-r_1fSJFNaAHjUJ56BzwQtmyDNWkTNZUOFMZ0fC3MpzqB4CwSZuP3Hk0MfmVnDzapOYbm_t-pVX945YrIkLBz2HwsJdWTAQPeGzFhmQF-RYJnPMjGLalUckjMgpGcMxsx-fyrxpS8FSQiEPTwqqujmfNT8oeZ6S0jjF9W0hwEEpf2lMC92w3pl3mp__kAXyf_n4TmpI70CGG3c6w5O7kGFyzJQ0HF-gZglTVmpy7-nFfZLIQlHNjRQEfrsHHcIFtHh44YZ8Jrmw-YqkzDL3eCcrMnLv95yxefME297Ok8eTFkkaaYMM9UoeWVl04fuQwEu3ukx2rQ-Punvmu4_-wfxE2owUzGYyNa39BlQa0LMZ23NzkssJSZiwWvKUWAmgU-jUhJJOn_z-pWcxohzge_tNrIbdiXSrqzl4agiHYs9KnmLP8y2uRUZsask92kjuN8CwanbI2en5cYuc8VkGjEkjBcaEGduU02a_XXPHGLwBEFdFYdeNc5Me0JFLcAuqLZxv3b7N_vji5UNYsFFjRDxHuTo2_IqBeCYrSGDKqTCueFXGzRyGgxsgjzP4G06LXABv1aRLDnEakssZFM5mBU9a5JiazDV3NIFffNLFrCL-ARC7bR4_h4fBpzAjbGaDoP_w4KDX6S97_c6g2-u9eKx4EsFfPS7QtxoXUk2rvTmhRgCsf4MBarbUbAOj3wpETqc8YfDVLAvInkfSLKc4kZiMK4OvFyMUizFP8O3iJnm2GGu4mCZBK8ModENb6Ga2sB7Zwu2JLbSsUBCmKEGFK3s55TNw1lymfPBIVFer0B9ctvFn0FJiBoHwFNB7D4DCkQ7o8TpGKM3GjxuXvIMUMziC52GIkMOMihk70lpWOO4ZAOkg3pphFDxYfwiYN6pbBjxquJeESc7VCc9ztIi00_cEjaCLMJtkSE5B5gysOP7OZiMU7uLhzsAcRibVqUy3hzkaLae6wBUKR5Z-fCOrzRjnzpHNlpYkyK-vK0glKFbf2loYpNy6BlUwFj5lsiBIgDS0QOvN0sXIeNkbai2NfCG96-ENSaNcEJyeB_1u36PcKoV1eeKGzy2aRpbyfH28TeeizpdRm7rA32Hw-V-q41BP" id="45" name="Picture"/>
            <a:graphic>
              <a:graphicData uri="http://schemas.openxmlformats.org/drawingml/2006/picture">
                <pic:pic>
                  <pic:nvPicPr>
                    <pic:cNvPr descr="C:/Users/15919/Desktop/论文草稿/temp/manuscript_figures_di98nwzy/figure_000009.png" id="46" name="Picture"/>
                    <pic:cNvPicPr>
                      <a:picLocks noChangeArrowheads="1" noChangeAspect="1"/>
                    </pic:cNvPicPr>
                  </pic:nvPicPr>
                  <pic:blipFill>
                    <a:blip r:embed="rId44"/>
                    <a:stretch>
                      <a:fillRect/>
                    </a:stretch>
                  </pic:blipFill>
                  <pic:spPr bwMode="auto">
                    <a:xfrm>
                      <a:off x="0" y="0"/>
                      <a:ext cx="5733415" cy="451924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9 | Docking performance of PocketXMol-tuned and Emap2lig-Build using predicted ligand regions.</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w:t>
      </w:r>
      <w:r>
        <w:rPr>
          <w:rFonts w:ascii="Times New Roman" w:hAnsi="Times New Roman"/>
          <w:b/>
          <w:bCs/>
          <w:sz w:val="24"/>
        </w:rPr>
        <w:t xml:space="preserve">b</w:t>
      </w:r>
      <w:r>
        <w:rPr>
          <w:rFonts w:ascii="Times New Roman" w:hAnsi="Times New Roman"/>
          <w:sz w:val="24"/>
        </w:rPr>
        <w:t xml:space="preserve">,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w:t>
      </w:r>
    </w:p>
    <w:p>
      <w:pPr>
        <w:pStyle w:val="BodyText"/>
        <w:spacing w:line="480" w:lineRule="auto" w:after="120"/>
        <w:ind w:firstLine="480"/>
      </w:pPr>
      <w:r>
        <w:rPr>
          <w:rStyle w:val="MDFIGREF_eJyrrk7LTC9KTbMqLklMTzXWLShKTclMLklN0S1KTc_Mz9PNSE1M0S3JB9O1tQC1BBIF"/>
          <w:rFonts w:ascii="Times New Roman" w:hAnsi="Times New Roman"/>
          <w:sz w:val="24"/>
        </w:rPr>
        <w:t xml:space="preserve">Fig. 9</w:t>
      </w:r>
      <w:r>
        <w:rPr>
          <w:rFonts w:ascii="Times New Roman" w:hAnsi="Times New Roman"/>
          <w:sz w:val="24"/>
        </w:rPr>
        <w:t xml:space="preserve"> </w:t>
      </w:r>
      <w:r>
        <w:rPr>
          <w:rFonts w:ascii="Times New Roman" w:hAnsi="Times New Roman"/>
          <w:sz w:val="24"/>
        </w:rPr>
        <w:t xml:space="preserve">compares the LigandSeek and Emap2lig docking modules. Our model maintained higher accuracy across all tested conditions. Among the shared GT instances, median top-1 RMSD was 0.85 Å for PocketXMol-tuned and 1.83 Å for Emap2lig-Build. Median best RMSD was 0.63 Å and 1.32 Å, respectively. This advantage was maintained with CryoAtom2-reconstructed receptors</w:t>
      </w:r>
      <w:r>
        <w:rPr>
          <w:rFonts w:ascii="Times New Roman" w:hAnsi="Times New Roman"/>
          <w:sz w:val="24"/>
        </w:rPr>
        <w:t xml:space="preserve"> </w:t>
      </w:r>
      <w:r>
        <w:rPr>
          <w:rFonts w:ascii="Times New Roman" w:hAnsi="Times New Roman"/>
          <w:sz w:val="24"/>
        </w:rPr>
        <w:t xml:space="preserve">(</w:t>
      </w:r>
      <w:r>
        <w:rPr>
          <w:rStyle w:val="MDFIGREF_eJyrrk7LTC9KTbMqLklMTzXWLShKTclMLklN0S1KTc_Mz9PNSE1M0S3JB9O1tQC1BBIF"/>
          <w:rFonts w:ascii="Times New Roman" w:hAnsi="Times New Roman"/>
          <w:sz w:val="24"/>
        </w:rPr>
        <w:t xml:space="preserve">Fig. 9</w:t>
      </w:r>
      <w:r>
        <w:rPr>
          <w:rFonts w:ascii="Times New Roman" w:hAnsi="Times New Roman"/>
          <w:sz w:val="24"/>
        </w:rPr>
        <w:t xml:space="preserve">).</w:t>
      </w:r>
    </w:p>
    <w:bookmarkEnd w:id="47"/>
    <w:bookmarkStart w:id="51" w:name="stage-3-representative-cases"/>
    <w:p>
      <w:pPr>
        <w:pStyle w:val="Heading3"/>
        <w:keepNext/>
        <w:spacing w:line="480" w:lineRule="auto"/>
        <w:ind w:firstLine="0"/>
      </w:pPr>
      <w:r>
        <w:rPr>
          <w:rFonts w:ascii="Times New Roman" w:hAnsi="Times New Roman"/>
          <w:sz w:val="24"/>
        </w:rPr>
        <w:t xml:space="preserve">Stage 3: Representative cases</w:t>
      </w:r>
    </w:p>
    <w:p>
      <w:pPr>
        <w:pStyle w:val="FirstParagraph"/>
        <w:spacing w:line="480" w:lineRule="auto" w:after="120"/>
        <w:ind w:firstLine="480"/>
      </w:pPr>
      <w:r>
        <w:rPr>
          <w:rFonts w:ascii="Times New Roman" w:hAnsi="Times New Roman"/>
          <w:sz w:val="24"/>
        </w:rPr>
        <w:t xml:space="preserve">We analysed six representative instances to examine how receptor pockets and experimental density provide complementary constraints on pose generation</w:t>
      </w:r>
      <w:r>
        <w:rPr>
          <w:rFonts w:ascii="Times New Roman" w:hAnsi="Times New Roman"/>
          <w:sz w:val="24"/>
        </w:rPr>
        <w:t xml:space="preserve"> </w:t>
      </w:r>
      <w:r>
        <w:rPr>
          <w:rFonts w:ascii="Times New Roman" w:hAnsi="Times New Roman"/>
          <w:sz w:val="24"/>
        </w:rPr>
        <w:t xml:space="preserve">(</w:t>
      </w:r>
      <w:r>
        <w:rPr>
          <w:rStyle w:val="MDFIGREF_eJyrrk7LTC9KTbMqLklMTzXWTU4sTi3WzU3MzKutBQCftQrz"/>
          <w:rFonts w:ascii="Times New Roman" w:hAnsi="Times New Roman"/>
          <w:sz w:val="24"/>
        </w:rPr>
        <w:t xml:space="preserve">Fig. 10</w:t>
      </w:r>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The first group illustrated typical errors in receptor-only docking without experimental density guidance</w:t>
      </w:r>
      <w:r>
        <w:rPr>
          <w:rFonts w:ascii="Times New Roman" w:hAnsi="Times New Roman"/>
          <w:sz w:val="24"/>
        </w:rPr>
        <w:t xml:space="preserve"> </w:t>
      </w:r>
      <w:r>
        <w:rPr>
          <w:rFonts w:ascii="Times New Roman" w:hAnsi="Times New Roman"/>
          <w:sz w:val="24"/>
        </w:rPr>
        <w:t xml:space="preserve">(</w:t>
      </w:r>
      <w:r>
        <w:rPr>
          <w:rStyle w:val="MDFIGREF_eJyrrk7LTC9KTbMqLklMTzXWTU4sTi3WzU3MzKtJfNQwObm2FgDtUw4o"/>
          <w:rFonts w:ascii="Times New Roman" w:hAnsi="Times New Roman"/>
          <w:sz w:val="24"/>
        </w:rPr>
        <w:t xml:space="preserve">Fig. 10a–c</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9Q16, 9UB7 and 9R3D, PocketXMol-official avoided receptor clashes, with zero clashing atom pairs in each case. However, its poses shifted within the pocket cavity or adopted flipped conformations, with only 46%–77% of heavy atoms reaching the recommended density threshold. Under density guidance, PocketXMol-tuned placed ligand atoms accurately within the experimental density, increasing this fraction to 80%–100% and reducing top-1 RMSD sharply to 0.76–1.05 Å, while all three poses remained free of receptor clashes.</w:t>
      </w:r>
    </w:p>
    <w:p>
      <w:pPr>
        <w:pStyle w:val="BodyText"/>
        <w:spacing w:line="480" w:lineRule="auto" w:after="120"/>
        <w:ind w:firstLine="480"/>
      </w:pPr>
      <w:r>
        <w:rPr>
          <w:rFonts w:ascii="Times New Roman" w:hAnsi="Times New Roman"/>
          <w:sz w:val="24"/>
        </w:rPr>
        <w:t xml:space="preserve">The second group illustrated the shortcomings of density-only fitting that ignores receptor steric constraints</w:t>
      </w:r>
      <w:r>
        <w:rPr>
          <w:rFonts w:ascii="Times New Roman" w:hAnsi="Times New Roman"/>
          <w:sz w:val="24"/>
        </w:rPr>
        <w:t xml:space="preserve"> </w:t>
      </w:r>
      <w:r>
        <w:rPr>
          <w:rFonts w:ascii="Times New Roman" w:hAnsi="Times New Roman"/>
          <w:sz w:val="24"/>
        </w:rPr>
        <w:t xml:space="preserve">(</w:t>
      </w:r>
      <w:r>
        <w:rPr>
          <w:rStyle w:val="MDFIGREF_eJyrrk7LTC9KTbMqLklMTzXWTU4sTi3WzU3MzKtJedQwOa22FgDtcQ4u"/>
          <w:rFonts w:ascii="Times New Roman" w:hAnsi="Times New Roman"/>
          <w:sz w:val="24"/>
        </w:rPr>
        <w:t xml:space="preserve">Fig. 10d–f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 9U7J, 9WUP and 9WQ3, Emap2lig-Build’s top-1 poses produced 10, 15 and 11 clashing pairs with surrounding receptor atoms, respectively. Its pose in 9WQ3 also deviated markedly from the deposited position, with an RMSD of 9.30 Å. By combining receptor geometry with density information, PocketXMol-tuned eliminated all receptor clashes and consistently achieved RMSD values of 0.52–1.41 Å.</w:t>
      </w:r>
    </w:p>
    <w:p>
      <w:pPr>
        <w:pStyle w:val="BodyText"/>
        <w:spacing w:line="480" w:lineRule="auto" w:after="120"/>
        <w:ind w:firstLine="480"/>
      </w:pPr>
      <w:r>
        <w:rPr>
          <w:rFonts w:ascii="Times New Roman" w:hAnsi="Times New Roman"/>
          <w:sz w:val="24"/>
        </w:rPr>
        <w:t xml:space="preserve">These cases showed that the receptor structure imposes steric constraints, whereas cryo-EM density constrains ligand position and conformation. PocketXMol-tuned combines these complementary sources of information to reconstruct ligand poses with high accuracy.</w:t>
      </w:r>
    </w:p>
    <w:p>
      <w:pPr>
        <w:pStyle w:val="CaptionedFigure"/>
        <w:keepNext/>
        <w:spacing w:line="240" w:lineRule="auto" w:before="0" w:after="0"/>
        <w:ind w:firstLine="0"/>
        <w:jc w:val="center"/>
      </w:pPr>
      <w:r>
        <w:rPr>
          <w:rFonts w:ascii="Times New Roman" w:hAnsi="Times New Roman"/>
          <w:sz w:val="24"/>
        </w:rPr>
        <w:drawing>
          <wp:inline>
            <wp:extent cx="4522429" cy="5828030"/>
            <wp:effectExtent b="0" l="0" r="0" t="0"/>
            <wp:docPr descr="Fig. 10 | Complementary constraints from receptor pockets and experimental density. a–c, Three instances in which PocketXMol-official top-1 poses deviate from experimental density: 9Q16–XG4, 9UB7–Y01 and 9R3D–IHP. d–f,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 title="MDPPTFIG_eJztV91uHDUUfhVrr1opu7O7ydLuqlRKk6YUpVWaNmorBkXOjGfHimds2Z6dbCkSN4CQQFyAesMDwBXcgwQXvAlSaR-D74xnN5s2RRWoSJWIkox_jr_z99k-_qhjuM87E9Z59u0vT7_7NXKeT8X6069_ev79Z0-_fNIzxp901ljHCqfVTKQkujWJ4wMnrIvjwWg8GMfxtnDHXps4fv7jz38--fz5V188--G3OA6Ycfwq0JIXggDDfDfhTrhuwWVJkwk3XurysOD2uDIQ-6BzpZ4YdlKo0k3qd-NO7r2ZRJFLclFw19NGlJjMtC24R9dOo1rb1FidCOdkOS1UNOz334lIQ9y5Smh7tvnc9XMlWD2ZcQXcmwXM2QrqSS5aSJDssRBmV5bCNeMrvXriDE-gBjgKQwAabvTjTtvdrxQN8crrFrMVp5WyTCGWSev8bljab4UwEwwIloZ_bXtHl95hHXeJlFhzTxbCsduiZvu64GWjOt8s3blzDWqAILCjpn_UNLeCb80XZj5aBma4sTD9UVgeDPGUk8YdstyAKsLOBER35LTHBn32mG3pwihRiNJzO2eJLp23yALMz6wumBWJMF5bZnRyLDDKERBxYoSVzRrFUgE__LxHan1Q_kbj8S-8Zv-VjW8kZ_yPT75J3oIor7F7uRWCSVCJl9jhaLE6l0nO9hoSPbilVVdnmUwk-IPTqTsAvXDCgEszyb0I1DuPZRM2vjN4B4F4cGNjjY0Prl1C-2F_0NByvL--je7N9_b-J-ObJmOKQGdvQZT_hozXC26GSk671yqp0jM8TBR3Oaulz5nPxfIQBPsOLr0Pz29sH4B99w_20N7Z3A7su39nHd3B3Yc9dk37VbKzQqdCOVY5ASJDhfQiXaKGMzUBz63opiLDNZMujtseu85hqtU1c7mu3bk76IK2vJyKi2urs74imAtHqhIXGwUvuHvBVBYHPxYFN1e8d0KJhCw8mgfLmUu0FT22vbQdOMCE5VYwL7haW_UGY1rJmWBTRL585Y3BuDGC0wL8kiy0CZf32D4UpEhAowc3eIOwvIi414VjVHuENNG9jmvL84TCtU3o2mMRJS6zGEWtwHTGQIpUNm7lgs_mLU6dw2XmrSRN3Ko5-OGFNVpxEl2YagXS0ILCEl3AlRTz0mlX2Qy0wxRYl2uV9thWQ59EV7QFQqjADCJgym3aXbrSGNIlQ5jhKDEQecMtb0OPixj2wiKFIgnwvGT93qUR881uIUtcVZBnaErLZphPhWX3OQfVLE-l7IH8oglqyx5atGIyZR7bYch-_5Rw0hfSuxqoHttUqvGRAH2ukXyXN-knQ1AuslQ6o_i8YfYUQV9jMylqSg_YiSKOEF3CFYh0lz7sCMlfYyNoR87BcKhLIQ5gIxKZoRrJUYm02XcyrWA8EuJlJlHinj3jqRC72vkQ1emyKu1sjIbDjeH4ZHR5eLm_3n98xchkgr-2UOWvVaimltcvVagtArD-CQaW-cqKJYx9LZBmu4ttnVS0jQKSFaApQo1dYBwdjORhOduTCR2L1Eluz_YsMusS0rI1iZrnQdS8DqL2cRCtvg0iLwoDN8sKS6Txh5mcwlh3mMrx5bJ-NI_CwGEfP4N-z5RTOCJToI-opqaXA9p7Cx-RmqUdpyYFAzlFcBdnlmOl3srpENu0OOuICA4gA8JbTBApfBgE5unSFQUBNXopCEdKmh2pFGmkdrM-NPgE20z4JKdmBpl9aGnmz3SWQtFZPOo5vADYUX0LJ-XKM4JPTjJb0BeJYyfh4cDmywdEM07T4sSzhOZbukIqIbGWta0wpJrvAtTgQXJD0MGBBqRxpvigls92XZA9bS2kab7UwfTotMknCpciUMaj4SignCtFebnePHtW2nziuVSL4dW2Ktt4ObPMC_6udj7-C7NkOQM" id="49" name="Picture"/>
            <a:graphic>
              <a:graphicData uri="http://schemas.openxmlformats.org/drawingml/2006/picture">
                <pic:pic>
                  <pic:nvPicPr>
                    <pic:cNvPr descr="C:/Users/15919/Desktop/论文草稿/temp/manuscript_figures_di98nwzy/figure_000010.png" id="50" name="Picture"/>
                    <pic:cNvPicPr>
                      <a:picLocks noChangeArrowheads="1" noChangeAspect="1"/>
                    </pic:cNvPicPr>
                  </pic:nvPicPr>
                  <pic:blipFill>
                    <a:blip r:embed="rId48"/>
                    <a:stretch>
                      <a:fillRect/>
                    </a:stretch>
                  </pic:blipFill>
                  <pic:spPr bwMode="auto">
                    <a:xfrm>
                      <a:off x="0" y="0"/>
                      <a:ext cx="4522429" cy="582803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10 | Complementary constraints from receptor pockets and experimental density.</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Three instances in which PocketXMol-official top-1 poses deviate from experimental density: 9Q16–XG4, 9UB7–Y01 and 9R3D–IHP.</w:t>
      </w:r>
      <w:r>
        <w:rPr>
          <w:rFonts w:ascii="Times New Roman" w:hAnsi="Times New Roman"/>
          <w:sz w:val="24"/>
        </w:rPr>
        <w:t xml:space="preserve"> </w:t>
      </w:r>
      <w:r>
        <w:rPr>
          <w:rFonts w:ascii="Times New Roman" w:hAnsi="Times New Roman"/>
          <w:b/>
          <w:bCs/>
          <w:sz w:val="24"/>
        </w:rPr>
        <w:t xml:space="preserve">d–f</w:t>
      </w:r>
      <w:r>
        <w:rPr>
          <w:rFonts w:ascii="Times New Roman" w:hAnsi="Times New Roman"/>
          <w:sz w:val="24"/>
        </w:rPr>
        <w:t xml:space="preserve">,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w:t>
      </w:r>
    </w:p>
    <w:bookmarkEnd w:id="51"/>
    <w:bookmarkEnd w:id="52"/>
    <w:bookmarkStart w:id="73" w:name="end-to-end"/>
    <w:p>
      <w:pPr>
        <w:pStyle w:val="Heading2"/>
        <w:keepNext/>
        <w:spacing w:line="480" w:lineRule="auto"/>
        <w:ind w:firstLine="0"/>
      </w:pPr>
      <w:r>
        <w:rPr>
          <w:rFonts w:ascii="Times New Roman" w:hAnsi="Times New Roman"/>
          <w:sz w:val="24"/>
        </w:rPr>
        <w:t xml:space="preserve">End-to-end</w:t>
      </w:r>
    </w:p>
    <w:bookmarkStart w:id="53" w:name="evaluation-protocol"/>
    <w:p>
      <w:pPr>
        <w:pStyle w:val="Heading3"/>
        <w:keepNext/>
        <w:spacing w:line="480" w:lineRule="auto"/>
        <w:ind w:firstLine="0"/>
      </w:pPr>
      <w:r>
        <w:rPr>
          <w:rFonts w:ascii="Times New Roman" w:hAnsi="Times New Roman"/>
          <w:sz w:val="24"/>
        </w:rPr>
        <w:t xml:space="preserve">Evaluation protocol</w:t>
      </w:r>
    </w:p>
    <w:p>
      <w:pPr>
        <w:pStyle w:val="FirstParagraph"/>
        <w:spacing w:line="480" w:lineRule="auto" w:after="120"/>
        <w:ind w:firstLine="480"/>
      </w:pPr>
      <w:r>
        <w:rPr>
          <w:rFonts w:ascii="Times New Roman" w:hAnsi="Times New Roman"/>
          <w:sz w:val="24"/>
        </w:rPr>
        <w:t xml:space="preserve">In practical cryo-EM structure determination, researchers work with unannotated three-dimensional density maps and unknown binding sites. To assess automated modelling in this setting, we connected Find, Match and Build into a single end-to-end pipeline. We evaluated region detection and identity matching across all ligand categories, and full pose reconstruction for eligible small molecules.</w:t>
      </w:r>
    </w:p>
    <w:p>
      <w:pPr>
        <w:pStyle w:val="BodyText"/>
        <w:spacing w:line="480" w:lineRule="auto" w:after="120"/>
        <w:ind w:firstLine="480"/>
      </w:pPr>
      <w:r>
        <w:rPr>
          <w:rFonts w:ascii="Times New Roman" w:hAnsi="Times New Roman"/>
          <w:sz w:val="24"/>
        </w:rPr>
        <w:t xml:space="preserve">LigandSeek-Find ranks candidate ligand regions by descending mean probability, yielding Rank 1, Rank 2 and subsequent candidates. End-to-end region detection and identity matching across all ligand categories require both Find and Match to succeed. Full pose reconstruction for eligible small molecules requires Find, Match and Build to succeed.</w:t>
      </w:r>
    </w:p>
    <w:p>
      <w:pPr>
        <w:pStyle w:val="BodyText"/>
        <w:spacing w:line="480" w:lineRule="auto" w:after="120"/>
        <w:ind w:firstLine="480"/>
      </w:pPr>
      <w:r>
        <w:rPr>
          <w:rFonts w:ascii="Times New Roman" w:hAnsi="Times New Roman"/>
          <w:sz w:val="24"/>
        </w:rPr>
        <w:t xml:space="preserve">For each PDB entry, the pipeline examines these candidates in order within a specified relative attempt budget. Unsupported ligand types are skipped, whereas model prediction errors, including false positives, remain counted. For a PDB entry containing</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eligible ligands, a relative attempt budget</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allows</w:t>
      </w:r>
      <w:r>
        <w:rPr>
          <w:rFonts w:ascii="Times New Roman" w:hAnsi="Times New Roman"/>
          <w:sz w:val="24"/>
        </w:rPr>
        <w:t xml:space="preserve"> </w:t>
      </w:r>
      <m:oMath>
        <m:r>
          <m:rPr>
            <m:sty m:val="p"/>
          </m:rPr>
          <m:t>⌊</m:t>
        </m:r>
        <m:r>
          <m:t>ρ</m:t>
        </m:r>
        <m:r>
          <m:t>N</m:t>
        </m:r>
        <m:r>
          <m:rPr>
            <m:sty m:val="p"/>
          </m:rPr>
          <m:t>⌋</m:t>
        </m:r>
      </m:oMath>
      <w:r>
        <w:rPr>
          <w:rFonts w:ascii="Times New Roman" w:hAnsi="Times New Roman"/>
          <w:sz w:val="24"/>
        </w:rPr>
        <w:t xml:space="preserve"> </w:t>
      </w:r>
      <w:r>
        <w:rPr>
          <w:rFonts w:ascii="Times New Roman" w:hAnsi="Times New Roman"/>
          <w:sz w:val="24"/>
        </w:rPr>
        <w:t xml:space="preserve">attempts. We report the fraction of qualified ground-truth ligand instances successfully processed within this budget, termed the completion ratio, which is a function of</w:t>
      </w:r>
      <w:r>
        <w:rPr>
          <w:rFonts w:ascii="Times New Roman" w:hAnsi="Times New Roman"/>
          <w:sz w:val="24"/>
        </w:rPr>
        <w:t xml:space="preserve"> </w:t>
      </w:r>
      <m:oMath>
        <m:r>
          <m:t>ρ</m:t>
        </m:r>
      </m:oMath>
      <w:r>
        <w:rPr>
          <w:rFonts w:ascii="Times New Roman" w:hAnsi="Times New Roman"/>
          <w:sz w:val="24"/>
        </w:rPr>
        <w:t xml:space="preserve">. The detailed evaluation protocol is described in Methods</w:t>
      </w:r>
      <w:r>
        <w:rPr>
          <w:rFonts w:ascii="Times New Roman" w:hAnsi="Times New Roman"/>
          <w:sz w:val="24"/>
        </w:rPr>
        <w:t xml:space="preserve"> </w:t>
      </w:r>
      <w:r>
        <w:rPr>
          <w:rFonts w:ascii="Times New Roman" w:hAnsi="Times New Roman"/>
          <w:sz w:val="24"/>
        </w:rPr>
        <w:t xml:space="preserve">(</w:t>
      </w:r>
      <w:r>
        <w:rPr>
          <w:rStyle w:val="MDFIGREF_eJyrrk7LTC9KTbNKNUrVTUxOzi_NK8nMS9ctKs1JLdZNKUpMK6mtBQAQ2w6I"/>
          <w:rFonts w:ascii="Times New Roman" w:hAnsi="Times New Roman"/>
          <w:sz w:val="24"/>
        </w:rPr>
        <w:t xml:space="preserve">Fig. 16</w:t>
      </w:r>
      <w:r>
        <w:rPr>
          <w:rFonts w:ascii="Times New Roman" w:hAnsi="Times New Roman"/>
          <w:sz w:val="24"/>
        </w:rPr>
        <w:t xml:space="preserve">).</w:t>
      </w:r>
    </w:p>
    <w:bookmarkEnd w:id="53"/>
    <w:bookmarkStart w:id="57" w:name="X8b9bf2ea799954d7a0607b96c625e6fec49216c"/>
    <w:p>
      <w:pPr>
        <w:pStyle w:val="Heading3"/>
        <w:keepNext/>
        <w:spacing w:line="480" w:lineRule="auto"/>
        <w:ind w:firstLine="0"/>
      </w:pPr>
      <w:r>
        <w:rPr>
          <w:rFonts w:ascii="Times New Roman" w:hAnsi="Times New Roman"/>
          <w:sz w:val="24"/>
        </w:rPr>
        <w:t xml:space="preserve">Detection and identity matching across all ligand classes</w:t>
      </w:r>
    </w:p>
    <w:p>
      <w:pPr>
        <w:pStyle w:val="FirstParagraph"/>
        <w:spacing w:line="480" w:lineRule="auto" w:after="120"/>
        <w:ind w:firstLine="480"/>
      </w:pPr>
      <w:r>
        <w:rPr>
          <w:rFonts w:ascii="Times New Roman" w:hAnsi="Times New Roman"/>
          <w:sz w:val="24"/>
        </w:rPr>
        <w:t xml:space="preserve">For detection and identity matching across all ligand classes, increasing the relative attempt budget from 100% to 300% raised mean instance completion. Completion increased from 51.1% to 58.8% for CA2 and from 62.1% to 67.5% for GT</w:t>
      </w:r>
      <w:r>
        <w:rPr>
          <w:rFonts w:ascii="Times New Roman" w:hAnsi="Times New Roman"/>
          <w:sz w:val="24"/>
        </w:rPr>
        <w:t xml:space="preserve"> </w:t>
      </w:r>
      <w:r>
        <w:rPr>
          <w:rFonts w:ascii="Times New Roman" w:hAnsi="Times New Roman"/>
          <w:sz w:val="24"/>
        </w:rPr>
        <w:t xml:space="preserve">(</w:t>
      </w:r>
      <w:r>
        <w:rPr>
          <w:rStyle w:val="MDFIGREF_eJyrrk7LTC9KTbMqLi0o0E01StVNzs8tyEktyczP003MyamtBQDpjA1c"/>
          <w:rFonts w:ascii="Times New Roman" w:hAnsi="Times New Roman"/>
          <w:sz w:val="24"/>
        </w:rPr>
        <w:t xml:space="preserve">Fig. 11</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corresponding medians increased from 50.0% and 66.7% to 60.2% and 71.4%, respectively. A relative attempt budget of 100% has particular practical significance. This corresponds to a scenario in which ligand identities and numbers are known to the user and can constrain the end-to-end pipeline. Under these conditions, our pipeline recovered most of the ligand instances</w:t>
      </w:r>
      <w:r>
        <w:rPr>
          <w:rFonts w:ascii="Times New Roman" w:hAnsi="Times New Roman"/>
          <w:sz w:val="24"/>
        </w:rPr>
        <w:t xml:space="preserve"> </w:t>
      </w:r>
      <w:r>
        <w:rPr>
          <w:rFonts w:ascii="Times New Roman" w:hAnsi="Times New Roman"/>
          <w:sz w:val="24"/>
        </w:rPr>
        <w:t xml:space="preserve">(</w:t>
      </w:r>
      <w:r>
        <w:rPr>
          <w:rStyle w:val="MDFIGREF_eJyrrk7LTC9KTbMqLi0o0E01StVNzs8tyEktyczP003MyamtBQDpjA1c"/>
          <w:rFonts w:ascii="Times New Roman" w:hAnsi="Times New Roman"/>
          <w:sz w:val="24"/>
        </w:rPr>
        <w:t xml:space="preserve">Fig. 11</w:t>
      </w:r>
      <w:r>
        <w:rPr>
          <w:rFonts w:ascii="Times New Roman" w:hAnsi="Times New Roman"/>
          <w:sz w:val="24"/>
        </w:rPr>
        <w:t xml:space="preserve">).</w:t>
      </w:r>
    </w:p>
    <w:p>
      <w:pPr>
        <w:pStyle w:val="CaptionedFigure"/>
        <w:keepNext/>
        <w:spacing w:line="240" w:lineRule="auto" w:before="0" w:after="0"/>
        <w:ind w:firstLine="0"/>
        <w:jc w:val="center"/>
      </w:pPr>
      <w:r>
        <w:rPr>
          <w:rFonts w:ascii="Times New Roman" w:hAnsi="Times New Roman"/>
          <w:sz w:val="24"/>
        </w:rPr>
        <w:drawing>
          <wp:inline>
            <wp:extent cx="5733415" cy="2936871"/>
            <wp:effectExtent b="0" l="0" r="0" t="0"/>
            <wp:docPr descr="Fig. 11 | End-to-end completion of ligand detection and identity matching across all ligand classes. a, Deposited receptors (GT). b, CryoAtom2-reconstructed receptors (CA2). Both conditions include 179 PDB entries and 2,502 ligand instances. At budget \rho, each PDB is allowed \lfloor \rho N \rfloor charged attempts, where N is the number of eligible ligand instances in that PDB. The ligand-instance completion ratio is the fraction of these N instances that are successfully detected and correctly matched. Green lines/circles and blue lines/diamonds show the PDB-equal mean and median, respectively. Grey points and violins show PDB distributions at 50%, 100%, 200% and 300% budgets." title="MDPPTFIG_eJztWM1uGzcQfhVCQIAWkLSSHCXxIjXgyE5QwDGM1D11C4PijrSEuSRLciUrSQ899Scp0EPRS4Eei57yACmQPkLfoaiTPEaH5K4sJ26RJk1QAzYg73D48eNwZpY75L2Wpq5opaT17Ptfj398kmwPto8f_fTnkwfHjx4-_eq748c_d7V2R602aRmwSswg9-hRmmUfWzA2y_rD9f56lm2BPXRKZ9nzR4-f_vDl82-_fvbLb1kWabPsH3glLcFz2krrDgygw1SpBTiuZIcK4SGMat88KKk5rDSCP2ldn6eaHJVC2nT-QdYqnNNpklhWQEltV2mQ2DlRpqQOm2aazJXJtVEMrOVyWopk0OtdSUrKZdba8Gx7Jjw-cgsBZJ7OqEDeD0s6hVGc3uOSBuGxhwB6h0uwQb_SmqdWU4bTII9AFRINLveyVt28UwmvopVTNWcN9yO5zBE24ca6nTi0V4OwJxoQLY3_avmmks7iOGoZ5zhmn5dgyS7MyR1VUhmmLjalPbMvsEYKTzYO7XEQR3Ft4Ylm3l06ZnC5Mf1uHB4NcT4mYTneco05A2YGCL3Jp13S75P7ZFvmHac6gOs8iTRREyL4lKIyBwcs6HyL5yAddwuCgWSFdyllRllLMDWaEUxQa8F2vR0uWvNWHfQGbiDvysa3EkR6DjzcJlugleUOcmKAgXbKWPLerf33u2TcJiOzUJtOlYMOdippnanYC9DR5gCxN5QrMEFlzn0uWsIlE1UOpH91next3SCYlobjInwCDtrD3qDJRo6kVOI-0yWbjoyrfAruHPjtdGaWqbqNX4Z6hy1faYdVkwlnsKVYVaJzmv3VFd6OMpK6jd-_uJ6UYZ6gSuqJ_q9eaROgrAgB52HPUXPIL6IZSYMRZWr97lzbqYOZQRdDvFfH_Y-H35wK_N8lxFK_e5b638344Fyl2jv7NLyBjaygZoq7JXUOSu1sm8wLMHAOLH9H29vuRcr9xzbitusKILIqx2B8mQj4neVjrNFf_N6ihFDq_G7dJftFg-g0iNV601B8kJp8YihrqlBs24uEvkjot5fQy3wNyUoNEFsxfy6dVEIs6vOP32TDCclgZepEff6BvEtuGQBJ_DnSJowbJuoidCwqqNU5pyVWrpbYQs1DhuMr0YHPKipICTSerEpAmGxj5Wu1P3DNQCwC-4Joxb2rPGrGFXLWTL4MyjnWzHxcxaoYFzDsXWqTfs__xxS6FEateSGWvi8cy_z5daP1KR7ql4f51vDq2trl_vBosL525drV_v3rmrMUf3U201fK5tzQ-UsH-5oBuV6HA4e5ysCSxrz2a2VA0OCwgmvr08WvUM72OPPJ4htsd7ZnMPaW-VlGaRKuV5Jwu5LUlyvJ6t1K4r_AuExZ4RCu3cGET9FYe5Dz9WtyfneRRMVBD__6_a6WU1wIz5F9eAUlf-2C8l6zRgzN0o4Tk6KB1HtwR7FDS6QaFVROYdMYhd9-mlsk6Xu-piNkU1Qi58nQlQkia_KSE8aC65tcCD-jl8P4KFAs8AzgK-DFCWLu4Cyh_1RjCUpO8_mW1ejh8fy2yldvX2h6NDGlf2LgyFG8byGL5b1L0PtuOHKE-f46XRHFPKzO2hqMqPBsSLWx7haokngB0f5tjtPS2Y6N2BOpQft-qaLpyYlIUyGJv-5aHw6GkeVMlI_LdrgtWpFp6igXjXpVFrL2l9XLuOBvo_X5X9126r0" id="55" name="Picture"/>
            <a:graphic>
              <a:graphicData uri="http://schemas.openxmlformats.org/drawingml/2006/picture">
                <pic:pic>
                  <pic:nvPicPr>
                    <pic:cNvPr descr="C:/Users/15919/Desktop/论文草稿/temp/manuscript_figures_di98nwzy/figure_000011.png" id="56" name="Picture"/>
                    <pic:cNvPicPr>
                      <a:picLocks noChangeArrowheads="1" noChangeAspect="1"/>
                    </pic:cNvPicPr>
                  </pic:nvPicPr>
                  <pic:blipFill>
                    <a:blip r:embed="rId54"/>
                    <a:stretch>
                      <a:fillRect/>
                    </a:stretch>
                  </pic:blipFill>
                  <pic:spPr bwMode="auto">
                    <a:xfrm>
                      <a:off x="0" y="0"/>
                      <a:ext cx="5733415" cy="293687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11 | End-to-end completion of ligand detection and identity matching across all ligand classes.</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Deposited receptors (GT). b, CryoAtom2-reconstructed receptors (CA2). Both conditions include 179 PDB entries and 2,502 ligand instances. At budget</w:t>
      </w:r>
      <w:r>
        <w:rPr>
          <w:rFonts w:ascii="Times New Roman" w:hAnsi="Times New Roman"/>
          <w:sz w:val="24"/>
        </w:rPr>
        <w:t xml:space="preserve"> </w:t>
      </w:r>
      <m:oMath>
        <m:r>
          <m:t>ρ</m:t>
        </m:r>
      </m:oMath>
      <w:r>
        <w:rPr>
          <w:rFonts w:ascii="Times New Roman" w:hAnsi="Times New Roman"/>
          <w:sz w:val="24"/>
        </w:rPr>
        <w:t xml:space="preserve">, each PDB is allowed</w:t>
      </w:r>
      <w:r>
        <w:rPr>
          <w:rFonts w:ascii="Times New Roman" w:hAnsi="Times New Roman"/>
          <w:sz w:val="24"/>
        </w:rPr>
        <w:t xml:space="preserve"> </w:t>
      </w:r>
      <m:oMath>
        <m:r>
          <m:rPr>
            <m:sty m:val="p"/>
          </m:rPr>
          <m:t>⌊</m:t>
        </m:r>
        <m:r>
          <m:t>ρ</m:t>
        </m:r>
        <m:r>
          <m:t>N</m:t>
        </m:r>
        <m:r>
          <m:rPr>
            <m:sty m:val="p"/>
          </m:rPr>
          <m:t>⌋</m:t>
        </m:r>
      </m:oMath>
      <w:r>
        <w:rPr>
          <w:rFonts w:ascii="Times New Roman" w:hAnsi="Times New Roman"/>
          <w:sz w:val="24"/>
        </w:rPr>
        <w:t xml:space="preserve"> </w:t>
      </w:r>
      <w:r>
        <w:rPr>
          <w:rFonts w:ascii="Times New Roman" w:hAnsi="Times New Roman"/>
          <w:sz w:val="24"/>
        </w:rPr>
        <w:t xml:space="preserve">charged attempts, where</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is the number of eligible ligand instances in that PDB. The ligand-instance completion ratio is the fraction of these</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instances that are successfully detected and correctly matched. Green lines/circles and blue lines/diamonds show the PDB-equal mean and median, respectively. Grey points and violins show PDB distributions at 50%, 100%, 200% and 300% budgets.</w:t>
      </w:r>
    </w:p>
    <w:bookmarkEnd w:id="57"/>
    <w:bookmarkStart w:id="61" w:name="end-to-end-modelling-of-small-molecules"/>
    <w:p>
      <w:pPr>
        <w:pStyle w:val="Heading3"/>
        <w:keepNext/>
        <w:spacing w:line="480" w:lineRule="auto"/>
        <w:ind w:firstLine="0"/>
      </w:pPr>
      <w:r>
        <w:rPr>
          <w:rFonts w:ascii="Times New Roman" w:hAnsi="Times New Roman"/>
          <w:sz w:val="24"/>
        </w:rPr>
        <w:t xml:space="preserve">End-to-end modelling of small molecules</w:t>
      </w:r>
    </w:p>
    <w:p>
      <w:pPr>
        <w:pStyle w:val="FirstParagraph"/>
        <w:spacing w:line="480" w:lineRule="auto" w:after="120"/>
        <w:ind w:firstLine="480"/>
      </w:pPr>
      <w:r>
        <w:rPr>
          <w:rFonts w:ascii="Times New Roman" w:hAnsi="Times New Roman"/>
          <w:sz w:val="24"/>
        </w:rPr>
        <w:t xml:space="preserve">Successful processing of a small-molecule instance requires successful detection by Find, correct identity assignment by Match and a PocketXMol-tuned pose with a heavy-atom RMSD below the specified threshold. We report results under eight combinations of the following test conditions. These combine GT or CA2 receptors, top-1 or best-of-50 poses, and heavy-atom RMSD thresholds of &lt;2 Å or &lt;3 Å.</w:t>
      </w:r>
    </w:p>
    <w:p>
      <w:pPr>
        <w:pStyle w:val="BodyText"/>
        <w:spacing w:line="480" w:lineRule="auto" w:after="120"/>
        <w:ind w:firstLine="480"/>
      </w:pPr>
      <w:r>
        <w:rPr>
          <w:rFonts w:ascii="Times New Roman" w:hAnsi="Times New Roman"/>
          <w:sz w:val="24"/>
        </w:rPr>
        <w:t xml:space="preserve">For top-1 poses with RMSD &lt;3 Å, mean completion for CA2 was 47.7% and 53.0% at 100% and 300% budgets, respectively. The corresponding GT values were 60.1% and 61.1%</w:t>
      </w:r>
      <w:r>
        <w:rPr>
          <w:rFonts w:ascii="Times New Roman" w:hAnsi="Times New Roman"/>
          <w:sz w:val="24"/>
        </w:rPr>
        <w:t xml:space="preserve"> </w:t>
      </w:r>
      <w:r>
        <w:rPr>
          <w:rFonts w:ascii="Times New Roman" w:hAnsi="Times New Roman"/>
          <w:sz w:val="24"/>
        </w:rPr>
        <w:t xml:space="preserve">(</w:t>
      </w:r>
      <w:r>
        <w:rPr>
          <w:rStyle w:val="MDFIGREF_eJyrrk7LTC9KTbMqLi0o0E01StVNzs8tyEktyczP0y3OTczJqa0FAAWgDjw"/>
          <w:rFonts w:ascii="Times New Roman" w:hAnsi="Times New Roman"/>
          <w:sz w:val="24"/>
        </w:rPr>
        <w:t xml:space="preserve">Fig. 12</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best-of-50 poses, mean completion was 54.7% and 62.8% for CA2, and 66.0% and 66.9% for GT, respectively. The gap between best pose and top-1 pose shows that many correct poses had already been generated but were not ranked first.</w:t>
      </w:r>
    </w:p>
    <w:p>
      <w:pPr>
        <w:pStyle w:val="CaptionedFigure"/>
        <w:keepNext/>
        <w:spacing w:line="240" w:lineRule="auto" w:before="0" w:after="0"/>
        <w:ind w:firstLine="0"/>
        <w:jc w:val="center"/>
      </w:pPr>
      <w:r>
        <w:rPr>
          <w:rFonts w:ascii="Times New Roman" w:hAnsi="Times New Roman"/>
          <w:sz w:val="24"/>
        </w:rPr>
        <w:drawing>
          <wp:inline>
            <wp:extent cx="5733415" cy="4908150"/>
            <wp:effectExtent b="0" l="0" r="0" t="0"/>
            <wp:docPr descr="Fig. 12 | End-to-end completion of small molecules. Eligible small molecules are single-residue organic small molecules with no atoms missing relative to their templates. GT, deposited receptors (left); CA2, CryoAtom2-reconstructed receptors (right). a,b, top-1 RMSD &lt; 2 Å; c,d, top-1 RMSD &lt; 3 Å; e,f, best-of-50 RMSD &lt; 2 Å; g,h, best-of-50 RMSD &lt; 3 Å. LigandSeek Find–Match–Build pipeline was evaluated on 77 PDB entries comprising 446 ligand instances, using PocketXMol-tuned for pose reconstruction. For N eligible instances in each PDB entry, budget \rho allows \lfloor \rho N \rfloor charged attempts. The completion ratio is the number of successful instances divided by N. Green lines/circles and blue lines/diamonds show the PDB-equal mean and median, respectively; grey points and violins show the distributions at 50%, 100%, 200% and 300% budgets." title="MDPPTFIG_eJztWN1qG0cUfpWDIKUBSSvJVhJvUoMj26FgB-GkUOgWM9o90g7enZnOzGqtNIX2ovQnKRRaelPoZelVHiCF9KIP0HcIdZLH6JnZlSzHSQlpGmKIQNqzM998c_5mdGY-bShm00YIjcc__n7084Ngq7d1dO-Xvx_cObp399HX3x_d_7WtlD1sNKGh0chsiolDD8Io-sCgNlHU7a9116JoE82BlSqKnty7_-inr558983j3_6Iooo2iv6FV7AcHacplGphD1uxzFWGlkvRMjnLMgeKmXIN-znTB4Ui-EeNK2Wo4DDPhAnL96JGaq0Kg8DEKebMtKVCQZ1jqXNm6VVPglLqRGkZozFcTPIs6HU6F4KccRE11h3bUPvHDTvLEMpwyjLifT9nExxU0ztcMEc47AGi2uECjW9feitDo1hM0xBPRk1E1FvtRI36da_IXBMrrKw5a7gbyUVCsDHXxu5UQzs1iHoqBSpNq59a3pbCGhrHTMw5jbnJczRwHUvYkzkTfup0Q5hn9nnWisKRjfz7yIuDyjb_JDVvLRzTW52rfqsaXiliXUy8OU5zRVmDeooE3eaTNnR7cBu2RNKysoVk53GsQY7BhxtymWFMDjJtR2sr8v_V3v9gFZwBHbcyPuEjyumn_AtMUxtlXYYtQvOkQKCFwgSPT0FLblMQEpiVuYGc-zUEGjNm-RTBSrApcg0WKaDMUvDg2s0mJKik4RYTgsaorNQG3s1wbM9fhsFGrwkDPZMbxNkjDWIpjNVF_BRc80lqz7eBNUdNmki1urC3e2MT3snsZejBn19ehriZnO5a8V3YHDdhhMa25LjV75waOmmmz-l349uww8khyQ3EA9im9ffw8x92mY1Tel4teJaA4grdkoaSGUAKUMGc_pTQFy_CcPMqoLCakwddqmvu3ba6egEyzwucTGaC9qQmFL5vKOMDtB_uyqxlC0FMtIUBORFhyUG0XtqwLfUZSL6TCyQPJbkvrfft_IX2bTke8xg3ZVzk5Mv5rm1Tp0dekdr161eC3E_jW4J6nrPhlDdTR5zvGosUJQmQxekirWe0copkgvYMmPOa8vCvL94m4ivWkf6IZGnOgKKvJcW8Enlo7AzyWk_l1fRtVd4N62R8ePfbE9n4vCx9zi76UjPeeZv_r1jHOGV6QoUAs664okyBmykuV86aajAJ3LgSDESRj1D7arqI3VlnXGRLW3jCpzwhstHsDFj-tnZ4hlOosNaIAlzRaYKY69iX8lRLjjIq4KvmhLNcisSASWXp84L-s1v4ScGoqEcmPD5HgokmFZZGYezq-GxGBbHGGRWc3BnrUFMuiXOJKeFUhPJR4XKPIBb6nXNN6HbcLzn4nB-14oSqOHjqHOfOr-uNj-lQvzjMN_oXV1ZWu_3D1bXOpW6_c_uK4nFI3zrW7IVinWhWnjrY1wzE9TIcNMwWGhc0-qWTrjopkcNSrowLuLNQTIc8duF2L_H16VDTgcnEbpZBGPgLlsDfrwT19UqwfLsSuO2AzBQFDeHK7o_5hJQ1-wlfuyTKW7Ogatjv0KfbaysxIUN4QuwX3FWEu3gheTi3kUKz0ONYpUpB5jy4Q0cTQ4fAQcrEBDe0lmWKLDFE0nV88w6fTVUjcR4PXZqgYg1OOWGUcbXNs8zN6GQ_vhIY_dtopKOXE8eE2aNZfP-JlwUoOMnn3owiD4_KXZks376w8HCsc_ekwMFhdd8Cs8W9i2933XhoIXb9dboSKnawOmtrMKH8c06qtLHXUObgBELTMc5W07Lpjqmwx9Ic7fqFrFQPjkUWZgLcdddav9evWJ6JcnHZ8rdFSzILLePZvHlZzkTtL6MWcaHveuOzfwA9H-7h" id="59" name="Picture"/>
            <a:graphic>
              <a:graphicData uri="http://schemas.openxmlformats.org/drawingml/2006/picture">
                <pic:pic>
                  <pic:nvPicPr>
                    <pic:cNvPr descr="C:/Users/15919/Desktop/论文草稿/temp/manuscript_figures_di98nwzy/figure_000012.png" id="60" name="Picture"/>
                    <pic:cNvPicPr>
                      <a:picLocks noChangeArrowheads="1" noChangeAspect="1"/>
                    </pic:cNvPicPr>
                  </pic:nvPicPr>
                  <pic:blipFill>
                    <a:blip r:embed="rId58"/>
                    <a:stretch>
                      <a:fillRect/>
                    </a:stretch>
                  </pic:blipFill>
                  <pic:spPr bwMode="auto">
                    <a:xfrm>
                      <a:off x="0" y="0"/>
                      <a:ext cx="5733415" cy="490815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12 | End-to-end completion of small molecules.</w:t>
      </w:r>
      <w:r>
        <w:rPr>
          <w:rFonts w:ascii="Times New Roman" w:hAnsi="Times New Roman"/>
          <w:sz w:val="24"/>
        </w:rPr>
        <w:t xml:space="preserve"> </w:t>
      </w:r>
      <w:r>
        <w:rPr>
          <w:rFonts w:ascii="Times New Roman" w:hAnsi="Times New Roman"/>
          <w:sz w:val="24"/>
        </w:rPr>
        <w:t xml:space="preserve">Eligible small molecules are single-residue organic small molecules with no atoms missing relative to their templates. GT, deposited receptors (left); CA2, CryoAtom2-reconstructed receptors (right). a,b, top-1 RMSD &lt; 2 Å; c,d, top-1 RMSD &lt; 3 Å; e,f, best-of-50 RMSD &lt; 2 Å; g,h, best-of-50 RMSD &lt; 3 Å. LigandSeek Find–Match–Build pipeline was evaluated on 77 PDB entries comprising 446 ligand instances, using PocketXMol-tuned for pose reconstruction. For</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eligible instances in each PDB entry, budget</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allows</w:t>
      </w:r>
      <w:r>
        <w:rPr>
          <w:rFonts w:ascii="Times New Roman" w:hAnsi="Times New Roman"/>
          <w:sz w:val="24"/>
        </w:rPr>
        <w:t xml:space="preserve"> </w:t>
      </w:r>
      <m:oMath>
        <m:r>
          <m:rPr>
            <m:sty m:val="p"/>
          </m:rPr>
          <m:t>⌊</m:t>
        </m:r>
        <m:r>
          <m:t>ρ</m:t>
        </m:r>
        <m:r>
          <m:t>N</m:t>
        </m:r>
        <m:r>
          <m:rPr>
            <m:sty m:val="p"/>
          </m:rPr>
          <m:t>⌋</m:t>
        </m:r>
      </m:oMath>
      <w:r>
        <w:rPr>
          <w:rFonts w:ascii="Times New Roman" w:hAnsi="Times New Roman"/>
          <w:sz w:val="24"/>
        </w:rPr>
        <w:t xml:space="preserve"> </w:t>
      </w:r>
      <w:r>
        <w:rPr>
          <w:rFonts w:ascii="Times New Roman" w:hAnsi="Times New Roman"/>
          <w:sz w:val="24"/>
        </w:rPr>
        <w:t xml:space="preserve">charged attempts. The completion ratio is the number of successful instances divided by</w:t>
      </w:r>
      <w:r>
        <w:rPr>
          <w:rFonts w:ascii="Times New Roman" w:hAnsi="Times New Roman"/>
          <w:sz w:val="24"/>
        </w:rPr>
        <w:t xml:space="preserve"> </w:t>
      </w:r>
      <m:oMath>
        <m:r>
          <m:t>N</m:t>
        </m:r>
      </m:oMath>
      <w:r>
        <w:rPr>
          <w:rFonts w:ascii="Times New Roman" w:hAnsi="Times New Roman"/>
          <w:sz w:val="24"/>
        </w:rPr>
        <w:t xml:space="preserve">. Green lines/circles and blue lines/diamonds show the PDB-equal mean and median, respectively; grey points and violins show the distributions at 50%, 100%, 200% and 300% budgets.</w:t>
      </w:r>
    </w:p>
    <w:bookmarkEnd w:id="61"/>
    <w:bookmarkStart w:id="65" w:name="fair-comparison-with-emap2lig"/>
    <w:p>
      <w:pPr>
        <w:pStyle w:val="Heading3"/>
        <w:keepNext/>
        <w:spacing w:line="480" w:lineRule="auto"/>
        <w:ind w:firstLine="0"/>
      </w:pPr>
      <w:r>
        <w:rPr>
          <w:rFonts w:ascii="Times New Roman" w:hAnsi="Times New Roman"/>
          <w:sz w:val="24"/>
        </w:rPr>
        <w:t xml:space="preserve">Fair comparison with Emap2lig</w:t>
      </w:r>
    </w:p>
    <w:p>
      <w:pPr>
        <w:pStyle w:val="CaptionedFigure"/>
        <w:keepNext/>
        <w:spacing w:line="240" w:lineRule="auto" w:before="0" w:after="0"/>
        <w:ind w:firstLine="0"/>
        <w:jc w:val="center"/>
      </w:pPr>
      <w:r>
        <w:rPr>
          <w:rFonts w:ascii="Times New Roman" w:hAnsi="Times New Roman"/>
          <w:sz w:val="24"/>
        </w:rPr>
        <w:drawing>
          <wp:inline>
            <wp:extent cx="5733415" cy="3829451"/>
            <wp:effectExtent b="0" l="0" r="0" t="0"/>
            <wp:docPr descr="Fig. 13 | Find–Build completion by LigandSeek and Emap2lig with correct ligand identities. 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 N target instances, relative budget \rho allows \lfloor\rho N\rfloor charged attempts. Completion is the number of successful instances divided by N. Background candidates are charged, and out-of-scope foreground candidates are skipped." title="MDPPTFIG_eJztWN2OGzUUfhUrEgikJJNkN213WlbaZnerSttqtS3igkErx-NkrHhsY3uSTSkSXCDE31URNyCuueIBqAQXPADvUIm2j8E59uRnu1upKqVipV4k459zvvPrmXP8ScNQXzRS0njy_cO_f_w92evtPXn44PHPP7WN8SeNJmlY7rSc8hyJBmmWve-4dVnW7W91t7Jsl7uJ1ybLnv762-Mfvnz63VdPfvkjyyJalp2FU7TkCMV7vDUSKm8NKyHzVi4sZ77FdGmoFU4rpGXUeKHVcUntpDLA9WHj2iw15KSUyqWz97JG4b1Jk8SxgpfUtbXhCjZH2pbUw9SOk5m2ubGaceeEGpcy6XU6l5KSCpU1thHt0IbHHT-XnMzSKZWAe7OkYz6I4pEuWVAg7YRzcyAUd2F9bTZLnaEMxACOhCUA6m12skY9PaokLtHK6xqzJkdOcAWQjYR1_iCydmoi2IkKRE3jXz3e18o74KOOCQE8d0XJHbnNZ-RIl1QF0cWOcufuBdQIgWDDMB-G4SDaFp6g5r2lY3qbC9XvRfaoiMeYBHNQcwM5w-2UA-m-GLdJd4PcJ_tgx6PPHlzHcBOMs-ToXTKckwMxpiq_w_mEwJPsldT0pAAvCl8AqcXUIDIQEZFz5YUX3LVRvo9a_KeO-Rfmkwug4x6wVTTEQigmqxwEbW5eIhw8LoZwKFxJpWyVWnIGGQxEzlMFB4pQZrVz5PJlcrh7nUBcLIaF7J1iJAtGoLewBvkueQvEi7ziBI4oVYKdIQ2hV5pQr0tHShFOL7FcgqJTTrwmvuDCEs8hkahHsbQ5bMKGaXWJ0Q5XWDNvkiF3frFwwEc-pJgV48JDasmqVA5gP67g_UMKTqfzFookR7fu7BIHBjEv5-Rt6a_2yJ9fBF6cbMCkCXzOQGqCQnLeJh-AykIRTllBhlU-5h6EU-uIK_RsmdTN9WwPVg7sXO-AzB44hWlwrq2Y56AjZ9x4DQDvDHZ67zaD8GeZcw6miWfIb9wF6pEFMyQaDM4K9rbJ9aU64D0MWgssp-B3TtXambxKuLXarmlvuGV47iCoW_23IAU8JA-VLkrpdpqdTocMtfagPTXoGIpgjuhREBVTBCKwD7A0pAuY6uEtDGG9AGfk9DkuU30LPpv1d6h8oe-QHo0E47uaVSU4cvEV8gXqUUZQv337WlIGMWElqeVcDKf8P3X01MJBXL2zmqt3SDyjF8CG15R8f33-JvtesY7wTdMzdwEUfS0pFpQoU-fnpKz1NEHNsBbz7rBOxkfffn0qG5-Xpc95db6UxG_e5P8r1pEV-PrNoYrDOg0yhQxWhb9woTRQVTnkFgsFVzFs00aVXKsxczGFkj-HNuEC2PumTDjHKVh2ssnY6grqVwbVq8ixYA_dQJ0gsbbVlW_pUcsx8AsBp_DzedxEGMPz0-0f9sfbjY-apLG8LGj0L29sbHb7JxtXelub_e79a0awFH51QOgLBSS3dHbm4qBGAKyXwQA2X1m-hLEvnRmxloGeoRDGYVTQQjU9FAxjghN2e3pooUtwDKUM0iRc3yTh9iapL2-S9bubBE8qmKkqYBHGH4_EGJR1x7nYuqJm9-ZJXDiGir_T3WgbNQZDRA7olyAxCN7vwPhwYSOEZqnHSqWoIEUPHmg2cdDqDQqqxnwHGo8Z9GG5A5Au4i02QqsVFwFzxbomIKImZ5wwlMLsCylRIo4DfxxQ-BBY7lmBwxHQHIGUsH9qsiRKTuPhzBnw8HB2S-frtzs0PRnZEp8QOHIS73PIfHmvE9Zxm59AI4r7dboCFUOyOmtrYqAKzwWosc7f4NB74QCo8YokiqXTAxdpV6MFNe4rHVVPVkOaSkXwOm2r3-tHlHOpMC574TZqbUxTaOPkYnl9LFXtL2eWcYHfduPTfwAT5A6I" id="63" name="Picture"/>
            <a:graphic>
              <a:graphicData uri="http://schemas.openxmlformats.org/drawingml/2006/picture">
                <pic:pic>
                  <pic:nvPicPr>
                    <pic:cNvPr descr="C:/Users/15919/Desktop/论文草稿/temp/manuscript_figures_di98nwzy/figure_000013.png" id="64" name="Picture"/>
                    <pic:cNvPicPr>
                      <a:picLocks noChangeArrowheads="1" noChangeAspect="1"/>
                    </pic:cNvPicPr>
                  </pic:nvPicPr>
                  <pic:blipFill>
                    <a:blip r:embed="rId62"/>
                    <a:stretch>
                      <a:fillRect/>
                    </a:stretch>
                  </pic:blipFill>
                  <pic:spPr bwMode="auto">
                    <a:xfrm>
                      <a:off x="0" y="0"/>
                      <a:ext cx="5733415" cy="382945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13 | Find–Build completion by LigandSeek and Emap2lig with correct ligand identities.</w:t>
      </w:r>
      <w:r>
        <w:rPr>
          <w:rFonts w:ascii="Times New Roman" w:hAnsi="Times New Roman"/>
          <w:sz w:val="24"/>
        </w:rPr>
        <w:t xml:space="preserve"> </w:t>
      </w:r>
      <w:r>
        <w:rPr>
          <w:rFonts w:ascii="Times New Roman" w:hAnsi="Times New Roman"/>
          <w:sz w:val="24"/>
        </w:rPr>
        <w:t xml:space="preserve">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target instances, relative budget</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allows</w:t>
      </w:r>
      <w:r>
        <w:rPr>
          <w:rFonts w:ascii="Times New Roman" w:hAnsi="Times New Roman"/>
          <w:sz w:val="24"/>
        </w:rPr>
        <w:t xml:space="preserve"> </w:t>
      </w:r>
      <m:oMath>
        <m:r>
          <m:rPr>
            <m:sty m:val="p"/>
          </m:rPr>
          <m:t>⌊</m:t>
        </m:r>
        <m:r>
          <m:t>ρ</m:t>
        </m:r>
        <m:r>
          <m:t>N</m:t>
        </m:r>
        <m:r>
          <m:rPr>
            <m:sty m:val="p"/>
          </m:rPr>
          <m:t>⌋</m:t>
        </m:r>
      </m:oMath>
      <w:r>
        <w:rPr>
          <w:rFonts w:ascii="Times New Roman" w:hAnsi="Times New Roman"/>
          <w:sz w:val="24"/>
        </w:rPr>
        <w:t xml:space="preserve"> </w:t>
      </w:r>
      <w:r>
        <w:rPr>
          <w:rFonts w:ascii="Times New Roman" w:hAnsi="Times New Roman"/>
          <w:sz w:val="24"/>
        </w:rPr>
        <w:t xml:space="preserve">charged attempts. Completion is the number of successful instances divided by</w:t>
      </w:r>
      <w:r>
        <w:rPr>
          <w:rFonts w:ascii="Times New Roman" w:hAnsi="Times New Roman"/>
          <w:sz w:val="24"/>
        </w:rPr>
        <w:t xml:space="preserve"> </w:t>
      </w:r>
      <m:oMath>
        <m:r>
          <m:t>N</m:t>
        </m:r>
      </m:oMath>
      <w:r>
        <w:rPr>
          <w:rFonts w:ascii="Times New Roman" w:hAnsi="Times New Roman"/>
          <w:sz w:val="24"/>
        </w:rPr>
        <w:t xml:space="preserve">. Background candidates are charged, and out-of-scope foreground candidates are skipped.</w:t>
      </w:r>
    </w:p>
    <w:p>
      <w:pPr>
        <w:pStyle w:val="BodyText"/>
        <w:spacing w:line="480" w:lineRule="auto" w:after="120"/>
        <w:ind w:firstLine="480"/>
      </w:pPr>
      <w:r>
        <w:rPr>
          <w:rFonts w:ascii="Times New Roman" w:hAnsi="Times New Roman"/>
          <w:sz w:val="24"/>
        </w:rPr>
        <w:t xml:space="preserve">Emap2lig can localise and build ligands, but it cannot match chemical identities to detected blobs. Consequently, it cannot be compared directly with our full end-to-end pipeline. To compare their combined detection and modelling capabilities directly, we supplied both LigandSeek and Emap2lig with the ground-truth ligand SMILES</w:t>
      </w:r>
      <w:r>
        <w:rPr>
          <w:rFonts w:ascii="Times New Roman" w:hAnsi="Times New Roman"/>
          <w:sz w:val="24"/>
        </w:rPr>
        <w:t xml:space="preserve"> </w:t>
      </w:r>
      <w:r>
        <w:rPr>
          <w:rFonts w:ascii="Times New Roman" w:hAnsi="Times New Roman"/>
          <w:sz w:val="24"/>
        </w:rPr>
        <w:t xml:space="preserve">(</w:t>
      </w:r>
      <w:r>
        <w:rPr>
          <w:rStyle w:val="MDFIGREF_eJyrrk7LTC9KTbNKNUrVTcvMS9FNKs3MSdFNySxKTS7RTc7PLUgsyizOz6utBQBnQxC1"/>
          <w:rFonts w:ascii="Times New Roman" w:hAnsi="Times New Roman"/>
          <w:sz w:val="24"/>
        </w:rPr>
        <w:t xml:space="preserve">Fig. 13</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assuming an ideal, always-successful Match stage for both methods. We then evaluated both pipelines on the same 77 PDBs containing 446 eligible small-molecule instances. LigandSeek used PocketXMol-tuned centre docking guided by predicted blob centroids, whereas Emap2lig used its native blob-guided Build model. Background candidates consumed one attempt, and out-of-scope foreground candidates were skipped without consuming an attempt. Undetected instances remained in the full denominator throughout the completion analysis.</w:t>
      </w:r>
    </w:p>
    <w:p>
      <w:pPr>
        <w:pStyle w:val="BodyText"/>
        <w:spacing w:line="480" w:lineRule="auto" w:after="120"/>
        <w:ind w:firstLine="480"/>
      </w:pPr>
      <w:r>
        <w:rPr>
          <w:rFonts w:ascii="Times New Roman" w:hAnsi="Times New Roman"/>
          <w:sz w:val="24"/>
        </w:rPr>
        <w:t xml:space="preserve">For top-1 poses with RMSD &lt;3 Å, mean completion at a 100% budget was 63.2% for GT, 49.6% for CA2 and 38.2% for Emap2lig. Increasing the budget to 300% raised these values to 64.2%, 55.0% and 43.3%, respectively. Using best-of-50 poses at the same threshold, completion at a 100% budget reached 70.5%, 58.0% and 42.5%, respectively. At a 300% budget, the corresponding completion values were 71.5%, 66.3% and 50.0%, respectively. With correct identities supplied to both pipelines, LigandSeek completed more instances, demonstrating its combined advantage in localisation and pose reconstruction.</w:t>
      </w:r>
    </w:p>
    <w:p>
      <w:pPr>
        <w:pStyle w:val="BodyText"/>
        <w:spacing w:line="480" w:lineRule="auto" w:after="120"/>
        <w:ind w:firstLine="480"/>
      </w:pPr>
      <w:r>
        <w:rPr>
          <w:rFonts w:ascii="Times New Roman" w:hAnsi="Times New Roman"/>
          <w:sz w:val="24"/>
        </w:rPr>
        <w:t xml:space="preserve">Emap2lig is not a fully automated end-to-end modelling tool, but an interactive, semi-automated tool that relies on users to assign the correct SMILES to each detected blob. Even under the favourable assumption of perfect identity matching for Emap2lig, comparison of</w:t>
      </w:r>
      <w:r>
        <w:rPr>
          <w:rFonts w:ascii="Times New Roman" w:hAnsi="Times New Roman"/>
          <w:sz w:val="24"/>
        </w:rPr>
        <w:t xml:space="preserve"> </w:t>
      </w:r>
      <w:r>
        <w:rPr>
          <w:rStyle w:val="MDFIGREF_eJyrrk7LTC9KTbNKNUrVTcvMS9FNKs3MSdFNySxKTS7RTc7PLUgsyizOz6utBQBnQxC1"/>
          <w:rFonts w:ascii="Times New Roman" w:hAnsi="Times New Roman"/>
          <w:sz w:val="24"/>
        </w:rPr>
        <w:t xml:space="preserve">Fig. 13</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MDFIGREF_eJyrrk7LTC9KTbMqLi0o0E01StVNzs8tyEktyczP0y3OTczJqa0FAAWgDjw"/>
          <w:rFonts w:ascii="Times New Roman" w:hAnsi="Times New Roman"/>
          <w:sz w:val="24"/>
        </w:rPr>
        <w:t xml:space="preserve">Fig. 12</w:t>
      </w:r>
      <w:r>
        <w:rPr>
          <w:rFonts w:ascii="Times New Roman" w:hAnsi="Times New Roman"/>
          <w:sz w:val="24"/>
        </w:rPr>
        <w:t xml:space="preserve"> </w:t>
      </w:r>
      <w:r>
        <w:rPr>
          <w:rFonts w:ascii="Times New Roman" w:hAnsi="Times New Roman"/>
          <w:sz w:val="24"/>
        </w:rPr>
        <w:t xml:space="preserve">shows that the full LigandSeek pipeline still outperforms it.</w:t>
      </w:r>
    </w:p>
    <w:p>
      <w:pPr>
        <w:pStyle w:val="BodyText"/>
        <w:spacing w:line="480" w:lineRule="auto" w:after="120"/>
        <w:ind w:firstLine="480"/>
      </w:pPr>
      <w:r>
        <w:rPr>
          <w:rFonts w:ascii="Times New Roman" w:hAnsi="Times New Roman"/>
          <w:sz w:val="24"/>
        </w:rPr>
        <w:t xml:space="preserve">Full completion curves and per-PDB distributions are shown in Supplementary Fig. 4.</w:t>
      </w:r>
    </w:p>
    <w:bookmarkEnd w:id="65"/>
    <w:bookmarkStart w:id="72" w:name="representative-cases"/>
    <w:p>
      <w:pPr>
        <w:pStyle w:val="Heading3"/>
        <w:keepNext/>
        <w:spacing w:line="480" w:lineRule="auto"/>
        <w:ind w:firstLine="0"/>
      </w:pPr>
      <w:r>
        <w:rPr>
          <w:rFonts w:ascii="Times New Roman" w:hAnsi="Times New Roman"/>
          <w:sz w:val="24"/>
        </w:rPr>
        <w:t xml:space="preserve">Representative cases</w:t>
      </w:r>
    </w:p>
    <w:p>
      <w:pPr>
        <w:pStyle w:val="FirstParagraph"/>
        <w:spacing w:line="480" w:lineRule="auto" w:after="120"/>
        <w:ind w:firstLine="480"/>
      </w:pPr>
      <w:r>
        <w:rPr>
          <w:rFonts w:ascii="Times New Roman" w:hAnsi="Times New Roman"/>
          <w:sz w:val="24"/>
        </w:rPr>
        <w:t xml:space="preserve">We selected two representative cases to illustrate the end-to-end pipeline for all-atom small-molecule pose reconstruction, using CryoAtom2-reconstructed rather than deposited receptor structures as input</w:t>
      </w:r>
      <w:r>
        <w:rPr>
          <w:rFonts w:ascii="Times New Roman" w:hAnsi="Times New Roman"/>
          <w:sz w:val="24"/>
        </w:rPr>
        <w:t xml:space="preserve"> </w:t>
      </w:r>
      <w:r>
        <w:rPr>
          <w:rFonts w:ascii="Times New Roman" w:hAnsi="Times New Roman"/>
          <w:sz w:val="24"/>
        </w:rPr>
        <w:t xml:space="preserve">(</w:t>
      </w:r>
      <w:r>
        <w:rPr>
          <w:rStyle w:val="MDFIGREF_eJyrrk7LTC9KTbNKNUrVTcvJL9e1zMlJ14HzjA3SE2trAQ6KDYk"/>
          <w:rFonts w:ascii="Times New Roman" w:hAnsi="Times New Roman"/>
          <w:sz w:val="24"/>
        </w:rPr>
        <w:t xml:space="preserve">Figs. 14–15</w:t>
      </w:r>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In 9LLG</w:t>
      </w:r>
      <w:r>
        <w:rPr>
          <w:rFonts w:ascii="Times New Roman" w:hAnsi="Times New Roman"/>
          <w:sz w:val="24"/>
        </w:rPr>
        <w:t xml:space="preserve"> </w:t>
      </w:r>
      <w:r>
        <w:rPr>
          <w:rFonts w:ascii="Times New Roman" w:hAnsi="Times New Roman"/>
          <w:sz w:val="24"/>
        </w:rPr>
        <w:t xml:space="preserve">(</w:t>
      </w:r>
      <w:r>
        <w:rPr>
          <w:rStyle w:val="MDFIGREF_eJyrrk7LTC9KTbNKNUrVTcvJL9e1zMlJr60FAHM2CSQ"/>
          <w:rFonts w:ascii="Times New Roman" w:hAnsi="Times New Roman"/>
          <w:sz w:val="24"/>
        </w:rPr>
        <w:t xml:space="preserve">Fig. 14</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Find’s Rank 1 candidate hit the ground-truth ligand region of A1EKL (R:602). Match correctly identified A1EKL among the three candidate identities PLM, A1EKL and CLR. PocketXMol-tuned then generated a top-1 pose with a heavy-atom RMSD of 0.88 Å.</w:t>
      </w:r>
    </w:p>
    <w:p>
      <w:pPr>
        <w:pStyle w:val="CaptionedFigure"/>
        <w:keepNext/>
        <w:spacing w:line="240" w:lineRule="auto" w:before="0" w:after="0"/>
        <w:ind w:firstLine="0"/>
        <w:jc w:val="center"/>
      </w:pPr>
      <w:r>
        <w:rPr>
          <w:rFonts w:ascii="Times New Roman" w:hAnsi="Times New Roman"/>
          <w:sz w:val="24"/>
        </w:rPr>
        <w:drawing>
          <wp:inline>
            <wp:extent cx="5219040" cy="6353811"/>
            <wp:effectExtent b="0" l="0" r="0" t="0"/>
            <wp:docPr descr="Fig. 14 | End-to-end pose reconstruction of A1EKL (R:602) in 9LLG. Find, Match and Build denote LigandSeek-Find, LigandSeek-Match and LigandSeek-Build, respectively. a–c, Experimental density, the CryoAtom2-reconstructed receptor (CA2) and the deposited receptor (GT). d, Candidate regions predicted by Find, with boxes linking to the local views on the right. e, f, Ground-truth and predicted ligand regions, shown at the same orientation and scale. g, All chemical identities from the same PDB entry, with the Match assignment outlined in blue. h–j,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 title="MDPPTFIG_eJztWF9rHDcQ_yrinhrY895dbBMfacC52Kb0EoyTlkKvGHl3dk-1VhKS9v6kKaQvbUJa-tASKH3qUwOFpi99aSH9LqGO8zE6s9r7k8QPaYsfDmw4rzQz-s1oNJJG81nDcD9sdFnj9Ps_T358Fu90dl789ODvZ49Ovn368ucvT75-3Dz95enJg9_w_4vfvzh98uj04YPD0eU1Y_ykEbGGBaflCFLC6HUHgw8cWDcYtDe22luDwQ1wx16bweDlr3-8ePzVy28enj75azAIygaDf61N8QJIE3SgmUk9bm5JmRMj4cYLrQ4Lbo9LgyIfN66Ou4ZNCqlcd_zuoDH03nTj2CVDKLhb0wYUMjNtC-6xa_N4rG1qrE7AOaHyQsadVmszLrhQg8Y1Qtu31ee2n0pg4-6IS8R9r-A59IJ6kotnEiR7DGD6QoGr6Eu9cdcZnqAaxJFIQqDOemvQqLsHpSQSL72uMWtxGilUimKZsM73w9BWLYScYECwNPyr27taeYfjuEuEwDF3RAGO3YIxO9AFV5Xq4bZyZ_Iq1ABBYEdV_6hq9sLcqi-aeXfumM76zPS7YXgwxNOaVNMhyw3GD9gRoOiuyNdYe53dYzsqbXrdBJyn0Q6YhUQr522ZkJOZzth2e-f9PnvnoLvZ6lxiQrGtfn9vjbT4oOtcp_8_JslWwMZdDKOI3eQ-GTKOa3C9FDJlKSjtgfVFjrTbAMfNILdEWAxZIlajI1xDZwDXbwRyerFQ572X-PP73yUr4OWI7UwMWFSgPJcUY074acT8EFjPTvW210WnubT_IaXTAIzXlr3T28bNT-FG4ingWSFeFdi7c-ki1s471tIV8HDEehgnIuWebpMcbxHHkJ2KKqKOpiycZWPhh-xIT9AMvIWP6Xr2uoouqROMz5GAsWN4BRHJinzoL8LrvMMLVsDD0QrYuNpRkK2AhyO2Z3VJuastfciDFmeMrDKi2eETMTfUY8W4r44Sh88apq2gW7BKcUnU4YkDF-fLeUdWvgIejti2lIxeroKuIYF5khdeoLrM6mIRQvs3rjNk2Wl9lRGjTsrxTZsrSrOYLj09MVN6Nh3J8iLEzj3EhpiNf7oCXo7YhyHByarI2dfJMfiPbmrZ9CUFjNem2Q5Pcp5zgSl5SIRm-bYrbYagEYMzkvrqTFsk6YTy2quQ3UGwJR3CMcvVMQpXtQ5K00hdoVOQz-__gHbiCeoSbWGNHdQ2OMYtsNwCqGiuGYGQUj8rPLc5-PogJpZGJTnasjirSXsAov1xhuGB6YHLYPQZbw8ELh0StJJTliHBQgYWVILSwhnJg0MyodBFgOtVVid_VFFxsIIRkEeNkQJhuAvzxk1ryteyTir4XGt8ErHGvPrV2Oi0t1rrrcnm5Y3LV9rte1eNSLr4qwti_K0KYqnl4zcqYTUCYv0XDBzmSwtzGPtWIDrLRAI3dFJSTAUkC7LymBsK4yjOaYZqtC8SinLqJLdG-xbXxiWkpdeNq9pkXJUm47oyGS8XJmMPhcFpqhKHCOMPM5Gjse4wFVtX1PjuNA6Ewxb-tdfXjMpxIiJF9M0r2KLqJLb3Z3PEpZnbsTApGMjJg33cYbjUujekENy2Vo-HwFOHIG3CmzGqTRKIiLkYuqQgoMZvOOFICrMrpCSN1K7Ghwbv4psa8HagZoYyuIl8xX-lMxeKX8WjnjPo4aPxTQzNpXIl704yW9AXF45NQoGSTeeFyopObJh4lhC_DleUSkisjtpaGKWq7wzU4GGwB3jvUQOlcc_5oJaP-i7ILlozaeIrHUyPF03elYpRfXhro7MRUM6UonXZqcqrS23e9VzIGXm5LVXtL2fm64K_a43P_wFTKReN" id="67" name="Picture"/>
            <a:graphic>
              <a:graphicData uri="http://schemas.openxmlformats.org/drawingml/2006/picture">
                <pic:pic>
                  <pic:nvPicPr>
                    <pic:cNvPr descr="C:/Users/15919/Desktop/论文草稿/temp/manuscript_figures_di98nwzy/figure_000014.png" id="68" name="Picture"/>
                    <pic:cNvPicPr>
                      <a:picLocks noChangeArrowheads="1" noChangeAspect="1"/>
                    </pic:cNvPicPr>
                  </pic:nvPicPr>
                  <pic:blipFill>
                    <a:blip r:embed="rId66"/>
                    <a:stretch>
                      <a:fillRect/>
                    </a:stretch>
                  </pic:blipFill>
                  <pic:spPr bwMode="auto">
                    <a:xfrm>
                      <a:off x="0" y="0"/>
                      <a:ext cx="5219040" cy="635381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14 | End-to-end pose reconstruction of A1EKL (R:602) in 9LLG.</w:t>
      </w:r>
      <w:r>
        <w:rPr>
          <w:rFonts w:ascii="Times New Roman" w:hAnsi="Times New Roman"/>
          <w:sz w:val="24"/>
        </w:rPr>
        <w:t xml:space="preserve"> </w:t>
      </w:r>
      <w:r>
        <w:rPr>
          <w:rFonts w:ascii="Times New Roman" w:hAnsi="Times New Roman"/>
          <w:sz w:val="24"/>
        </w:rPr>
        <w:t xml:space="preserve">Find, Match and Build denote LigandSeek-Find, LigandSeek-Match and LigandSeek-Build, respectively.</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Experimental density, the CryoAtom2-reconstructed receptor (CA2) and the deposited receptor (GT).</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Candidate regions predicted by Find, with boxes linking to the local views on the right.</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Ground-truth and predicted ligand regions, shown at the same orientation and scale.</w:t>
      </w:r>
      <w:r>
        <w:rPr>
          <w:rFonts w:ascii="Times New Roman" w:hAnsi="Times New Roman"/>
          <w:sz w:val="24"/>
        </w:rPr>
        <w:t xml:space="preserve"> </w:t>
      </w:r>
      <w:r>
        <w:rPr>
          <w:rFonts w:ascii="Times New Roman" w:hAnsi="Times New Roman"/>
          <w:b/>
          <w:bCs/>
          <w:sz w:val="24"/>
        </w:rPr>
        <w:t xml:space="preserve">g</w:t>
      </w:r>
      <w:r>
        <w:rPr>
          <w:rFonts w:ascii="Times New Roman" w:hAnsi="Times New Roman"/>
          <w:sz w:val="24"/>
        </w:rPr>
        <w:t xml:space="preserve">, All chemical identities from the same PDB entry, with the Match assignment outlined in blue.</w:t>
      </w:r>
      <w:r>
        <w:rPr>
          <w:rFonts w:ascii="Times New Roman" w:hAnsi="Times New Roman"/>
          <w:sz w:val="24"/>
        </w:rPr>
        <w:t xml:space="preserve"> </w:t>
      </w:r>
      <w:r>
        <w:rPr>
          <w:rFonts w:ascii="Times New Roman" w:hAnsi="Times New Roman"/>
          <w:b/>
          <w:bCs/>
          <w:sz w:val="24"/>
        </w:rPr>
        <w:t xml:space="preserve">h–j</w:t>
      </w:r>
      <w:r>
        <w:rPr>
          <w:rFonts w:ascii="Times New Roman" w:hAnsi="Times New Roman"/>
          <w:sz w:val="24"/>
        </w:rPr>
        <w:t xml:space="preserve">,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w:t>
      </w:r>
    </w:p>
    <w:p>
      <w:pPr>
        <w:pStyle w:val="BodyText"/>
        <w:spacing w:line="480" w:lineRule="auto" w:after="120"/>
        <w:ind w:firstLine="480"/>
      </w:pPr>
      <w:r>
        <w:rPr>
          <w:rFonts w:ascii="Times New Roman" w:hAnsi="Times New Roman"/>
          <w:sz w:val="24"/>
        </w:rPr>
        <w:t xml:space="preserve">In 30GA</w:t>
      </w:r>
      <w:r>
        <w:rPr>
          <w:rFonts w:ascii="Times New Roman" w:hAnsi="Times New Roman"/>
          <w:sz w:val="24"/>
        </w:rPr>
        <w:t xml:space="preserve"> </w:t>
      </w:r>
      <w:r>
        <w:rPr>
          <w:rFonts w:ascii="Times New Roman" w:hAnsi="Times New Roman"/>
          <w:sz w:val="24"/>
        </w:rPr>
        <w:t xml:space="preserve">(</w:t>
      </w:r>
      <w:r>
        <w:rPr>
          <w:rStyle w:val="MDFIGREF_eJyrrk7LTC9KTbNKNUrVTcvJL9c1NkhPrK0FAHHACNc"/>
          <w:rFonts w:ascii="Times New Roman" w:hAnsi="Times New Roman"/>
          <w:sz w:val="24"/>
        </w:rPr>
        <w:t xml:space="preserve">Fig. 15</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Find’s Rank 1 candidate was a background false positive and consumed one search attempt. The Rank 2 candidate then hit ATP (N:401), and Match correctly identified ATP. PocketXMol-tuned subsequently generated a pose with a heavy-atom RMSD of 1.04 Å.</w:t>
      </w:r>
    </w:p>
    <w:p>
      <w:pPr>
        <w:pStyle w:val="CaptionedFigure"/>
        <w:keepNext/>
        <w:spacing w:line="240" w:lineRule="auto" w:before="0" w:after="0"/>
        <w:ind w:firstLine="0"/>
        <w:jc w:val="center"/>
      </w:pPr>
      <w:r>
        <w:rPr>
          <w:rFonts w:ascii="Times New Roman" w:hAnsi="Times New Roman"/>
          <w:sz w:val="24"/>
        </w:rPr>
        <w:drawing>
          <wp:inline>
            <wp:extent cx="5219040" cy="6353811"/>
            <wp:effectExtent b="0" l="0" r="0" t="0"/>
            <wp:docPr descr="Fig. 15 | End-to-end pose reconstruction of ATP (N:401) in 30GA. Find, Match and Build denote LigandSeek-Find, LigandSeek-Match and LigandSeek-Build, respectively. a–c, Experimental density, the CryoAtom2-reconstructed receptor (CA2) and the deposited receptor (GT). d, Candidate regions predicted by Find, with boxes linking to the local views on the right. e, f, Ground-truth and predicted ligand regions, shown at the same orientation and scale. g, All chemical identities from the same PDB entry, with the Match assignment outlined in blue. h–j,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 title="MDPPTFIG_eJztWF9rHDcQ_yrinhLY896d7TY-0sDlYpuCE47ELYVuMfLu7J56WklI2vuTppC-tAlp6UNLoPSpTw0Umr70pYX0u4Q6zsfoSNr7k8QPaYsfDmw4rzQz-s1oNJJG81lDUTtsdEnj9Ps_T358Fu92dl_89ODvZ49Ovn368ucvT75-3Dz95enJg9_w_4vfvzh98uj04YOj8eaGUnbaiEhDg5F8DJnD6HeT5AMD2iRJe3unvZMkN8CMrFRJ8vLXP148_urlNw9Pn_yVJEFZkvxrbYKW4DRBB5o5l5PmZqugjpFSZZkURyXVo0qhyMeNq5OuItOSC9OdvJc0htaqbhybdAglNRtSgUBmLnVJLXZ1EU-kzpSWKRjDRFHyuNNqvROXlImkcc2hDbT_3LEzDmTSHVOOuO-XtIB-UO_k4rmEkx0BqAMmwHj6Sm_SNYqmqAZxOJIQqLPVShp193bFHYlWVtaYtbgbyUSGYjnTxh6Eoa1aCDnBgGBp-Fe396SwBsdRkzKGYw5ZCYbcggm5LUsqvOphT5gzeR41QDiwY98_9s1-mJv_opl3F47pbM1NvxuGB0OsWxM_HWe5wvgBPQYU3WPFBmlvk3tkV2RNK5uA81TSANGQSmGsrlLnZCJz0jsckEu3ulut9mXCBNls7fc2nA4bNJ3r5P_HFMka2LiHQRSRm9SmQ0JxBa5XjGckAyEtkANWIO0OwKgZ5FYIyyErRD86whU0CnD1xsBnFwt13juJPr__XboGXo7I7lSBRgXCUu5izDA7i4gdAunrmexZWXaaK7sfMncWgLJSk0v9XueyDzcnngGeFOxVgf3Dyxexdt6xlq2BhyPSxzhhGbXuLinwDjEE2RnzEXU8I-EsmzA7JMdyimbgHTxyl7OVPrq4TDE-xwwmhuAF5EiaFUN7EV7nHV6wBh6O1sDG9Y6CfA08HJF9LSuXuerKhjxoecZwnxHND5-ImKGcCEKtP0oMPmqI1Mzdgj7BdaIGTxy4OF_OO7KKNfBwRHqcE_duZe4aYpgnWWYZqsu1LJchNLhxnSBLz-qrzDHqpBxftIVwaRaRlXUPzMw9m455dRFi5x5iQ8zGP10DL0fkw5Dg5D5yBjIdgf3opuRNW7mAsVI12-FBTgvKMCUPidA83zaVzhE0InBGUu_PtGWS7lBeexWSQwRb0cEM0VSMUNhXOlya5tSVMgP-_P4PaCeeoCaVGjbI7doGQ6gGUmgAES00IxBS6meFpboAWx_EjiVRSYG2LM9qpz0Auf1xhuGBaYHyYPQZbw8ErgwSpOAzkiNBQw4aRIrSzChOg0NyJtBFgOtV-ZM_8lQcLGAMzqNKcYYw1IR546ZV1WtZpyv3XGt8EpHGovbV2O60d1pbrek7m9ubV9rte1cVS7v4q8th9K3KYZmmkzfqYDUCYv0XDBxmKw0LGP1WIDLPWQo3ZFq5mApIGrj3mBkyZVycuxmK8YClLspdJ701HmhcG5M6Lf1u7CuTsS9MxnVdMl4tS8YWSoXTFBUOYcoe5axAY81RxnauiMndWRwIRy38a29vKFHgRFiG6O-2seVqk9gezOeIS7OwY2lSMJA6Dx7gDsOllv2hC8Ge1nIyBJoZBPF4c4bfJIGImMuhKwoCavyGE445U3uMc6fRtf340KBdfFMD3g6umaMMbiLr-a90FkLxq3iuZxR6-HhyE0NzpVhJu9Ncl-6LC0emoTxJZosypac7NkwtSR2_DleUSp1YHbW1MEr57xxU4WGwD3jvuQZK456zQS0dH5ggu2zNpR1fyGB6vGzSLhfEVYd3tjvbAeVMKbcuu764utKmXUsZn5NX21zU_jJqsS74u9b4_B-9gRaf" id="70" name="Picture"/>
            <a:graphic>
              <a:graphicData uri="http://schemas.openxmlformats.org/drawingml/2006/picture">
                <pic:pic>
                  <pic:nvPicPr>
                    <pic:cNvPr descr="C:/Users/15919/Desktop/论文草稿/temp/manuscript_figures_di98nwzy/figure_000015.png" id="71" name="Picture"/>
                    <pic:cNvPicPr>
                      <a:picLocks noChangeArrowheads="1" noChangeAspect="1"/>
                    </pic:cNvPicPr>
                  </pic:nvPicPr>
                  <pic:blipFill>
                    <a:blip r:embed="rId69"/>
                    <a:stretch>
                      <a:fillRect/>
                    </a:stretch>
                  </pic:blipFill>
                  <pic:spPr bwMode="auto">
                    <a:xfrm>
                      <a:off x="0" y="0"/>
                      <a:ext cx="5219040" cy="635381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15 | End-to-end pose reconstruction of ATP (N:401) in 30GA.</w:t>
      </w:r>
      <w:r>
        <w:rPr>
          <w:rFonts w:ascii="Times New Roman" w:hAnsi="Times New Roman"/>
          <w:sz w:val="24"/>
        </w:rPr>
        <w:t xml:space="preserve"> </w:t>
      </w:r>
      <w:r>
        <w:rPr>
          <w:rFonts w:ascii="Times New Roman" w:hAnsi="Times New Roman"/>
          <w:sz w:val="24"/>
        </w:rPr>
        <w:t xml:space="preserve">Find, Match and Build denote LigandSeek-Find, LigandSeek-Match and LigandSeek-Build, respectively.</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Experimental density, the CryoAtom2-reconstructed receptor (CA2) and the deposited receptor (GT).</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Candidate regions predicted by Find, with boxes linking to the local views on the right.</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Ground-truth and predicted ligand regions, shown at the same orientation and scale.</w:t>
      </w:r>
      <w:r>
        <w:rPr>
          <w:rFonts w:ascii="Times New Roman" w:hAnsi="Times New Roman"/>
          <w:sz w:val="24"/>
        </w:rPr>
        <w:t xml:space="preserve"> </w:t>
      </w:r>
      <w:r>
        <w:rPr>
          <w:rFonts w:ascii="Times New Roman" w:hAnsi="Times New Roman"/>
          <w:b/>
          <w:bCs/>
          <w:sz w:val="24"/>
        </w:rPr>
        <w:t xml:space="preserve">g</w:t>
      </w:r>
      <w:r>
        <w:rPr>
          <w:rFonts w:ascii="Times New Roman" w:hAnsi="Times New Roman"/>
          <w:sz w:val="24"/>
        </w:rPr>
        <w:t xml:space="preserve">, All chemical identities from the same PDB entry, with the Match assignment outlined in blue.</w:t>
      </w:r>
      <w:r>
        <w:rPr>
          <w:rFonts w:ascii="Times New Roman" w:hAnsi="Times New Roman"/>
          <w:sz w:val="24"/>
        </w:rPr>
        <w:t xml:space="preserve"> </w:t>
      </w:r>
      <w:r>
        <w:rPr>
          <w:rFonts w:ascii="Times New Roman" w:hAnsi="Times New Roman"/>
          <w:b/>
          <w:bCs/>
          <w:sz w:val="24"/>
        </w:rPr>
        <w:t xml:space="preserve">h–j</w:t>
      </w:r>
      <w:r>
        <w:rPr>
          <w:rFonts w:ascii="Times New Roman" w:hAnsi="Times New Roman"/>
          <w:sz w:val="24"/>
        </w:rPr>
        <w:t xml:space="preserve">,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w:t>
      </w:r>
    </w:p>
    <w:bookmarkEnd w:id="72"/>
    <w:bookmarkEnd w:id="73"/>
    <w:bookmarkEnd w:id="74"/>
    <w:bookmarkStart w:id="75" w:name="discussion"/>
    <w:p>
      <w:pPr>
        <w:pStyle w:val="Heading1"/>
        <w:keepNext/>
        <w:spacing w:line="480" w:lineRule="auto"/>
        <w:ind w:firstLine="0"/>
      </w:pPr>
      <w:r>
        <w:rPr>
          <w:rFonts w:ascii="Times New Roman" w:hAnsi="Times New Roman"/>
          <w:sz w:val="24"/>
        </w:rPr>
        <w:t xml:space="preserve">Discussion</w:t>
      </w:r>
    </w:p>
    <w:p>
      <w:pPr>
        <w:pStyle w:val="FirstParagraph"/>
        <w:spacing w:line="480" w:lineRule="auto" w:after="120"/>
        <w:ind w:firstLine="480"/>
      </w:pPr>
      <w:r>
        <w:rPr>
          <w:rFonts w:ascii="Times New Roman" w:hAnsi="Times New Roman"/>
          <w:sz w:val="24"/>
        </w:rPr>
        <w:t xml:space="preserve">Experimental cryo-EM density and macromolecular receptors provide complementary constraints for ligand modelling. Density maps delineate the ligand’s spatial position and shape, whereas receptors provide the pocket’s geometric and chemical environment. By jointly encoding both sources across region localisation, identity matching and pose reconstruction, LigandSeek generates ligand poses consistent with experimental density and the receptor environment. This advantage persists with CryoAtom2-reconstructed receptors, showing that automatically reconstructed receptor structures provide effective structural information for ligand modelling.</w:t>
      </w:r>
    </w:p>
    <w:p>
      <w:pPr>
        <w:pStyle w:val="BodyText"/>
        <w:spacing w:line="480" w:lineRule="auto" w:after="120"/>
        <w:ind w:firstLine="480"/>
      </w:pPr>
      <w:r>
        <w:rPr>
          <w:rFonts w:ascii="Times New Roman" w:hAnsi="Times New Roman"/>
          <w:sz w:val="24"/>
        </w:rPr>
        <w:t xml:space="preserve">Find and Match were evaluated across all ligand classes, whereas end-to-end pose reconstruction was benchmarked on single-residue organic small molecules with complete heavy-atom coordinates. Restricting the benchmark to single-residue organic small molecules defines a consistent evaluation scope for PocketXMol-tuned, the default Build engine. Excluding structures with missing atoms serves as a quality filter and provides complete reference coordinates for heavy-atom RMSD evaluation. Other small molecules and ligand classes can likewise be modelled by integrating suitable downstream docking tools. Given the diversity of ligands, these tools differ in their supported ligand classes and input requirements. By separating upstream localisation and identity matching from downstream pose generation, LigandSeek allows users to select appropriate tools through its modular Build interface.</w:t>
      </w:r>
    </w:p>
    <w:p>
      <w:pPr>
        <w:pStyle w:val="BodyText"/>
        <w:spacing w:line="480" w:lineRule="auto" w:after="120"/>
        <w:ind w:firstLine="480"/>
      </w:pPr>
      <w:r>
        <w:rPr>
          <w:rFonts w:ascii="Times New Roman" w:hAnsi="Times New Roman"/>
          <w:sz w:val="24"/>
        </w:rPr>
        <w:t xml:space="preserve">In conclusion, given the candidate ligand identities present in a complex, LigandSeek unifies region localisation, chemical identity matching and pose reconstruction into an automated end-to-end workflow. The workflow can operate with or without deposited receptor structures as input. By bridging automated macromolecular structure reconstruction and all-atom ligand modelling, LigandSeek provides a practical foundation for the complete structural interpretation of cryo-EM complexes.</w:t>
      </w:r>
    </w:p>
    <w:bookmarkEnd w:id="75"/>
    <w:bookmarkStart w:id="128" w:name="methods"/>
    <w:p>
      <w:pPr>
        <w:pStyle w:val="Heading1"/>
        <w:keepNext/>
        <w:spacing w:line="480" w:lineRule="auto"/>
        <w:ind w:firstLine="0"/>
      </w:pPr>
      <w:r>
        <w:rPr>
          <w:rFonts w:ascii="Times New Roman" w:hAnsi="Times New Roman"/>
          <w:sz w:val="24"/>
        </w:rPr>
        <w:t xml:space="preserve">Methods</w:t>
      </w:r>
    </w:p>
    <w:p>
      <w:pPr>
        <w:pStyle w:val="FirstParagraph"/>
        <w:spacing w:line="480" w:lineRule="auto" w:after="120"/>
        <w:ind w:firstLine="480"/>
      </w:pPr>
      <w:r>
        <w:rPr>
          <w:rStyle w:val="MDFIGREF_eJyrrk7LTC9KTbMCUrq5qSUZ-Sm6ZRa1tQB3TQld"/>
          <w:rFonts w:ascii="Times New Roman" w:hAnsi="Times New Roman"/>
          <w:sz w:val="24"/>
        </w:rPr>
        <w:t xml:space="preserve">Fig. 2</w:t>
      </w:r>
      <w:r>
        <w:rPr>
          <w:rFonts w:ascii="Times New Roman" w:hAnsi="Times New Roman"/>
          <w:sz w:val="24"/>
        </w:rPr>
        <w:t xml:space="preserve"> </w:t>
      </w:r>
      <w:r>
        <w:rPr>
          <w:rFonts w:ascii="Times New Roman" w:hAnsi="Times New Roman"/>
          <w:sz w:val="24"/>
        </w:rPr>
        <w:t xml:space="preserve">shows the network architecture and information flow of the Find–Match–Build framework. The three stages share density and receptor-atom input representations. They sequentially localise ligand regions</w:t>
      </w:r>
      <w:r>
        <w:rPr>
          <w:rFonts w:ascii="Times New Roman" w:hAnsi="Times New Roman"/>
          <w:sz w:val="24"/>
        </w:rPr>
        <w:t xml:space="preserve"> </w:t>
      </w:r>
      <w:r>
        <w:rPr>
          <w:rFonts w:ascii="Times New Roman" w:hAnsi="Times New Roman"/>
          <w:sz w:val="24"/>
        </w:rPr>
        <w:t xml:space="preserve">(</w:t>
      </w:r>
      <w:r>
        <w:rPr>
          <w:rStyle w:val="MDFIGREF_eJyrrk7LTC9KTbMCUrq5qSUZ-Sm6ZRY1ibW1AIsmCjo"/>
          <w:rFonts w:ascii="Times New Roman" w:hAnsi="Times New Roman"/>
          <w:sz w:val="24"/>
        </w:rPr>
        <w:t xml:space="preserve">Fig. 2a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match candidate regions to ligand identities</w:t>
      </w:r>
      <w:r>
        <w:rPr>
          <w:rFonts w:ascii="Times New Roman" w:hAnsi="Times New Roman"/>
          <w:sz w:val="24"/>
        </w:rPr>
        <w:t xml:space="preserve"> </w:t>
      </w:r>
      <w:r>
        <w:rPr>
          <w:rFonts w:ascii="Times New Roman" w:hAnsi="Times New Roman"/>
          <w:sz w:val="24"/>
        </w:rPr>
        <w:t xml:space="preserve">(</w:t>
      </w:r>
      <w:r>
        <w:rPr>
          <w:rStyle w:val="MDFIGREF_eJyrrk7LTC9KTbMCUrq5qSUZ-Sm6ZRY1SbW1AIspCjs"/>
          <w:rFonts w:ascii="Times New Roman" w:hAnsi="Times New Roman"/>
          <w:sz w:val="24"/>
        </w:rPr>
        <w:t xml:space="preserve">Fig. 2b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reconstruct all-atom ligand poses</w:t>
      </w:r>
      <w:r>
        <w:rPr>
          <w:rFonts w:ascii="Times New Roman" w:hAnsi="Times New Roman"/>
          <w:sz w:val="24"/>
        </w:rPr>
        <w:t xml:space="preserve"> </w:t>
      </w:r>
      <w:r>
        <w:rPr>
          <w:rFonts w:ascii="Times New Roman" w:hAnsi="Times New Roman"/>
          <w:sz w:val="24"/>
        </w:rPr>
        <w:t xml:space="preserve">(</w:t>
      </w:r>
      <w:r>
        <w:rPr>
          <w:rStyle w:val="MDFIGREF_eJyrrk7LTC9KTbMCUrq5qSUZ-Sm6ZRY1ybW1AIssCjw"/>
          <w:rFonts w:ascii="Times New Roman" w:hAnsi="Times New Roman"/>
          <w:sz w:val="24"/>
        </w:rPr>
        <w:t xml:space="preserve">Fig. 2c</w:t>
      </w:r>
      <w:r>
        <w:rPr>
          <w:rFonts w:ascii="Times New Roman" w:hAnsi="Times New Roman"/>
          <w:sz w:val="24"/>
        </w:rPr>
        <w:t xml:space="preserve">).</w:t>
      </w:r>
    </w:p>
    <w:bookmarkStart w:id="76" w:name="data-sources-and-sample-partitioning"/>
    <w:p>
      <w:pPr>
        <w:pStyle w:val="Heading2"/>
        <w:keepNext/>
        <w:spacing w:line="480" w:lineRule="auto"/>
        <w:ind w:firstLine="0"/>
      </w:pPr>
      <w:r>
        <w:rPr>
          <w:rFonts w:ascii="Times New Roman" w:hAnsi="Times New Roman"/>
          <w:sz w:val="24"/>
        </w:rPr>
        <w:t xml:space="preserve">Data sources and sample partitioning</w:t>
      </w:r>
    </w:p>
    <w:p>
      <w:pPr>
        <w:pStyle w:val="FirstParagraph"/>
        <w:spacing w:line="480" w:lineRule="auto" w:after="120"/>
        <w:ind w:firstLine="480"/>
      </w:pPr>
      <w:r>
        <w:rPr>
          <w:rFonts w:ascii="Times New Roman" w:hAnsi="Times New Roman"/>
          <w:sz w:val="24"/>
        </w:rPr>
        <w:t xml:space="preserve">We downloaded cryo-EM density maps from EMDB</w:t>
      </w:r>
      <w:r>
        <w:rPr>
          <w:rStyle w:val="MDCITE_eJyLdigvL0hJMjIwMknNTUmKBQAvPwV9"/>
          <w:rFonts w:ascii="Times New Roman" w:hAnsi="Times New Roman"/>
          <w:sz w:val="24"/>
          <w:vertAlign w:val="superscript"/>
        </w:rPr>
        <w:t xml:space="preserve">16</w:t>
      </w:r>
      <w:r>
        <w:rPr>
          <w:rFonts w:ascii="Times New Roman" w:hAnsi="Times New Roman"/>
          <w:sz w:val="24"/>
        </w:rPr>
        <w:t xml:space="preserve"> </w:t>
      </w:r>
      <w:r>
        <w:rPr>
          <w:rFonts w:ascii="Times New Roman" w:hAnsi="Times New Roman"/>
          <w:sz w:val="24"/>
        </w:rPr>
        <w:t xml:space="preserve">and their corresponding PDB structures from the RCSB database</w:t>
      </w:r>
      <w:r>
        <w:rPr>
          <w:rStyle w:val="MDCITE_eJyLdkhKLcpNzDMyMDAoSEmKBQAuqQVm"/>
          <w:rFonts w:ascii="Times New Roman" w:hAnsi="Times New Roman"/>
          <w:sz w:val="24"/>
          <w:vertAlign w:val="superscript"/>
        </w:rPr>
        <w:t xml:space="preserve">17</w:t>
      </w:r>
      <w:r>
        <w:rPr>
          <w:rFonts w:ascii="Times New Roman" w:hAnsi="Times New Roman"/>
          <w:sz w:val="24"/>
        </w:rPr>
        <w:t xml:space="preserve">. We selected samples containing at least one ligand, with a resolution of &lt;4 Å and CC &gt;0.65. We then partitioned the dataset into mutually disjoint training, validation, calibration, and test sets. The test set contained non-redundant samples first released after 1 January 2026, whereas the other three sets contained samples released before that date.</w:t>
      </w:r>
    </w:p>
    <w:p>
      <w:pPr>
        <w:pStyle w:val="BodyText"/>
        <w:spacing w:line="480" w:lineRule="auto" w:after="120"/>
        <w:ind w:firstLine="480"/>
      </w:pPr>
      <w:r>
        <w:rPr>
          <w:rFonts w:ascii="Times New Roman" w:hAnsi="Times New Roman"/>
          <w:sz w:val="24"/>
        </w:rPr>
        <w:t xml:space="preserve">We used sequence comparisons performed by MMseqs2</w:t>
      </w:r>
      <w:r>
        <w:rPr>
          <w:rStyle w:val="MDCITE_eJyLdiguSc3MS01PTy0yMjA0z80tTi0sNooFAG7cCLg"/>
          <w:rFonts w:ascii="Times New Roman" w:hAnsi="Times New Roman"/>
          <w:sz w:val="24"/>
          <w:vertAlign w:val="superscript"/>
        </w:rPr>
        <w:t xml:space="preserve">18</w:t>
      </w:r>
      <w:r>
        <w:rPr>
          <w:rFonts w:ascii="Times New Roman" w:hAnsi="Times New Roman"/>
          <w:sz w:val="24"/>
        </w:rPr>
        <w:t xml:space="preserve"> </w:t>
      </w:r>
      <w:r>
        <w:rPr>
          <w:rFonts w:ascii="Times New Roman" w:hAnsi="Times New Roman"/>
          <w:sz w:val="24"/>
        </w:rPr>
        <w:t xml:space="preserve">to define redundancy between protein and nucleic acid complexes. Two protein sequences were considered similar if their alignment had ≥30% identity and ≥80% coverage in both directions. For nucleic acid sequences, the identity threshold was ≥80%, with the same bidirectional coverage requirement. A pair of PDB entries was considered redundant if the number of similar chains reached ≥60% of the comparable chains in either entry.</w:t>
      </w:r>
    </w:p>
    <w:p>
      <w:pPr>
        <w:pStyle w:val="BodyText"/>
        <w:spacing w:line="480" w:lineRule="auto" w:after="120"/>
        <w:ind w:firstLine="480"/>
      </w:pPr>
      <w:r>
        <w:rPr>
          <w:rFonts w:ascii="Times New Roman" w:hAnsi="Times New Roman"/>
          <w:sz w:val="24"/>
        </w:rPr>
        <w:t xml:space="preserve">We then removed redundant samples from the candidate test set at the PDB-entry level, namely, by selecting a maximal independent set in the PDB-graph defined by the redundancy relationships. Each sample in the final test set was non-redundant with every sample in the training, validation, and calibration sets. All pairs of samples within the test set were also non-redundant.</w:t>
      </w:r>
    </w:p>
    <w:p>
      <w:pPr>
        <w:pStyle w:val="BodyText"/>
        <w:spacing w:line="480" w:lineRule="auto" w:after="120"/>
        <w:ind w:firstLine="480"/>
      </w:pPr>
      <w:r>
        <w:rPr>
          <w:rFonts w:ascii="Times New Roman" w:hAnsi="Times New Roman"/>
          <w:sz w:val="24"/>
        </w:rPr>
        <w:t xml:space="preserve">Of the 2,497 EMDB–PDB pairs whose corresponding density maps were first released after 1 January 2026, 179 remained after quality filtering and redundancy removal. These pairs formed the original test set used for subsequent evaluations. Samples released before 1 January 2026 were divided into three mutually disjoint subsets containing 13,714, 200, and 100 EMDB–PDB pairs, respectively. These subsets served as the original training, validation, and calibration sets.</w:t>
      </w:r>
    </w:p>
    <w:p>
      <w:pPr>
        <w:pStyle w:val="BodyText"/>
        <w:spacing w:line="480" w:lineRule="auto" w:after="120"/>
        <w:ind w:firstLine="480"/>
      </w:pPr>
      <w:r>
        <w:rPr>
          <w:rFonts w:ascii="Times New Roman" w:hAnsi="Times New Roman"/>
          <w:sz w:val="24"/>
        </w:rPr>
        <w:t xml:space="preserve">For Find, the training set supplied training metadata, including local</w:t>
      </w:r>
      <w:r>
        <w:rPr>
          <w:rFonts w:ascii="Times New Roman" w:hAnsi="Times New Roman"/>
          <w:sz w:val="24"/>
        </w:rPr>
        <w:t xml:space="preserve"> </w:t>
      </w:r>
      <m:oMath>
        <m:sSup>
          <m:e>
            <m:r>
              <m:t>80</m:t>
            </m:r>
          </m:e>
          <m:sup>
            <m:r>
              <m:t>3</m:t>
            </m:r>
          </m:sup>
        </m:sSup>
      </m:oMath>
      <w:r>
        <w:rPr>
          <w:rFonts w:ascii="Times New Roman" w:hAnsi="Times New Roman"/>
          <w:sz w:val="24"/>
        </w:rPr>
        <w:t xml:space="preserve"> </w:t>
      </w:r>
      <w:r>
        <w:rPr>
          <w:rFonts w:ascii="Times New Roman" w:hAnsi="Times New Roman"/>
          <w:sz w:val="24"/>
        </w:rPr>
        <w:t xml:space="preserve">density crops. The validation set was used to select the best checkpoint during training. The calibration set determined probability or score thresholds after training was complete. Find operated at the PDB-entry level for training and testing, using all 13,714, 200, 100 and 179 EMDB–PDB pairs from the original sets.</w:t>
      </w:r>
    </w:p>
    <w:p>
      <w:pPr>
        <w:pStyle w:val="BodyText"/>
        <w:spacing w:line="480" w:lineRule="auto" w:after="120"/>
        <w:ind w:firstLine="480"/>
      </w:pPr>
      <w:r>
        <w:rPr>
          <w:rFonts w:ascii="Times New Roman" w:hAnsi="Times New Roman"/>
          <w:sz w:val="24"/>
        </w:rPr>
        <w:t xml:space="preserve">Match used candidate blobs inferred by Find as its basic sample unit. Its training, validation and test sets comprised Find inference outputs from 1,650, 200 and 179 PDB entries, respectively. These PDB entries were subsets of the corresponding original training, validation and test sets. The three sets contained 44,643, 5,544 and 1,651 blobs, respectively.</w:t>
      </w:r>
    </w:p>
    <w:p>
      <w:pPr>
        <w:pStyle w:val="BodyText"/>
        <w:spacing w:line="480" w:lineRule="auto" w:after="120"/>
        <w:ind w:firstLine="480"/>
      </w:pPr>
      <w:r>
        <w:rPr>
          <w:rFonts w:ascii="Times New Roman" w:hAnsi="Times New Roman"/>
          <w:sz w:val="24"/>
        </w:rPr>
        <w:t xml:space="preserve">Build used individual ligand instances as its basic training and testing unit. For PocketXMol fine-tuning, each training, validation and test split comprised all eligible small molecules from its corresponding original partition. End-to-end testing was restricted to the original 179 PDB entries, as were Find, Match and Build testing. This shared test scope prevented data leakage between training and testing.</w:t>
      </w:r>
    </w:p>
    <w:bookmarkEnd w:id="76"/>
    <w:bookmarkStart w:id="79" w:name="unified-input-representation"/>
    <w:p>
      <w:pPr>
        <w:pStyle w:val="Heading2"/>
        <w:keepNext/>
        <w:spacing w:line="480" w:lineRule="auto"/>
        <w:ind w:firstLine="0"/>
      </w:pPr>
      <w:r>
        <w:rPr>
          <w:rFonts w:ascii="Times New Roman" w:hAnsi="Times New Roman"/>
          <w:sz w:val="24"/>
        </w:rPr>
        <w:t xml:space="preserve">Unified input representation</w:t>
      </w:r>
    </w:p>
    <w:p>
      <w:pPr>
        <w:pStyle w:val="FirstParagraph"/>
        <w:spacing w:line="480" w:lineRule="auto" w:after="120"/>
        <w:ind w:firstLine="480"/>
      </w:pPr>
      <w:r>
        <w:rPr>
          <w:rFonts w:ascii="Times New Roman" w:hAnsi="Times New Roman"/>
          <w:sz w:val="24"/>
        </w:rPr>
        <w:t xml:space="preserve">Find, Match and Build all extract information from density maps and receptor atoms, motivating a shared density–atom input representation. We organise density information into a multi-view density bank and encode each receptor atom as a 50-dimensional feature vector. These representations provide common inputs for training and inference across all three stages.</w:t>
      </w:r>
    </w:p>
    <w:bookmarkStart w:id="77" w:name="multi-view-density-bank"/>
    <w:p>
      <w:pPr>
        <w:pStyle w:val="Heading3"/>
        <w:keepNext/>
        <w:spacing w:line="480" w:lineRule="auto"/>
        <w:ind w:firstLine="0"/>
      </w:pPr>
      <w:r>
        <w:rPr>
          <w:rFonts w:ascii="Times New Roman" w:hAnsi="Times New Roman"/>
          <w:sz w:val="24"/>
        </w:rPr>
        <w:t xml:space="preserve">Multi-view density bank</w:t>
      </w:r>
    </w:p>
    <w:p>
      <w:pPr>
        <w:pStyle w:val="FirstParagraph"/>
        <w:spacing w:line="480" w:lineRule="auto" w:after="120"/>
        <w:ind w:firstLine="480"/>
      </w:pPr>
      <w:r>
        <w:rPr>
          <w:rFonts w:ascii="Times New Roman" w:hAnsi="Times New Roman"/>
          <w:sz w:val="24"/>
        </w:rPr>
        <w:t xml:space="preserve">The multi-view density bank organises complementary views of density into a local representation shared by Find, Match and Build.</w:t>
      </w:r>
    </w:p>
    <w:p>
      <w:pPr>
        <w:pStyle w:val="BodyText"/>
        <w:spacing w:line="480" w:lineRule="auto" w:after="120"/>
        <w:ind w:firstLine="480"/>
      </w:pPr>
      <w:r>
        <w:rPr>
          <w:rFonts w:ascii="Times New Roman" w:hAnsi="Times New Roman"/>
          <w:sz w:val="24"/>
        </w:rPr>
        <w:t xml:space="preserve">Using Chimera</w:t>
      </w:r>
      <w:r>
        <w:rPr>
          <w:rStyle w:val="MDCITE_eJyLdihILSlJLSpOzTMyMDBJzsjMTS1KjAUAZfYIcg"/>
          <w:rFonts w:ascii="Times New Roman" w:hAnsi="Times New Roman"/>
          <w:sz w:val="24"/>
          <w:vertAlign w:val="superscript"/>
        </w:rPr>
        <w:t xml:space="preserve">19</w:t>
      </w:r>
      <w:r>
        <w:rPr>
          <w:rFonts w:ascii="Times New Roman" w:hAnsi="Times New Roman"/>
          <w:sz w:val="24"/>
        </w:rPr>
        <w:t xml:space="preserve">, we generated a simulated receptor density map</w:t>
      </w:r>
      <w:r>
        <w:rPr>
          <w:rFonts w:ascii="Times New Roman" w:hAnsi="Times New Roman"/>
          <w:sz w:val="24"/>
        </w:rPr>
        <w:t xml:space="preserve"> </w:t>
      </w:r>
      <m:oMath>
        <m:sSub>
          <m:e>
            <m:r>
              <m:t>M</m:t>
            </m:r>
          </m:e>
          <m:sub>
            <m:r>
              <m:rPr>
                <m:sty m:val="p"/>
              </m:rPr>
              <m:t>s</m:t>
            </m:r>
            <m:r>
              <m:rPr>
                <m:sty m:val="p"/>
              </m:rPr>
              <m:t>i</m:t>
            </m:r>
            <m:r>
              <m:rPr>
                <m:sty m:val="p"/>
              </m:rPr>
              <m:t>m</m:t>
            </m:r>
          </m:sub>
        </m:sSub>
      </m:oMath>
      <w:r>
        <w:rPr>
          <w:rFonts w:ascii="Times New Roman" w:hAnsi="Times New Roman"/>
          <w:sz w:val="24"/>
        </w:rPr>
        <w:t xml:space="preserve"> </w:t>
      </w:r>
      <w:r>
        <w:rPr>
          <w:rFonts w:ascii="Times New Roman" w:hAnsi="Times New Roman"/>
          <w:sz w:val="24"/>
        </w:rPr>
        <w:t xml:space="preserve">from the input receptor structure on the same grid as the experimental cryo-EM density map</w:t>
      </w:r>
      <w:r>
        <w:rPr>
          <w:rFonts w:ascii="Times New Roman" w:hAnsi="Times New Roman"/>
          <w:sz w:val="24"/>
        </w:rPr>
        <w:t xml:space="preserve"> </w:t>
      </w:r>
      <m:oMath>
        <m:sSub>
          <m:e>
            <m:r>
              <m:t>M</m:t>
            </m:r>
          </m:e>
          <m:sub>
            <m:r>
              <m:rPr>
                <m:sty m:val="p"/>
              </m:rPr>
              <m:t>e</m:t>
            </m:r>
            <m:r>
              <m:rPr>
                <m:sty m:val="p"/>
              </m:rPr>
              <m:t>x</m:t>
            </m:r>
            <m:r>
              <m:rPr>
                <m:sty m:val="p"/>
              </m:rPr>
              <m:t>p</m:t>
            </m:r>
          </m:sub>
        </m:sSub>
      </m:oMath>
      <w:r>
        <w:rPr>
          <w:rFonts w:ascii="Times New Roman" w:hAnsi="Times New Roman"/>
          <w:sz w:val="24"/>
        </w:rPr>
        <w:t xml:space="preserve">. We resampled both maps to a voxel spacing of 1 Å and aligned them to a common physical coordinate system and voxel grid. These two maps served as the source inputs for constructing the multi-view density bank.</w:t>
      </w:r>
    </w:p>
    <w:p>
      <w:pPr>
        <w:pStyle w:val="BodyText"/>
        <w:spacing w:line="480" w:lineRule="auto" w:after="120"/>
        <w:ind w:firstLine="480"/>
      </w:pPr>
      <w:r>
        <w:rPr>
          <w:rFonts w:ascii="Times New Roman" w:hAnsi="Times New Roman"/>
          <w:sz w:val="24"/>
        </w:rPr>
        <w:t xml:space="preserve">On the set of voxels containing receptor atoms,</w:t>
      </w:r>
      <w:r>
        <w:rPr>
          <w:rFonts w:ascii="Times New Roman" w:hAnsi="Times New Roman"/>
          <w:sz w:val="24"/>
        </w:rPr>
        <w:t xml:space="preserve"> </w:t>
      </w:r>
      <m:oMath>
        <m:sSub>
          <m:e>
            <m:r>
              <m:rPr>
                <m:sty m:val="p"/>
              </m:rPr>
              <m:t>Ω</m:t>
            </m:r>
          </m:e>
          <m:sub>
            <m:r>
              <m:rPr>
                <m:sty m:val="p"/>
              </m:rPr>
              <m:t>r</m:t>
            </m:r>
            <m:r>
              <m:rPr>
                <m:sty m:val="p"/>
              </m:rPr>
              <m:t>e</m:t>
            </m:r>
            <m:r>
              <m:rPr>
                <m:sty m:val="p"/>
              </m:rPr>
              <m:t>c</m:t>
            </m:r>
          </m:sub>
        </m:sSub>
      </m:oMath>
      <w:r>
        <w:rPr>
          <w:rFonts w:ascii="Times New Roman" w:hAnsi="Times New Roman"/>
          <w:sz w:val="24"/>
        </w:rPr>
        <w:t xml:space="preserve">, we fitted a scale coefficient</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and offset</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by least squares. This fit minimised the root-mean-square error between the experimental and scaled simulated densities:</w:t>
      </w:r>
    </w:p>
    <w:p>
      <w:pPr>
        <w:pStyle w:val="BodyText"/>
        <w:keepLines/>
        <w:spacing w:line="240" w:lineRule="auto" w:before="180" w:after="220"/>
        <w:ind w:firstLine="0"/>
        <w:jc w:val="center"/>
      </w:pPr>
      <m:oMathPara>
        <m:oMathParaPr>
          <m:jc m:val="center"/>
        </m:oMathParaPr>
        <m:oMath>
          <m:r>
            <m:rPr>
              <m:sty m:val="p"/>
            </m:rPr>
            <m:t>(</m:t>
          </m:r>
          <m:r>
            <m:t>a</m:t>
          </m:r>
          <m:r>
            <m:rPr>
              <m:sty m:val="p"/>
            </m:rPr>
            <m:t>,</m:t>
          </m:r>
          <m:r>
            <m:t>b</m:t>
          </m:r>
          <m:r>
            <m:rPr>
              <m:sty m:val="p"/>
            </m:rPr>
            <m:t>)</m:t>
          </m:r>
          <m:r>
            <m:rPr>
              <m:sty m:val="p"/>
            </m:rPr>
            <m:t>=</m:t>
          </m:r>
          <m:limLow>
            <m:e>
              <m:r>
                <m:rPr>
                  <m:sty m:val="p"/>
                </m:rPr>
                <m:t>arg</m:t>
              </m:r>
              <m:r>
                <m:rPr>
                  <m:sty m:val="p"/>
                </m:rPr>
                <m:t>min</m:t>
              </m:r>
            </m:e>
            <m:lim>
              <m:r>
                <m:t>a</m:t>
              </m:r>
              <m:r>
                <m:rPr>
                  <m:sty m:val="p"/>
                </m:rPr>
                <m:t>,</m:t>
              </m:r>
              <m:r>
                <m:t>b</m:t>
              </m:r>
            </m:lim>
          </m:limLow>
          <m:nary>
            <m:naryPr>
              <m:chr m:val="∑"/>
              <m:limLoc m:val="undOvr"/>
              <m:subHide m:val="off"/>
              <m:supHide m:val="on"/>
            </m:naryPr>
            <m:sub>
              <m:r>
                <m:t>x</m:t>
              </m:r>
              <m:r>
                <m:rPr>
                  <m:sty m:val="p"/>
                </m:rPr>
                <m:t>∈</m:t>
              </m:r>
              <m:sSub>
                <m:e>
                  <m:r>
                    <m:rPr>
                      <m:sty m:val="p"/>
                    </m:rPr>
                    <m:t>Ω</m:t>
                  </m:r>
                </m:e>
                <m:sub>
                  <m:r>
                    <m:rPr>
                      <m:sty m:val="p"/>
                    </m:rPr>
                    <m:t>r</m:t>
                  </m:r>
                  <m:r>
                    <m:rPr>
                      <m:sty m:val="p"/>
                    </m:rPr>
                    <m:t>e</m:t>
                  </m:r>
                  <m:r>
                    <m:rPr>
                      <m:sty m:val="p"/>
                    </m:rPr>
                    <m:t>c</m:t>
                  </m:r>
                </m:sub>
              </m:sSub>
            </m:sub>
            <m:sup>
              <m:r>
                <m:t>​</m:t>
              </m:r>
            </m:sup>
            <m:e>
              <m:sSup>
                <m:e>
                  <m:d>
                    <m:dPr>
                      <m:begChr m:val="["/>
                      <m:sepChr m:val=""/>
                      <m:endChr m:val="]"/>
                      <m:grow/>
                    </m:dPr>
                    <m:e>
                      <m:sSub>
                        <m:e>
                          <m:r>
                            <m:t>M</m:t>
                          </m:r>
                        </m:e>
                        <m:sub>
                          <m:r>
                            <m:rPr>
                              <m:sty m:val="p"/>
                            </m:rPr>
                            <m:t>e</m:t>
                          </m:r>
                          <m:r>
                            <m:rPr>
                              <m:sty m:val="p"/>
                            </m:rPr>
                            <m:t>x</m:t>
                          </m:r>
                          <m:r>
                            <m:rPr>
                              <m:sty m:val="p"/>
                            </m:rPr>
                            <m:t>p</m:t>
                          </m:r>
                        </m:sub>
                      </m:sSub>
                      <m:r>
                        <m:rPr>
                          <m:sty m:val="p"/>
                        </m:rPr>
                        <m:t>(</m:t>
                      </m:r>
                      <m:r>
                        <m:t>x</m:t>
                      </m:r>
                      <m:r>
                        <m:rPr>
                          <m:sty m:val="p"/>
                        </m:rPr>
                        <m:t>)</m:t>
                      </m:r>
                      <m:r>
                        <m:rPr>
                          <m:sty m:val="p"/>
                        </m:rPr>
                        <m:t>−</m:t>
                      </m:r>
                      <m:r>
                        <m:t>a</m:t>
                      </m:r>
                      <m:sSub>
                        <m:e>
                          <m:r>
                            <m:t>M</m:t>
                          </m:r>
                        </m:e>
                        <m:sub>
                          <m:r>
                            <m:rPr>
                              <m:sty m:val="p"/>
                            </m:rPr>
                            <m:t>s</m:t>
                          </m:r>
                          <m:r>
                            <m:rPr>
                              <m:sty m:val="p"/>
                            </m:rPr>
                            <m:t>i</m:t>
                          </m:r>
                          <m:r>
                            <m:rPr>
                              <m:sty m:val="p"/>
                            </m:rPr>
                            <m:t>m</m:t>
                          </m:r>
                        </m:sub>
                      </m:sSub>
                      <m:r>
                        <m:rPr>
                          <m:sty m:val="p"/>
                        </m:rPr>
                        <m:t>(</m:t>
                      </m:r>
                      <m:r>
                        <m:t>x</m:t>
                      </m:r>
                      <m:r>
                        <m:rPr>
                          <m:sty m:val="p"/>
                        </m:rPr>
                        <m:t>)</m:t>
                      </m:r>
                      <m:r>
                        <m:rPr>
                          <m:sty m:val="p"/>
                        </m:rPr>
                        <m:t>−</m:t>
                      </m:r>
                      <m:r>
                        <m:t>b</m:t>
                      </m:r>
                    </m:e>
                  </m:d>
                </m:e>
                <m:sup>
                  <m:r>
                    <m:t>2</m:t>
                  </m:r>
                </m:sup>
              </m:sSup>
            </m:e>
          </m:nary>
          <m:r>
            <m:rPr>
              <m:sty m:val="p"/>
            </m:rPr>
            <m:t>.</m:t>
          </m:r>
        </m:oMath>
      </m:oMathPara>
    </w:p>
    <w:p>
      <w:pPr>
        <w:pStyle w:val="FirstParagraph"/>
        <w:spacing w:line="480" w:lineRule="auto" w:after="120"/>
        <w:ind w:firstLine="480"/>
      </w:pPr>
      <w:r>
        <w:rPr>
          <w:rFonts w:ascii="Times New Roman" w:hAnsi="Times New Roman"/>
          <w:sz w:val="24"/>
        </w:rPr>
        <w:t xml:space="preserve">We then constructed the difference density map using the fitted scale and offset:</w:t>
      </w:r>
    </w:p>
    <w:p>
      <w:pPr>
        <w:pStyle w:val="BodyText"/>
        <w:keepLines/>
        <w:spacing w:line="240" w:lineRule="auto" w:before="180" w:after="220"/>
        <w:ind w:firstLine="0"/>
        <w:jc w:val="center"/>
      </w:pPr>
      <m:oMathPara>
        <m:oMathParaPr>
          <m:jc m:val="center"/>
        </m:oMathParaPr>
        <m:oMath>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sSub>
            <m:e>
              <m:r>
                <m:t>M</m:t>
              </m:r>
            </m:e>
            <m:sub>
              <m:r>
                <m:rPr>
                  <m:sty m:val="p"/>
                </m:rPr>
                <m:t>e</m:t>
              </m:r>
              <m:r>
                <m:rPr>
                  <m:sty m:val="p"/>
                </m:rPr>
                <m:t>x</m:t>
              </m:r>
              <m:r>
                <m:rPr>
                  <m:sty m:val="p"/>
                </m:rPr>
                <m:t>p</m:t>
              </m:r>
            </m:sub>
          </m:sSub>
          <m:r>
            <m:rPr>
              <m:sty m:val="p"/>
            </m:rPr>
            <m:t>(</m:t>
          </m:r>
          <m:r>
            <m:t>x</m:t>
          </m:r>
          <m:r>
            <m:rPr>
              <m:sty m:val="p"/>
            </m:rPr>
            <m:t>)</m:t>
          </m:r>
          <m:r>
            <m:rPr>
              <m:sty m:val="p"/>
            </m:rPr>
            <m:t>−</m:t>
          </m:r>
          <m:d>
            <m:dPr>
              <m:begChr m:val="("/>
              <m:sepChr m:val=""/>
              <m:endChr m:val=")"/>
              <m:grow/>
            </m:dPr>
            <m:e>
              <m:r>
                <m:t>a</m:t>
              </m:r>
              <m:sSub>
                <m:e>
                  <m:r>
                    <m:t>M</m:t>
                  </m:r>
                </m:e>
                <m:sub>
                  <m:r>
                    <m:rPr>
                      <m:sty m:val="p"/>
                    </m:rPr>
                    <m:t>s</m:t>
                  </m:r>
                  <m:r>
                    <m:rPr>
                      <m:sty m:val="p"/>
                    </m:rPr>
                    <m:t>i</m:t>
                  </m:r>
                  <m:r>
                    <m:rPr>
                      <m:sty m:val="p"/>
                    </m:rPr>
                    <m:t>m</m:t>
                  </m:r>
                </m:sub>
              </m:sSub>
              <m:r>
                <m:rPr>
                  <m:sty m:val="p"/>
                </m:rPr>
                <m:t>(</m:t>
              </m:r>
              <m:r>
                <m:t>x</m:t>
              </m:r>
              <m:r>
                <m:rPr>
                  <m:sty m:val="p"/>
                </m:rPr>
                <m:t>)</m:t>
              </m:r>
              <m:r>
                <m:rPr>
                  <m:sty m:val="p"/>
                </m:rPr>
                <m:t>+</m:t>
              </m:r>
              <m:r>
                <m:t>b</m:t>
              </m:r>
            </m:e>
          </m:d>
        </m:oMath>
      </m:oMathPara>
    </w:p>
    <w:p>
      <w:pPr>
        <w:pStyle w:val="FirstParagraph"/>
        <w:spacing w:line="480" w:lineRule="auto" w:after="120"/>
        <w:ind w:firstLine="480"/>
      </w:pPr>
      <w:r>
        <w:rPr>
          <w:rFonts w:ascii="Times New Roman" w:hAnsi="Times New Roman"/>
          <w:sz w:val="24"/>
        </w:rPr>
        <w:t xml:space="preserve">We also constructed a positive difference density map from the residual,</w:t>
      </w:r>
      <w:r>
        <w:rPr>
          <w:rFonts w:ascii="Times New Roman" w:hAnsi="Times New Roman"/>
          <w:sz w:val="24"/>
        </w:rPr>
        <w:t xml:space="preserve"> </w:t>
      </w:r>
      <m:oMath>
        <m:sSubSup>
          <m:e>
            <m:r>
              <m:t>M</m:t>
            </m:r>
          </m:e>
          <m:sub>
            <m:r>
              <m:rPr>
                <m:sty m:val="p"/>
              </m:rPr>
              <m:t>d</m:t>
            </m:r>
            <m:r>
              <m:rPr>
                <m:sty m:val="p"/>
              </m:rPr>
              <m:t>i</m:t>
            </m:r>
            <m:r>
              <m:rPr>
                <m:sty m:val="p"/>
              </m:rPr>
              <m:t>f</m:t>
            </m:r>
            <m:r>
              <m:rPr>
                <m:sty m:val="p"/>
              </m:rPr>
              <m:t>f</m:t>
            </m:r>
          </m:sub>
          <m:sup>
            <m:r>
              <m:rPr>
                <m:sty m:val="p"/>
              </m:rPr>
              <m:t>+</m:t>
            </m:r>
          </m:sup>
        </m:sSubSup>
        <m:r>
          <m:rPr>
            <m:sty m:val="p"/>
          </m:rPr>
          <m:t>(</m:t>
        </m:r>
        <m:r>
          <m:t>x</m:t>
        </m:r>
        <m:r>
          <m:rPr>
            <m:sty m:val="p"/>
          </m:rPr>
          <m:t>)</m:t>
        </m:r>
        <m:r>
          <m:rPr>
            <m:sty m:val="p"/>
          </m:rPr>
          <m:t>=</m:t>
        </m:r>
        <m:r>
          <m:rPr>
            <m:sty m:val="p"/>
          </m:rPr>
          <m:t>max</m:t>
        </m:r>
        <m:r>
          <m:rPr>
            <m:sty m:val="p"/>
          </m:rPr>
          <m:t>(</m:t>
        </m:r>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r>
          <m:t>0</m:t>
        </m:r>
        <m:r>
          <m:rPr>
            <m:sty m:val="p"/>
          </m:rPr>
          <m:t>)</m:t>
        </m:r>
      </m:oMath>
      <w:r>
        <w:rPr>
          <w:rFonts w:ascii="Times New Roman" w:hAnsi="Times New Roman"/>
          <w:sz w:val="24"/>
        </w:rPr>
        <w:t xml:space="preserve">. This yielded four base density fields: experimental density, simulated receptor density, difference density and positive difference density. Experimental density retains the complete observed signal, whereas simulated receptor density represents the density explained by the receptor structure. Difference density captures residual discrepancies between the experimental and simulated maps, whereas positive difference density highlights density unexplained by the receptor model.</w:t>
      </w:r>
    </w:p>
    <w:p>
      <w:pPr>
        <w:pStyle w:val="BodyText"/>
        <w:spacing w:line="480" w:lineRule="auto" w:after="120"/>
        <w:ind w:firstLine="480"/>
      </w:pPr>
      <w:r>
        <w:rPr>
          <w:rFonts w:ascii="Times New Roman" w:hAnsi="Times New Roman"/>
          <w:sz w:val="24"/>
        </w:rPr>
        <w:t xml:space="preserve">For each base density field</w:t>
      </w:r>
      <w:r>
        <w:rPr>
          <w:rFonts w:ascii="Times New Roman" w:hAnsi="Times New Roman"/>
          <w:sz w:val="24"/>
        </w:rPr>
        <w:t xml:space="preserve"> </w:t>
      </w:r>
      <m:oMath>
        <m:r>
          <m:t>M</m:t>
        </m:r>
      </m:oMath>
      <w:r>
        <w:rPr>
          <w:rFonts w:ascii="Times New Roman" w:hAnsi="Times New Roman"/>
          <w:sz w:val="24"/>
        </w:rPr>
        <w:t xml:space="preserve">, we retained both unnormalised and z-score-normalised representations. For the latter, we first clipped</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to its 0.1st and 99.9th percentiles before applying z-score normalisation, reducing the influence of extreme density values on the numerical scale.</w:t>
      </w:r>
    </w:p>
    <w:p>
      <w:pPr>
        <w:pStyle w:val="BodyText"/>
        <w:spacing w:line="480" w:lineRule="auto" w:after="120"/>
        <w:ind w:firstLine="480"/>
      </w:pPr>
      <w:r>
        <w:rPr>
          <w:rFonts w:ascii="Times New Roman" w:hAnsi="Times New Roman"/>
          <w:sz w:val="24"/>
        </w:rPr>
        <w:t xml:space="preserve">Each representation underwent seven deterministic spatial transformations: identity mapping, two Gaussian smoothing operations, two difference-of-Gaussians (DoG) filters and two receptor-neighbourhood suppression operations. Three-dimensional Gaussian smoothing used standard deviations of 1 and 2 voxels. The DoG filters used scale parameters of 1 and 2 voxels and a scale ratio of 1.6. Receptor-neighbourhood suppression likewise used scales of 1 and 2 voxels.</w:t>
      </w:r>
    </w:p>
    <w:p>
      <w:pPr>
        <w:pStyle w:val="BodyText"/>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sSub>
          <m:e>
            <m:r>
              <m:t>G</m:t>
            </m:r>
          </m:e>
          <m:sub>
            <m:r>
              <m:t>σ</m:t>
            </m:r>
          </m:sub>
        </m:sSub>
      </m:oMath>
      <w:r>
        <w:rPr>
          <w:rFonts w:ascii="Times New Roman" w:hAnsi="Times New Roman"/>
          <w:sz w:val="24"/>
        </w:rPr>
        <w:t xml:space="preserve"> </w:t>
      </w:r>
      <w:r>
        <w:rPr>
          <w:rFonts w:ascii="Times New Roman" w:hAnsi="Times New Roman"/>
          <w:sz w:val="24"/>
        </w:rPr>
        <w:t xml:space="preserve">denote a three-dimensional Gaussian kernel with standard deviation</w:t>
      </w:r>
      <w:r>
        <w:rPr>
          <w:rFonts w:ascii="Times New Roman" w:hAnsi="Times New Roman"/>
          <w:sz w:val="24"/>
        </w:rPr>
        <w:t xml:space="preserve"> </w:t>
      </w:r>
      <m:oMath>
        <m:r>
          <m:t>σ</m:t>
        </m:r>
      </m:oMath>
      <w:r>
        <w:rPr>
          <w:rFonts w:ascii="Times New Roman" w:hAnsi="Times New Roman"/>
          <w:sz w:val="24"/>
        </w:rPr>
        <w:t xml:space="preserve">, and let</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denote three-dimensional convolution. Let</w:t>
      </w:r>
      <w:r>
        <w:rPr>
          <w:rFonts w:ascii="Times New Roman" w:hAnsi="Times New Roman"/>
          <w:sz w:val="24"/>
        </w:rPr>
        <w:t xml:space="preserve"> </w:t>
      </w:r>
      <m:oMath>
        <m:sSub>
          <m:e>
            <m:r>
              <m:t>d</m:t>
            </m:r>
          </m:e>
          <m:sub>
            <m:r>
              <m:rPr>
                <m:sty m:val="p"/>
              </m:rPr>
              <m:t>r</m:t>
            </m:r>
            <m:r>
              <m:rPr>
                <m:sty m:val="p"/>
              </m:rPr>
              <m:t>e</m:t>
            </m:r>
            <m:r>
              <m:rPr>
                <m:sty m:val="p"/>
              </m:rPr>
              <m:t>c</m:t>
            </m:r>
          </m:sub>
        </m:sSub>
        <m:r>
          <m:rPr>
            <m:sty m:val="p"/>
          </m:rPr>
          <m:t>(</m:t>
        </m:r>
        <m:r>
          <m:t>x</m:t>
        </m:r>
        <m:r>
          <m:rPr>
            <m:sty m:val="p"/>
          </m:rPr>
          <m:t>)</m:t>
        </m:r>
      </m:oMath>
      <w:r>
        <w:rPr>
          <w:rFonts w:ascii="Times New Roman" w:hAnsi="Times New Roman"/>
          <w:sz w:val="24"/>
        </w:rPr>
        <w:t xml:space="preserve"> </w:t>
      </w:r>
      <w:r>
        <w:rPr>
          <w:rFonts w:ascii="Times New Roman" w:hAnsi="Times New Roman"/>
          <w:sz w:val="24"/>
        </w:rPr>
        <w:t xml:space="preserve">denote the distance from voxel</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to the nearest receptor-occupied voxel. With</w:t>
      </w:r>
      <w:r>
        <w:rPr>
          <w:rFonts w:ascii="Times New Roman" w:hAnsi="Times New Roman"/>
          <w:sz w:val="24"/>
        </w:rPr>
        <w:t xml:space="preserve"> </w:t>
      </w:r>
      <m:oMath>
        <m:sSub>
          <m:e>
            <m:r>
              <m:t>S</m:t>
            </m:r>
          </m:e>
          <m:sub>
            <m:r>
              <m:t>σ</m:t>
            </m:r>
          </m:sub>
        </m:sSub>
        <m:r>
          <m:rPr>
            <m:sty m:val="p"/>
          </m:rPr>
          <m:t>(</m:t>
        </m:r>
        <m:r>
          <m:t>x</m:t>
        </m:r>
        <m:r>
          <m:rPr>
            <m:sty m:val="p"/>
          </m:rPr>
          <m:t>)</m:t>
        </m:r>
        <m:r>
          <m:rPr>
            <m:sty m:val="p"/>
          </m:rPr>
          <m:t>=</m:t>
        </m:r>
        <m:r>
          <m:rPr>
            <m:scr m:val="double-struck"/>
            <m:sty m:val="p"/>
          </m:rPr>
          <m:t>I</m:t>
        </m:r>
        <m:r>
          <m:rPr>
            <m:sty m:val="p"/>
          </m:rPr>
          <m:t>[</m:t>
        </m:r>
        <m:sSub>
          <m:e>
            <m:r>
              <m:t>d</m:t>
            </m:r>
          </m:e>
          <m:sub>
            <m:r>
              <m:rPr>
                <m:sty m:val="p"/>
              </m:rPr>
              <m:t>r</m:t>
            </m:r>
            <m:r>
              <m:rPr>
                <m:sty m:val="p"/>
              </m:rPr>
              <m:t>e</m:t>
            </m:r>
            <m:r>
              <m:rPr>
                <m:sty m:val="p"/>
              </m:rPr>
              <m:t>c</m:t>
            </m:r>
          </m:sub>
        </m:sSub>
        <m:r>
          <m:rPr>
            <m:sty m:val="p"/>
          </m:rPr>
          <m:t>(</m:t>
        </m:r>
        <m:r>
          <m:t>x</m:t>
        </m:r>
        <m:r>
          <m:rPr>
            <m:sty m:val="p"/>
          </m:rPr>
          <m:t>)</m:t>
        </m:r>
        <m:r>
          <m:rPr>
            <m:sty m:val="p"/>
          </m:rPr>
          <m:t>≤</m:t>
        </m:r>
        <m:r>
          <m:t>2</m:t>
        </m:r>
        <m:r>
          <m:rPr>
            <m:sty m:val="p"/>
          </m:rPr>
          <m:t>]</m:t>
        </m:r>
        <m:r>
          <m:rPr>
            <m:sty m:val="p"/>
          </m:rPr>
          <m:t>exp</m:t>
        </m:r>
        <m:r>
          <m:rPr>
            <m:sty m:val="p"/>
          </m:rPr>
          <m:t>[</m:t>
        </m:r>
        <m:r>
          <m:rPr>
            <m:sty m:val="p"/>
          </m:rPr>
          <m:t>−</m:t>
        </m:r>
        <m:sSub>
          <m:e>
            <m:r>
              <m:t>d</m:t>
            </m:r>
          </m:e>
          <m:sub>
            <m:r>
              <m:rPr>
                <m:sty m:val="p"/>
              </m:rPr>
              <m:t>r</m:t>
            </m:r>
            <m:r>
              <m:rPr>
                <m:sty m:val="p"/>
              </m:rPr>
              <m:t>e</m:t>
            </m:r>
            <m:r>
              <m:rPr>
                <m:sty m:val="p"/>
              </m:rPr>
              <m:t>c</m:t>
            </m:r>
          </m:sub>
        </m:sSub>
        <m:r>
          <m:rPr>
            <m:sty m:val="p"/>
          </m:rPr>
          <m:t>(</m:t>
        </m:r>
        <m:r>
          <m:t>x</m:t>
        </m:r>
        <m:sSup>
          <m:e>
            <m:r>
              <m:rPr>
                <m:sty m:val="p"/>
              </m:rPr>
              <m:t>)</m:t>
            </m:r>
          </m:e>
          <m:sup>
            <m:r>
              <m:t>2</m:t>
            </m:r>
          </m:sup>
        </m:sSup>
        <m:r>
          <m:rPr>
            <m:sty m:val="p"/>
          </m:rPr>
          <m:t>/</m:t>
        </m:r>
        <m:r>
          <m:rPr>
            <m:sty m:val="p"/>
          </m:rPr>
          <m:t>(</m:t>
        </m:r>
        <m:r>
          <m:t>2</m:t>
        </m:r>
        <m:sSup>
          <m:e>
            <m:r>
              <m:t>σ</m:t>
            </m:r>
          </m:e>
          <m:sup>
            <m:r>
              <m:t>2</m:t>
            </m:r>
          </m:sup>
        </m:sSup>
        <m:r>
          <m:rPr>
            <m:sty m:val="p"/>
          </m:rPr>
          <m:t>)</m:t>
        </m:r>
        <m:r>
          <m:rPr>
            <m:sty m:val="p"/>
          </m:rPr>
          <m:t>]</m:t>
        </m:r>
      </m:oMath>
      <w:r>
        <w:rPr>
          <w:rFonts w:ascii="Times New Roman" w:hAnsi="Times New Roman"/>
          <w:sz w:val="24"/>
        </w:rPr>
        <w:t xml:space="preserve"> </w:t>
      </w:r>
      <w:r>
        <w:rPr>
          <w:rFonts w:ascii="Times New Roman" w:hAnsi="Times New Roman"/>
          <w:sz w:val="24"/>
        </w:rPr>
        <w:t xml:space="preserve">defining receptor-neighbourhood suppression, the seven spatial views are written as:</w:t>
      </w:r>
    </w:p>
    <w:p>
      <w:pPr>
        <w:pStyle w:val="BodyText"/>
        <w:keepLines/>
        <w:spacing w:line="240" w:lineRule="auto" w:before="180" w:after="220"/>
        <w:ind w:firstLine="0"/>
        <w:jc w:val="center"/>
      </w:pPr>
      <m:oMathPara>
        <m:oMathParaPr>
          <m:jc m:val="center"/>
        </m:oMathParaPr>
        <m:oMath>
          <m:r>
            <m:rPr>
              <m:scr m:val="script"/>
              <m:sty m:val="p"/>
            </m:rPr>
            <m:t>V</m:t>
          </m:r>
          <m:r>
            <m:rPr>
              <m:sty m:val="p"/>
            </m:rPr>
            <m:t>(</m:t>
          </m:r>
          <m:r>
            <m:t>M</m:t>
          </m:r>
          <m:r>
            <m:rPr>
              <m:sty m:val="p"/>
            </m:rPr>
            <m:t>)</m:t>
          </m:r>
          <m:r>
            <m:rPr>
              <m:sty m:val="p"/>
            </m:rPr>
            <m:t>=</m:t>
          </m:r>
          <m:d>
            <m:dPr>
              <m:begChr m:val="{"/>
              <m:sepChr m:val=""/>
              <m:endChr m:val="}"/>
              <m:grow/>
            </m:dPr>
            <m:e>
              <m:r>
                <m:t>M</m:t>
              </m:r>
              <m:r>
                <m:rPr>
                  <m:sty m:val="p"/>
                </m:rPr>
                <m:t>,</m:t>
              </m:r>
              <m:r>
                <m:t> </m:t>
              </m:r>
              <m:sSub>
                <m:e>
                  <m:r>
                    <m:t>G</m:t>
                  </m:r>
                </m:e>
                <m:sub>
                  <m:r>
                    <m:t>1</m:t>
                  </m:r>
                </m:sub>
              </m:sSub>
              <m:r>
                <m:rPr>
                  <m:sty m:val="p"/>
                </m:rPr>
                <m:t>*</m:t>
              </m:r>
              <m:r>
                <m:t>M</m:t>
              </m:r>
              <m:r>
                <m:rPr>
                  <m:sty m:val="p"/>
                </m:rPr>
                <m:t>,</m:t>
              </m:r>
              <m:r>
                <m:t> </m:t>
              </m:r>
              <m:sSub>
                <m:e>
                  <m:r>
                    <m:t>G</m:t>
                  </m:r>
                </m:e>
                <m:sub>
                  <m:r>
                    <m:t>2</m:t>
                  </m:r>
                </m:sub>
              </m:sSub>
              <m:r>
                <m:rPr>
                  <m:sty m:val="p"/>
                </m:rPr>
                <m:t>*</m:t>
              </m:r>
              <m:r>
                <m:t>M</m:t>
              </m:r>
              <m:r>
                <m:rPr>
                  <m:sty m:val="p"/>
                </m:rPr>
                <m:t>,</m:t>
              </m:r>
              <m:r>
                <m:t> </m:t>
              </m:r>
              <m:r>
                <m:rPr>
                  <m:sty m:val="p"/>
                </m:rPr>
                <m:t>(</m:t>
              </m:r>
              <m:sSub>
                <m:e>
                  <m:r>
                    <m:t>G</m:t>
                  </m:r>
                </m:e>
                <m:sub>
                  <m:r>
                    <m:t>1.6</m:t>
                  </m:r>
                </m:sub>
              </m:sSub>
              <m:r>
                <m:rPr>
                  <m:sty m:val="p"/>
                </m:rPr>
                <m:t>−</m:t>
              </m:r>
              <m:sSub>
                <m:e>
                  <m:r>
                    <m:t>G</m:t>
                  </m:r>
                </m:e>
                <m:sub>
                  <m:r>
                    <m:t>1</m:t>
                  </m:r>
                </m:sub>
              </m:sSub>
              <m:r>
                <m:rPr>
                  <m:sty m:val="p"/>
                </m:rPr>
                <m:t>)</m:t>
              </m:r>
              <m:r>
                <m:rPr>
                  <m:sty m:val="p"/>
                </m:rPr>
                <m:t>*</m:t>
              </m:r>
              <m:r>
                <m:t>M</m:t>
              </m:r>
              <m:r>
                <m:rPr>
                  <m:sty m:val="p"/>
                </m:rPr>
                <m:t>,</m:t>
              </m:r>
              <m:r>
                <m:t> </m:t>
              </m:r>
              <m:r>
                <m:rPr>
                  <m:sty m:val="p"/>
                </m:rPr>
                <m:t>(</m:t>
              </m:r>
              <m:sSub>
                <m:e>
                  <m:r>
                    <m:t>G</m:t>
                  </m:r>
                </m:e>
                <m:sub>
                  <m:r>
                    <m:t>3.2</m:t>
                  </m:r>
                </m:sub>
              </m:sSub>
              <m:r>
                <m:rPr>
                  <m:sty m:val="p"/>
                </m:rPr>
                <m:t>−</m:t>
              </m:r>
              <m:sSub>
                <m:e>
                  <m:r>
                    <m:t>G</m:t>
                  </m:r>
                </m:e>
                <m:sub>
                  <m:r>
                    <m:t>2</m:t>
                  </m:r>
                </m:sub>
              </m:sSub>
              <m:r>
                <m:rPr>
                  <m:sty m:val="p"/>
                </m:rPr>
                <m:t>)</m:t>
              </m:r>
              <m:r>
                <m:rPr>
                  <m:sty m:val="p"/>
                </m:rPr>
                <m:t>*</m:t>
              </m:r>
              <m:r>
                <m:t>M</m:t>
              </m:r>
              <m:r>
                <m:rPr>
                  <m:sty m:val="p"/>
                </m:rPr>
                <m:t>,</m:t>
              </m:r>
              <m:r>
                <m:t> </m:t>
              </m:r>
              <m:r>
                <m:t>M</m:t>
              </m:r>
              <m:r>
                <m:rPr>
                  <m:sty m:val="p"/>
                </m:rPr>
                <m:t>(</m:t>
              </m:r>
              <m:r>
                <m:t>1</m:t>
              </m:r>
              <m:r>
                <m:rPr>
                  <m:sty m:val="p"/>
                </m:rPr>
                <m:t>−</m:t>
              </m:r>
              <m:sSub>
                <m:e>
                  <m:r>
                    <m:t>S</m:t>
                  </m:r>
                </m:e>
                <m:sub>
                  <m:r>
                    <m:t>1</m:t>
                  </m:r>
                </m:sub>
              </m:sSub>
              <m:r>
                <m:rPr>
                  <m:sty m:val="p"/>
                </m:rPr>
                <m:t>)</m:t>
              </m:r>
              <m:r>
                <m:rPr>
                  <m:sty m:val="p"/>
                </m:rPr>
                <m:t>,</m:t>
              </m:r>
              <m:r>
                <m:t> </m:t>
              </m:r>
              <m:r>
                <m:t>M</m:t>
              </m:r>
              <m:r>
                <m:rPr>
                  <m:sty m:val="p"/>
                </m:rPr>
                <m:t>(</m:t>
              </m:r>
              <m:r>
                <m:t>1</m:t>
              </m:r>
              <m:r>
                <m:rPr>
                  <m:sty m:val="p"/>
                </m:rPr>
                <m:t>−</m:t>
              </m:r>
              <m:sSub>
                <m:e>
                  <m:r>
                    <m:t>S</m:t>
                  </m:r>
                </m:e>
                <m:sub>
                  <m:r>
                    <m:t>2</m:t>
                  </m:r>
                </m:sub>
              </m:sSub>
              <m:r>
                <m:rPr>
                  <m:sty m:val="p"/>
                </m:rPr>
                <m:t>)</m:t>
              </m:r>
            </m:e>
          </m:d>
          <m:r>
            <m:rPr>
              <m:sty m:val="p"/>
            </m:rPr>
            <m:t>.</m:t>
          </m:r>
        </m:oMath>
      </m:oMathPara>
    </w:p>
    <w:p>
      <w:pPr>
        <w:pStyle w:val="FirstParagraph"/>
        <w:spacing w:line="480" w:lineRule="auto" w:after="120"/>
        <w:ind w:firstLine="480"/>
      </w:pPr>
      <w:r>
        <w:rPr>
          <w:rFonts w:ascii="Times New Roman" w:hAnsi="Times New Roman"/>
          <w:sz w:val="24"/>
        </w:rPr>
        <w:t xml:space="preserve">Each local region therefore yields a total of</w:t>
      </w:r>
      <w:r>
        <w:rPr>
          <w:rFonts w:ascii="Times New Roman" w:hAnsi="Times New Roman"/>
          <w:sz w:val="24"/>
        </w:rPr>
        <w:t xml:space="preserve"> </w:t>
      </w:r>
      <m:oMath>
        <m:r>
          <m:t>4</m:t>
        </m:r>
        <m:r>
          <m:rPr>
            <m:sty m:val="p"/>
          </m:rPr>
          <m:t>×</m:t>
        </m:r>
        <m:r>
          <m:t>2</m:t>
        </m:r>
        <m:r>
          <m:rPr>
            <m:sty m:val="p"/>
          </m:rPr>
          <m:t>×</m:t>
        </m:r>
        <m:r>
          <m:t>7</m:t>
        </m:r>
        <m:r>
          <m:rPr>
            <m:sty m:val="p"/>
          </m:rPr>
          <m:t>=</m:t>
        </m:r>
        <m:r>
          <m:t>56</m:t>
        </m:r>
      </m:oMath>
      <w:r>
        <w:rPr>
          <w:rFonts w:ascii="Times New Roman" w:hAnsi="Times New Roman"/>
          <w:sz w:val="24"/>
        </w:rPr>
        <w:t xml:space="preserve"> </w:t>
      </w:r>
      <w:r>
        <w:rPr>
          <w:rFonts w:ascii="Times New Roman" w:hAnsi="Times New Roman"/>
          <w:sz w:val="24"/>
        </w:rPr>
        <w:t xml:space="preserve">density channels. These form a 56-channel tensor in the fixed order of base density field, normalisation scheme and spatial transformation.</w:t>
      </w:r>
    </w:p>
    <w:p>
      <w:pPr>
        <w:pStyle w:val="BodyText"/>
        <w:spacing w:line="480" w:lineRule="auto" w:after="120"/>
        <w:ind w:firstLine="480"/>
      </w:pPr>
      <w:r>
        <w:rPr>
          <w:rFonts w:ascii="Times New Roman" w:hAnsi="Times New Roman"/>
          <w:sz w:val="24"/>
        </w:rPr>
        <w:t xml:space="preserve">Multiscale smoothing provides context for continuous density over different spatial ranges. DoG views highlight compact density blobs and their boundaries, while receptor-neighbourhood suppression reduces masking of unexplained density by the macromolecular body. Because ligand density is sparse and difficult to capture, this construction provides a shared inductive bias for downstream tasks rather than requiring each to learn it from scratch.</w:t>
      </w:r>
    </w:p>
    <w:p>
      <w:pPr>
        <w:pStyle w:val="BodyText"/>
        <w:spacing w:line="480" w:lineRule="auto" w:after="120"/>
        <w:ind w:firstLine="480"/>
      </w:pPr>
      <w:r>
        <w:rPr>
          <w:rFonts w:ascii="Times New Roman" w:hAnsi="Times New Roman"/>
          <w:sz w:val="24"/>
        </w:rPr>
        <w:t xml:space="preserve">All models were trained on local</w:t>
      </w:r>
      <w:r>
        <w:rPr>
          <w:rFonts w:ascii="Times New Roman" w:hAnsi="Times New Roman"/>
          <w:sz w:val="24"/>
        </w:rPr>
        <w:t xml:space="preserve"> </w:t>
      </w:r>
      <m:oMath>
        <m:sSup>
          <m:e>
            <m:r>
              <m:t>L</m:t>
            </m:r>
          </m:e>
          <m:sup>
            <m:r>
              <m:t>3</m:t>
            </m:r>
          </m:sup>
        </m:sSup>
      </m:oMath>
      <w:r>
        <w:rPr>
          <w:rFonts w:ascii="Times New Roman" w:hAnsi="Times New Roman"/>
          <w:sz w:val="24"/>
        </w:rPr>
        <w:t xml:space="preserve"> </w:t>
      </w:r>
      <w:r>
        <w:rPr>
          <w:rFonts w:ascii="Times New Roman" w:hAnsi="Times New Roman"/>
          <w:sz w:val="24"/>
        </w:rPr>
        <w:t xml:space="preserve">voxel blocks rather than entire density maps. The multi-view density bank was constructed within each block, producing a tensor</w:t>
      </w:r>
      <w:r>
        <w:rPr>
          <w:rFonts w:ascii="Times New Roman" w:hAnsi="Times New Roman"/>
          <w:sz w:val="24"/>
        </w:rPr>
        <w:t xml:space="preserve"> </w:t>
      </w:r>
      <m:oMath>
        <m:r>
          <m:t>M</m:t>
        </m:r>
        <m:r>
          <m:rPr>
            <m:sty m:val="p"/>
          </m:rPr>
          <m:t>∈</m:t>
        </m:r>
        <m:sSup>
          <m:e>
            <m:r>
              <m:rPr>
                <m:scr m:val="double-struck"/>
                <m:sty m:val="p"/>
              </m:rPr>
              <m:t>R</m:t>
            </m:r>
          </m:e>
          <m:sup>
            <m:r>
              <m:t>56</m:t>
            </m:r>
            <m:r>
              <m:rPr>
                <m:sty m:val="p"/>
              </m:rPr>
              <m:t>×</m:t>
            </m:r>
            <m:r>
              <m:t>L</m:t>
            </m:r>
            <m:r>
              <m:rPr>
                <m:sty m:val="p"/>
              </m:rPr>
              <m:t>×</m:t>
            </m:r>
            <m:r>
              <m:t>L</m:t>
            </m:r>
            <m:r>
              <m:rPr>
                <m:sty m:val="p"/>
              </m:rPr>
              <m:t>×</m:t>
            </m:r>
            <m:r>
              <m:t>L</m:t>
            </m:r>
          </m:sup>
        </m:sSup>
      </m:oMath>
      <w:r>
        <w:rPr>
          <w:rFonts w:ascii="Times New Roman" w:hAnsi="Times New Roman"/>
          <w:sz w:val="24"/>
        </w:rPr>
        <w:t xml:space="preserve"> </w:t>
      </w:r>
      <w:r>
        <w:rPr>
          <w:rFonts w:ascii="Times New Roman" w:hAnsi="Times New Roman"/>
          <w:sz w:val="24"/>
        </w:rPr>
        <w:t xml:space="preserve">as the neural-network input. The local block size was</w:t>
      </w:r>
      <w:r>
        <w:rPr>
          <w:rFonts w:ascii="Times New Roman" w:hAnsi="Times New Roman"/>
          <w:sz w:val="24"/>
        </w:rPr>
        <w:t xml:space="preserve"> </w:t>
      </w:r>
      <m:oMath>
        <m:r>
          <m:t>L</m:t>
        </m:r>
        <m:r>
          <m:rPr>
            <m:sty m:val="p"/>
          </m:rPr>
          <m:t>=</m:t>
        </m:r>
        <m:r>
          <m:t>80</m:t>
        </m:r>
      </m:oMath>
      <w:r>
        <w:rPr>
          <w:rFonts w:ascii="Times New Roman" w:hAnsi="Times New Roman"/>
          <w:sz w:val="24"/>
        </w:rPr>
        <w:t xml:space="preserve"> </w:t>
      </w:r>
      <w:r>
        <w:rPr>
          <w:rFonts w:ascii="Times New Roman" w:hAnsi="Times New Roman"/>
          <w:sz w:val="24"/>
        </w:rPr>
        <w:t xml:space="preserve">for Find and Build and</w:t>
      </w:r>
      <w:r>
        <w:rPr>
          <w:rFonts w:ascii="Times New Roman" w:hAnsi="Times New Roman"/>
          <w:sz w:val="24"/>
        </w:rPr>
        <w:t xml:space="preserve"> </w:t>
      </w:r>
      <m:oMath>
        <m:r>
          <m:t>L</m:t>
        </m:r>
        <m:r>
          <m:rPr>
            <m:sty m:val="p"/>
          </m:rPr>
          <m:t>=</m:t>
        </m:r>
        <m:r>
          <m:t>48</m:t>
        </m:r>
      </m:oMath>
      <w:r>
        <w:rPr>
          <w:rFonts w:ascii="Times New Roman" w:hAnsi="Times New Roman"/>
          <w:sz w:val="24"/>
        </w:rPr>
        <w:t xml:space="preserve"> </w:t>
      </w:r>
      <w:r>
        <w:rPr>
          <w:rFonts w:ascii="Times New Roman" w:hAnsi="Times New Roman"/>
          <w:sz w:val="24"/>
        </w:rPr>
        <w:t xml:space="preserve">for Match.</w:t>
      </w:r>
    </w:p>
    <w:bookmarkEnd w:id="77"/>
    <w:bookmarkStart w:id="78" w:name="receptor-atom-features"/>
    <w:p>
      <w:pPr>
        <w:pStyle w:val="Heading3"/>
        <w:keepNext/>
        <w:spacing w:line="480" w:lineRule="auto"/>
        <w:ind w:firstLine="0"/>
      </w:pPr>
      <w:r>
        <w:rPr>
          <w:rFonts w:ascii="Times New Roman" w:hAnsi="Times New Roman"/>
          <w:sz w:val="24"/>
        </w:rPr>
        <w:t xml:space="preserve">Receptor-atom features</w:t>
      </w:r>
    </w:p>
    <w:p>
      <w:pPr>
        <w:pStyle w:val="FirstParagraph"/>
        <w:spacing w:line="480" w:lineRule="auto" w:after="120"/>
        <w:ind w:firstLine="480"/>
      </w:pPr>
      <w:r>
        <w:rPr>
          <w:rFonts w:ascii="Times New Roman" w:hAnsi="Times New Roman"/>
          <w:sz w:val="24"/>
        </w:rPr>
        <w:t xml:space="preserve">We represent receptor atoms uniformly across all three stages as</w:t>
      </w:r>
      <w:r>
        <w:rPr>
          <w:rFonts w:ascii="Times New Roman" w:hAnsi="Times New Roman"/>
          <w:sz w:val="24"/>
        </w:rPr>
        <w:t xml:space="preserve"> </w:t>
      </w:r>
      <m:oMath>
        <m:r>
          <m:t>A</m:t>
        </m:r>
        <m:r>
          <m:rPr>
            <m:sty m:val="p"/>
          </m:rPr>
          <m:t>=</m:t>
        </m:r>
        <m:r>
          <m:rPr>
            <m:sty m:val="p"/>
          </m:rPr>
          <m:t>{</m:t>
        </m:r>
        <m:r>
          <m:rPr>
            <m:sty m:val="p"/>
          </m:rPr>
          <m:t>(</m:t>
        </m:r>
        <m:sSub>
          <m:e>
            <m:r>
              <m:rPr>
                <m:sty m:val="bi"/>
              </m:rPr>
              <m:t>r</m:t>
            </m:r>
          </m:e>
          <m:sub>
            <m:r>
              <m:t>i</m:t>
            </m:r>
          </m:sub>
        </m:sSub>
        <m:r>
          <m:rPr>
            <m:sty m:val="p"/>
          </m:rPr>
          <m:t>,</m:t>
        </m:r>
        <m:sSub>
          <m:e>
            <m:r>
              <m:rPr>
                <m:sty m:val="bi"/>
              </m:rPr>
              <m:t>u</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sz w:val="24"/>
        </w:rPr>
        <w:t xml:space="preserve">. Here,</w:t>
      </w:r>
      <w:r>
        <w:rPr>
          <w:rFonts w:ascii="Times New Roman" w:hAnsi="Times New Roman"/>
          <w:sz w:val="24"/>
        </w:rPr>
        <w:t xml:space="preserve"> </w:t>
      </w:r>
      <m:oMath>
        <m:sSub>
          <m:e>
            <m:r>
              <m:rPr>
                <m:sty m:val="bi"/>
              </m:rPr>
              <m:t>r</m:t>
            </m:r>
          </m:e>
          <m:sub>
            <m:r>
              <m:t>i</m:t>
            </m:r>
          </m:sub>
        </m:sSub>
        <m:r>
          <m:rPr>
            <m:sty m:val="p"/>
          </m:rPr>
          <m:t>∈</m:t>
        </m:r>
        <m:sSup>
          <m:e>
            <m:r>
              <m:rPr>
                <m:scr m:val="double-struck"/>
                <m:sty m:val="p"/>
              </m:rPr>
              <m:t>R</m:t>
            </m:r>
          </m:e>
          <m:sup>
            <m:r>
              <m:t>3</m:t>
            </m:r>
          </m:sup>
        </m:sSup>
      </m:oMath>
      <w:r>
        <w:rPr>
          <w:rFonts w:ascii="Times New Roman" w:hAnsi="Times New Roman"/>
          <w:sz w:val="24"/>
        </w:rPr>
        <w:t xml:space="preserve"> </w:t>
      </w:r>
      <w:r>
        <w:rPr>
          <w:rFonts w:ascii="Times New Roman" w:hAnsi="Times New Roman"/>
          <w:sz w:val="24"/>
        </w:rPr>
        <w:t xml:space="preserve">gives the world coordinates of receptor heavy atom</w:t>
      </w:r>
      <w:r>
        <w:rPr>
          <w:rFonts w:ascii="Times New Roman" w:hAnsi="Times New Roman"/>
          <w:sz w:val="24"/>
        </w:rPr>
        <w:t xml:space="preserve"> </w:t>
      </w:r>
      <m:oMath>
        <m:r>
          <m:t>i</m:t>
        </m:r>
      </m:oMath>
      <w:r>
        <w:rPr>
          <w:rFonts w:ascii="Times New Roman" w:hAnsi="Times New Roman"/>
          <w:sz w:val="24"/>
        </w:rPr>
        <w:t xml:space="preserve">. The corresponding feature vector</w:t>
      </w:r>
      <w:r>
        <w:rPr>
          <w:rFonts w:ascii="Times New Roman" w:hAnsi="Times New Roman"/>
          <w:sz w:val="24"/>
        </w:rPr>
        <w:t xml:space="preserve"> </w:t>
      </w:r>
      <m:oMath>
        <m:sSub>
          <m:e>
            <m:r>
              <m:rPr>
                <m:sty m:val="bi"/>
              </m:rPr>
              <m:t>u</m:t>
            </m:r>
          </m:e>
          <m:sub>
            <m:r>
              <m:t>i</m:t>
            </m:r>
          </m:sub>
        </m:sSub>
        <m:r>
          <m:rPr>
            <m:sty m:val="p"/>
          </m:rPr>
          <m:t>∈</m:t>
        </m:r>
        <m:sSup>
          <m:e>
            <m:r>
              <m:rPr>
                <m:scr m:val="double-struck"/>
                <m:sty m:val="p"/>
              </m:rPr>
              <m:t>R</m:t>
            </m:r>
          </m:e>
          <m:sup>
            <m:r>
              <m:t>50</m:t>
            </m:r>
          </m:sup>
        </m:sSup>
      </m:oMath>
      <w:r>
        <w:rPr>
          <w:rFonts w:ascii="Times New Roman" w:hAnsi="Times New Roman"/>
          <w:sz w:val="24"/>
        </w:rPr>
        <w:t xml:space="preserve"> </w:t>
      </w:r>
      <w:r>
        <w:rPr>
          <w:rFonts w:ascii="Times New Roman" w:hAnsi="Times New Roman"/>
          <w:sz w:val="24"/>
        </w:rPr>
        <w:t xml:space="preserve">describes its chemical properties, residue environment and local packing.</w:t>
      </w:r>
    </w:p>
    <w:p>
      <w:pPr>
        <w:pStyle w:val="BodyText"/>
        <w:spacing w:line="480" w:lineRule="auto" w:after="120"/>
        <w:ind w:firstLine="480"/>
      </w:pPr>
      <w:r>
        <w:rPr>
          <w:rFonts w:ascii="Times New Roman" w:hAnsi="Times New Roman"/>
          <w:sz w:val="24"/>
        </w:rPr>
        <w:t xml:space="preserve">The 50-dimensional feature vector is formed by concatenating six components in a fixed order:</w:t>
      </w:r>
    </w:p>
    <w:p>
      <w:pPr>
        <w:pStyle w:val="BodyText"/>
        <w:keepLines/>
        <w:spacing w:line="240" w:lineRule="auto" w:before="180" w:after="220"/>
        <w:ind w:firstLine="0"/>
        <w:jc w:val="center"/>
      </w:pPr>
      <m:oMathPara>
        <m:oMathParaPr>
          <m:jc m:val="center"/>
        </m:oMathParaPr>
        <m:oMath>
          <m:sSub>
            <m:e>
              <m:r>
                <m:rPr>
                  <m:sty m:val="bi"/>
                </m:rPr>
                <m:t>u</m:t>
              </m:r>
            </m:e>
            <m:sub>
              <m:r>
                <m:t>i</m:t>
              </m:r>
            </m:sub>
          </m:sSub>
          <m:r>
            <m:rPr>
              <m:sty m:val="p"/>
            </m:rPr>
            <m:t>=</m:t>
          </m:r>
          <m:d>
            <m:dPr>
              <m:begChr m:val="["/>
              <m:sepChr m:val=""/>
              <m:endChr m:val="]"/>
              <m:grow/>
            </m:dPr>
            <m:e>
              <m:sSubSup>
                <m:e>
                  <m:r>
                    <m:rPr>
                      <m:sty m:val="bi"/>
                    </m:rPr>
                    <m:t>e</m:t>
                  </m:r>
                </m:e>
                <m:sub>
                  <m:r>
                    <m:t>i</m:t>
                  </m:r>
                </m:sub>
                <m:sup>
                  <m:r>
                    <m:rPr>
                      <m:sty m:val="p"/>
                    </m:rPr>
                    <m:t>(</m:t>
                  </m:r>
                  <m:r>
                    <m:t>6</m:t>
                  </m:r>
                  <m:r>
                    <m:rPr>
                      <m:sty m:val="p"/>
                    </m:rPr>
                    <m:t>)</m:t>
                  </m:r>
                </m:sup>
              </m:sSubSup>
              <m:r>
                <m:rPr>
                  <m:sty m:val="p"/>
                </m:rPr>
                <m:t>,</m:t>
              </m:r>
              <m:sSubSup>
                <m:e>
                  <m:r>
                    <m:rPr>
                      <m:sty m:val="bi"/>
                    </m:rPr>
                    <m:t>q</m:t>
                  </m:r>
                </m:e>
                <m:sub>
                  <m:r>
                    <m:t>i</m:t>
                  </m:r>
                </m:sub>
                <m:sup>
                  <m:r>
                    <m:rPr>
                      <m:sty m:val="p"/>
                    </m:rPr>
                    <m:t>(</m:t>
                  </m:r>
                  <m:r>
                    <m:t>25</m:t>
                  </m:r>
                  <m:r>
                    <m:rPr>
                      <m:sty m:val="p"/>
                    </m:rPr>
                    <m:t>)</m:t>
                  </m:r>
                </m:sup>
              </m:sSubSup>
              <m:r>
                <m:rPr>
                  <m:sty m:val="p"/>
                </m:rPr>
                <m:t>,</m:t>
              </m:r>
              <m:sSubSup>
                <m:e>
                  <m:r>
                    <m:rPr>
                      <m:sty m:val="bi"/>
                    </m:rPr>
                    <m:t>p</m:t>
                  </m:r>
                </m:e>
                <m:sub>
                  <m:r>
                    <m:t>i</m:t>
                  </m:r>
                </m:sub>
                <m:sup>
                  <m:r>
                    <m:rPr>
                      <m:sty m:val="p"/>
                    </m:rPr>
                    <m:t>(</m:t>
                  </m:r>
                  <m:r>
                    <m:t>8</m:t>
                  </m:r>
                  <m:r>
                    <m:rPr>
                      <m:sty m:val="p"/>
                    </m:rPr>
                    <m:t>)</m:t>
                  </m:r>
                </m:sup>
              </m:sSubSup>
              <m:r>
                <m:rPr>
                  <m:sty m:val="p"/>
                </m:rPr>
                <m:t>,</m:t>
              </m:r>
              <m:sSubSup>
                <m:e>
                  <m:r>
                    <m:t>m</m:t>
                  </m:r>
                </m:e>
                <m:sub>
                  <m:r>
                    <m:t>i</m:t>
                  </m:r>
                </m:sub>
                <m:sup>
                  <m:r>
                    <m:rPr>
                      <m:sty m:val="p"/>
                    </m:rPr>
                    <m:t>(</m:t>
                  </m:r>
                  <m:r>
                    <m:t>1</m:t>
                  </m:r>
                  <m:r>
                    <m:rPr>
                      <m:sty m:val="p"/>
                    </m:rPr>
                    <m:t>)</m:t>
                  </m:r>
                </m:sup>
              </m:sSubSup>
              <m:r>
                <m:rPr>
                  <m:sty m:val="p"/>
                </m:rPr>
                <m:t>,</m:t>
              </m:r>
              <m:sSubSup>
                <m:e>
                  <m:r>
                    <m:rPr>
                      <m:sty m:val="bi"/>
                    </m:rPr>
                    <m:t>h</m:t>
                  </m:r>
                </m:e>
                <m:sub>
                  <m:r>
                    <m:t>i</m:t>
                  </m:r>
                </m:sub>
                <m:sup>
                  <m:r>
                    <m:rPr>
                      <m:sty m:val="p"/>
                    </m:rPr>
                    <m:t>(</m:t>
                  </m:r>
                  <m:r>
                    <m:t>9</m:t>
                  </m:r>
                  <m:r>
                    <m:rPr>
                      <m:sty m:val="p"/>
                    </m:rPr>
                    <m:t>)</m:t>
                  </m:r>
                </m:sup>
              </m:sSubSup>
              <m:r>
                <m:rPr>
                  <m:sty m:val="p"/>
                </m:rPr>
                <m:t>,</m:t>
              </m:r>
              <m:sSubSup>
                <m:e>
                  <m:r>
                    <m:t>b</m:t>
                  </m:r>
                </m:e>
                <m:sub>
                  <m:r>
                    <m:t>i</m:t>
                  </m:r>
                </m:sub>
                <m:sup>
                  <m:r>
                    <m:rPr>
                      <m:sty m:val="p"/>
                    </m:rPr>
                    <m:t>(</m:t>
                  </m:r>
                  <m:r>
                    <m:t>1</m:t>
                  </m:r>
                  <m:r>
                    <m:rPr>
                      <m:sty m:val="p"/>
                    </m:rPr>
                    <m:t>)</m:t>
                  </m:r>
                </m:sup>
              </m:sSubSup>
            </m:e>
          </m:d>
          <m:r>
            <m:rPr>
              <m:sty m:val="p"/>
            </m:rPr>
            <m:t>.</m:t>
          </m:r>
        </m:oMath>
      </m:oMathPara>
    </w:p>
    <w:p>
      <w:pPr>
        <w:pStyle w:val="FirstParagraph"/>
        <w:spacing w:line="480" w:lineRule="auto" w:after="120"/>
        <w:ind w:firstLine="480"/>
      </w:pPr>
      <w:r>
        <w:rPr>
          <w:rFonts w:ascii="Times New Roman" w:hAnsi="Times New Roman"/>
          <w:sz w:val="24"/>
        </w:rPr>
        <w:t xml:space="preserve">The element one-hot encoding</w:t>
      </w:r>
      <w:r>
        <w:rPr>
          <w:rFonts w:ascii="Times New Roman" w:hAnsi="Times New Roman"/>
          <w:sz w:val="24"/>
        </w:rPr>
        <w:t xml:space="preserve"> </w:t>
      </w:r>
      <m:oMath>
        <m:sSubSup>
          <m:e>
            <m:r>
              <m:rPr>
                <m:sty m:val="bi"/>
              </m:rPr>
              <m:t>e</m:t>
            </m:r>
          </m:e>
          <m:sub>
            <m:r>
              <m:t>i</m:t>
            </m:r>
          </m:sub>
          <m:sup>
            <m:r>
              <m:rPr>
                <m:sty m:val="p"/>
              </m:rPr>
              <m:t>(</m:t>
            </m:r>
            <m:r>
              <m:t>6</m:t>
            </m:r>
            <m:r>
              <m:rPr>
                <m:sty m:val="p"/>
              </m:rPr>
              <m:t>)</m:t>
            </m:r>
          </m:sup>
        </m:sSubSup>
      </m:oMath>
      <w:r>
        <w:rPr>
          <w:rFonts w:ascii="Times New Roman" w:hAnsi="Times New Roman"/>
          <w:sz w:val="24"/>
        </w:rPr>
        <w:t xml:space="preserve"> </w:t>
      </w:r>
      <w:r>
        <w:rPr>
          <w:rFonts w:ascii="Times New Roman" w:hAnsi="Times New Roman"/>
          <w:sz w:val="24"/>
        </w:rPr>
        <w:t xml:space="preserve">represents C, N, O, S, P and other elements, in that order. The residue one-hot encoding</w:t>
      </w:r>
      <w:r>
        <w:rPr>
          <w:rFonts w:ascii="Times New Roman" w:hAnsi="Times New Roman"/>
          <w:sz w:val="24"/>
        </w:rPr>
        <w:t xml:space="preserve"> </w:t>
      </w:r>
      <m:oMath>
        <m:sSubSup>
          <m:e>
            <m:r>
              <m:rPr>
                <m:sty m:val="bi"/>
              </m:rPr>
              <m:t>q</m:t>
            </m:r>
          </m:e>
          <m:sub>
            <m:r>
              <m:t>i</m:t>
            </m:r>
          </m:sub>
          <m:sup>
            <m:r>
              <m:rPr>
                <m:sty m:val="p"/>
              </m:rPr>
              <m:t>(</m:t>
            </m:r>
            <m:r>
              <m:t>25</m:t>
            </m:r>
            <m:r>
              <m:rPr>
                <m:sty m:val="p"/>
              </m:rPr>
              <m:t>)</m:t>
            </m:r>
          </m:sup>
        </m:sSubSup>
      </m:oMath>
      <w:r>
        <w:rPr>
          <w:rFonts w:ascii="Times New Roman" w:hAnsi="Times New Roman"/>
          <w:sz w:val="24"/>
        </w:rPr>
        <w:t xml:space="preserve"> </w:t>
      </w:r>
      <w:r>
        <w:rPr>
          <w:rFonts w:ascii="Times New Roman" w:hAnsi="Times New Roman"/>
          <w:sz w:val="24"/>
        </w:rPr>
        <w:t xml:space="preserve">includes 20 standard amino acids, the four nucleotides A/U/C/G and an unknown category. DNA bases and common modified residues are mapped to their corresponding standard parent categories. This mapping provides a unified input space for protein, RNA and DNA receptors.</w:t>
      </w:r>
    </w:p>
    <w:p>
      <w:pPr>
        <w:pStyle w:val="BodyText"/>
        <w:spacing w:line="480" w:lineRule="auto" w:after="120"/>
        <w:ind w:firstLine="480"/>
      </w:pPr>
      <w:r>
        <w:rPr>
          <w:rFonts w:ascii="Times New Roman" w:hAnsi="Times New Roman"/>
          <w:sz w:val="24"/>
        </w:rPr>
        <w:t xml:space="preserve">The eight features in</w:t>
      </w:r>
      <w:r>
        <w:rPr>
          <w:rFonts w:ascii="Times New Roman" w:hAnsi="Times New Roman"/>
          <w:sz w:val="24"/>
        </w:rPr>
        <w:t xml:space="preserve"> </w:t>
      </w:r>
      <m:oMath>
        <m:sSubSup>
          <m:e>
            <m:r>
              <m:rPr>
                <m:sty m:val="bi"/>
              </m:rPr>
              <m:t>p</m:t>
            </m:r>
          </m:e>
          <m:sub>
            <m:r>
              <m:t>i</m:t>
            </m:r>
          </m:sub>
          <m:sup>
            <m:r>
              <m:rPr>
                <m:sty m:val="p"/>
              </m:rPr>
              <m:t>(</m:t>
            </m:r>
            <m:r>
              <m:t>8</m:t>
            </m:r>
            <m:r>
              <m:rPr>
                <m:sty m:val="p"/>
              </m:rPr>
              <m:t>)</m:t>
            </m:r>
          </m:sup>
        </m:sSubSup>
      </m:oMath>
      <w:r>
        <w:rPr>
          <w:rFonts w:ascii="Times New Roman" w:hAnsi="Times New Roman"/>
          <w:sz w:val="24"/>
        </w:rPr>
        <w:t xml:space="preserve"> </w:t>
      </w:r>
      <w:r>
        <w:rPr>
          <w:rFonts w:ascii="Times New Roman" w:hAnsi="Times New Roman"/>
          <w:sz w:val="24"/>
        </w:rPr>
        <w:t xml:space="preserve">describe the physicochemical categories of the atom’s residue. In order, they encode polar, non-polar, acidic, basic, neutral, positively charged, negatively charged and uncharged properties. The relative atomic mass</w:t>
      </w:r>
      <w:r>
        <w:rPr>
          <w:rFonts w:ascii="Times New Roman" w:hAnsi="Times New Roman"/>
          <w:sz w:val="24"/>
        </w:rPr>
        <w:t xml:space="preserve"> </w:t>
      </w:r>
      <m:oMath>
        <m:sSub>
          <m:e>
            <m:r>
              <m:t>m</m:t>
            </m:r>
          </m:e>
          <m:sub>
            <m:r>
              <m:t>i</m:t>
            </m:r>
          </m:sub>
        </m:sSub>
      </m:oMath>
      <w:r>
        <w:rPr>
          <w:rFonts w:ascii="Times New Roman" w:hAnsi="Times New Roman"/>
          <w:sz w:val="24"/>
        </w:rPr>
        <w:t xml:space="preserve"> </w:t>
      </w:r>
      <w:r>
        <w:rPr>
          <w:rFonts w:ascii="Times New Roman" w:hAnsi="Times New Roman"/>
          <w:sz w:val="24"/>
        </w:rPr>
        <w:t xml:space="preserve">is normalised by dividing by 32.</w:t>
      </w:r>
    </w:p>
    <w:p>
      <w:pPr>
        <w:pStyle w:val="BodyText"/>
        <w:spacing w:line="480" w:lineRule="auto" w:after="120"/>
        <w:ind w:firstLine="480"/>
      </w:pPr>
      <w:r>
        <w:rPr>
          <w:rFonts w:ascii="Times New Roman" w:hAnsi="Times New Roman"/>
          <w:sz w:val="24"/>
        </w:rPr>
        <w:t xml:space="preserve">The nine-dimensional component</w:t>
      </w:r>
      <w:r>
        <w:rPr>
          <w:rFonts w:ascii="Times New Roman" w:hAnsi="Times New Roman"/>
          <w:sz w:val="24"/>
        </w:rPr>
        <w:t xml:space="preserve"> </w:t>
      </w:r>
      <m:oMath>
        <m:sSubSup>
          <m:e>
            <m:r>
              <m:rPr>
                <m:sty m:val="bi"/>
              </m:rPr>
              <m:t>h</m:t>
            </m:r>
          </m:e>
          <m:sub>
            <m:r>
              <m:t>i</m:t>
            </m:r>
          </m:sub>
          <m:sup>
            <m:r>
              <m:rPr>
                <m:sty m:val="p"/>
              </m:rPr>
              <m:t>(</m:t>
            </m:r>
            <m:r>
              <m:t>9</m:t>
            </m:r>
            <m:r>
              <m:rPr>
                <m:sty m:val="p"/>
              </m:rPr>
              <m:t>)</m:t>
            </m:r>
          </m:sup>
        </m:sSubSup>
      </m:oMath>
      <w:r>
        <w:rPr>
          <w:rFonts w:ascii="Times New Roman" w:hAnsi="Times New Roman"/>
          <w:sz w:val="24"/>
        </w:rPr>
        <w:t xml:space="preserve"> </w:t>
      </w:r>
      <w:r>
        <w:rPr>
          <w:rFonts w:ascii="Times New Roman" w:hAnsi="Times New Roman"/>
          <w:sz w:val="24"/>
        </w:rPr>
        <w:t xml:space="preserve">describes the local packing environment around the atom. We partitioned its 0–18 Å neighbourhood into nine concentric shells:</w:t>
      </w:r>
      <w:r>
        <w:rPr>
          <w:rFonts w:ascii="Times New Roman" w:hAnsi="Times New Roman"/>
          <w:sz w:val="24"/>
        </w:rPr>
        <w:t xml:space="preserve"> </w:t>
      </w:r>
      <m:oMath>
        <m:r>
          <m:rPr>
            <m:sty m:val="p"/>
          </m:rPr>
          <m:t>[</m:t>
        </m:r>
        <m:r>
          <m:t>0</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rPr>
            <m:sty m:val="p"/>
          </m:rPr>
          <m:t>,</m:t>
        </m:r>
        <m:r>
          <m:rPr>
            <m:sty m:val="p"/>
          </m:rPr>
          <m:t>[</m:t>
        </m:r>
        <m:r>
          <m:t>16</m:t>
        </m:r>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Å. We counted the other receptor atoms in each shell,</w:t>
      </w:r>
      <w:r>
        <w:rPr>
          <w:rFonts w:ascii="Times New Roman" w:hAnsi="Times New Roman"/>
          <w:sz w:val="24"/>
        </w:rPr>
        <w:t xml:space="preserve"> </w:t>
      </w:r>
      <m:oMath>
        <m:sSub>
          <m:e>
            <m:r>
              <m:t>n</m:t>
            </m:r>
          </m:e>
          <m:sub>
            <m:r>
              <m:t>i</m:t>
            </m:r>
            <m:r>
              <m:rPr>
                <m:sty m:val="p"/>
              </m:rPr>
              <m:t>,</m:t>
            </m:r>
            <m:r>
              <m:t>k</m:t>
            </m:r>
          </m:sub>
        </m:sSub>
      </m:oMath>
      <w:r>
        <w:rPr>
          <w:rFonts w:ascii="Times New Roman" w:hAnsi="Times New Roman"/>
          <w:sz w:val="24"/>
        </w:rPr>
        <w:t xml:space="preserve">, and compressed the dynamic range of these counts using:</w:t>
      </w:r>
    </w:p>
    <w:p>
      <w:pPr>
        <w:pStyle w:val="BodyText"/>
        <w:keepLines/>
        <w:spacing w:line="240" w:lineRule="auto" w:before="180" w:after="220"/>
        <w:ind w:firstLine="0"/>
        <w:jc w:val="center"/>
      </w:pPr>
      <m:oMathPara>
        <m:oMathParaPr>
          <m:jc m:val="center"/>
        </m:oMathParaPr>
        <m:oMath>
          <m:sSub>
            <m:e>
              <m:r>
                <m:t>h</m:t>
              </m:r>
            </m:e>
            <m:sub>
              <m:r>
                <m:t>i</m:t>
              </m:r>
              <m:r>
                <m:rPr>
                  <m:sty m:val="p"/>
                </m:rPr>
                <m:t>,</m:t>
              </m:r>
              <m:r>
                <m:t>k</m:t>
              </m:r>
            </m:sub>
          </m:sSub>
          <m:r>
            <m:rPr>
              <m:sty m:val="p"/>
            </m:rPr>
            <m:t>=</m:t>
          </m:r>
          <m:r>
            <m:rPr>
              <m:sty m:val="p"/>
            </m:rPr>
            <m:t>log</m:t>
          </m:r>
          <m:d>
            <m:dPr>
              <m:begChr m:val="("/>
              <m:sepChr m:val=""/>
              <m:endChr m:val=")"/>
              <m:grow/>
            </m:dPr>
            <m:e>
              <m:r>
                <m:t>1</m:t>
              </m:r>
              <m:r>
                <m:rPr>
                  <m:sty m:val="p"/>
                </m:rPr>
                <m:t>+</m:t>
              </m:r>
              <m:sSub>
                <m:e>
                  <m:r>
                    <m:t>n</m:t>
                  </m:r>
                </m:e>
                <m:sub>
                  <m:r>
                    <m:t>i</m:t>
                  </m:r>
                  <m:r>
                    <m:rPr>
                      <m:sty m:val="p"/>
                    </m:rPr>
                    <m:t>,</m:t>
                  </m:r>
                  <m:r>
                    <m:t>k</m:t>
                  </m:r>
                </m:sub>
              </m:sSub>
            </m:e>
          </m:d>
          <m:r>
            <m:rPr>
              <m:sty m:val="p"/>
            </m:rPr>
            <m:t>,</m:t>
          </m:r>
          <m:r>
            <m:t>  </m:t>
          </m:r>
          <m:r>
            <m:t>k</m:t>
          </m:r>
          <m:r>
            <m:rPr>
              <m:sty m:val="p"/>
            </m:rPr>
            <m:t>=</m:t>
          </m:r>
          <m:r>
            <m:t>1</m:t>
          </m:r>
          <m:r>
            <m:rPr>
              <m:sty m:val="p"/>
            </m:rPr>
            <m:t>,</m:t>
          </m:r>
          <m:r>
            <m:rPr>
              <m:sty m:val="p"/>
            </m:rPr>
            <m:t>…</m:t>
          </m:r>
          <m:r>
            <m:rPr>
              <m:sty m:val="p"/>
            </m:rPr>
            <m:t>,</m:t>
          </m:r>
          <m:r>
            <m:t>9</m:t>
          </m:r>
        </m:oMath>
      </m:oMathPara>
    </w:p>
    <w:p>
      <w:pPr>
        <w:pStyle w:val="FirstParagraph"/>
        <w:spacing w:line="480" w:lineRule="auto" w:after="120"/>
        <w:ind w:firstLine="480"/>
      </w:pPr>
      <w:r>
        <w:rPr>
          <w:rFonts w:ascii="Times New Roman" w:hAnsi="Times New Roman"/>
          <w:sz w:val="24"/>
        </w:rPr>
        <w:t xml:space="preserve">The final feature</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ascii="Times New Roman" w:hAnsi="Times New Roman"/>
          <w:sz w:val="24"/>
        </w:rPr>
        <w:t xml:space="preserve">indicates whether the atom belongs to the backbone. It equals 1 for protein N, CA, C and O atoms, and for nucleic acid P, O5′, C5′, C4′, C3′ and O3′ atoms. All other atoms receive a value of 0, completing the 50-dimensional vector.</w:t>
      </w:r>
    </w:p>
    <w:p>
      <w:pPr>
        <w:pStyle w:val="BodyText"/>
        <w:spacing w:line="480" w:lineRule="auto" w:after="120"/>
        <w:ind w:firstLine="480"/>
      </w:pPr>
      <w:r>
        <w:rPr>
          <w:rFonts w:ascii="Times New Roman" w:hAnsi="Times New Roman"/>
          <w:sz w:val="24"/>
        </w:rPr>
        <w:t xml:space="preserve">Find and Match use the same receptor-atom feature construction rules, whereas we follow the PocketXMol official process when fine-tuning it. Under the shared encoding scheme, each atom has a consistent initial representation across tasks and local regions.</w:t>
      </w:r>
    </w:p>
    <w:bookmarkEnd w:id="78"/>
    <w:bookmarkEnd w:id="79"/>
    <w:bookmarkStart w:id="84" w:name="stage-1-find"/>
    <w:p>
      <w:pPr>
        <w:pStyle w:val="Heading2"/>
        <w:keepNext/>
        <w:spacing w:line="480" w:lineRule="auto"/>
        <w:ind w:firstLine="0"/>
      </w:pPr>
      <w:r>
        <w:rPr>
          <w:rFonts w:ascii="Times New Roman" w:hAnsi="Times New Roman"/>
          <w:sz w:val="24"/>
        </w:rPr>
        <w:t xml:space="preserve">Stage 1: Find</w:t>
      </w:r>
    </w:p>
    <w:bookmarkStart w:id="80" w:name="task-definition"/>
    <w:p>
      <w:pPr>
        <w:pStyle w:val="Heading3"/>
        <w:keepNext/>
        <w:spacing w:line="480" w:lineRule="auto"/>
        <w:ind w:firstLine="0"/>
      </w:pPr>
      <w:r>
        <w:rPr>
          <w:rFonts w:ascii="Times New Roman" w:hAnsi="Times New Roman"/>
          <w:sz w:val="24"/>
        </w:rPr>
        <w:t xml:space="preserve">Task definition</w:t>
      </w:r>
    </w:p>
    <w:p>
      <w:pPr>
        <w:pStyle w:val="FirstParagraph"/>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r>
          <m:rPr>
            <m:scr m:val="script"/>
            <m:sty m:val="p"/>
          </m:rPr>
          <m:t>L</m:t>
        </m:r>
        <m:r>
          <m:rPr>
            <m:sty m:val="p"/>
          </m:rPr>
          <m:t>=</m:t>
        </m:r>
        <m:r>
          <m:rPr>
            <m:sty m:val="p"/>
          </m:rPr>
          <m:t>{</m:t>
        </m:r>
        <m:r>
          <m:rPr>
            <m:sty m:val="p"/>
          </m:rPr>
          <m:t>(</m:t>
        </m:r>
        <m:sSub>
          <m:e>
            <m:r>
              <m:rPr>
                <m:sty m:val="bi"/>
              </m:rPr>
              <m:t>ℓ</m:t>
            </m:r>
          </m:e>
          <m:sub>
            <m:r>
              <m:t>m</m:t>
            </m:r>
          </m:sub>
        </m:sSub>
        <m:r>
          <m:rPr>
            <m:sty m:val="p"/>
          </m:rPr>
          <m:t>,</m:t>
        </m:r>
        <m:sSub>
          <m:e>
            <m:r>
              <m:t>e</m:t>
            </m:r>
          </m:e>
          <m:sub>
            <m:r>
              <m:t>m</m:t>
            </m:r>
          </m:sub>
        </m:sSub>
        <m:r>
          <m:rPr>
            <m:sty m:val="p"/>
          </m:rPr>
          <m:t>)</m:t>
        </m:r>
        <m:sSub>
          <m:e>
            <m:r>
              <m:rPr>
                <m:sty m:val="p"/>
              </m:rPr>
              <m:t>}</m:t>
            </m:r>
          </m:e>
          <m:sub>
            <m:r>
              <m:t>m</m:t>
            </m:r>
          </m:sub>
        </m:sSub>
      </m:oMath>
      <w:r>
        <w:rPr>
          <w:rFonts w:ascii="Times New Roman" w:hAnsi="Times New Roman"/>
          <w:sz w:val="24"/>
        </w:rPr>
        <w:t xml:space="preserve"> </w:t>
      </w:r>
      <w:r>
        <w:rPr>
          <w:rFonts w:ascii="Times New Roman" w:hAnsi="Times New Roman"/>
          <w:sz w:val="24"/>
        </w:rPr>
        <w:t xml:space="preserve">denote the set of non-hydrogen atoms from all ligands in a sample. Here,</w:t>
      </w:r>
      <w:r>
        <w:rPr>
          <w:rFonts w:ascii="Times New Roman" w:hAnsi="Times New Roman"/>
          <w:sz w:val="24"/>
        </w:rPr>
        <w:t xml:space="preserve"> </w:t>
      </w:r>
      <m:oMath>
        <m:sSub>
          <m:e>
            <m:r>
              <m:rPr>
                <m:sty m:val="bi"/>
              </m:rPr>
              <m:t>ℓ</m:t>
            </m:r>
          </m:e>
          <m:sub>
            <m:r>
              <m:t>m</m:t>
            </m:r>
          </m:sub>
        </m:sSub>
        <m:r>
          <m:rPr>
            <m:sty m:val="p"/>
          </m:rPr>
          <m:t>∈</m:t>
        </m:r>
        <m:sSup>
          <m:e>
            <m:r>
              <m:rPr>
                <m:scr m:val="double-struck"/>
                <m:sty m:val="p"/>
              </m:rPr>
              <m:t>R</m:t>
            </m:r>
          </m:e>
          <m:sup>
            <m:r>
              <m:t>3</m:t>
            </m:r>
          </m:sup>
        </m:sSup>
      </m:oMath>
      <w:r>
        <w:rPr>
          <w:rFonts w:ascii="Times New Roman" w:hAnsi="Times New Roman"/>
          <w:sz w:val="24"/>
        </w:rPr>
        <w:t xml:space="preserve"> </w:t>
      </w:r>
      <w:r>
        <w:rPr>
          <w:rFonts w:ascii="Times New Roman" w:hAnsi="Times New Roman"/>
          <w:sz w:val="24"/>
        </w:rPr>
        <w:t xml:space="preserve">gives the world coordinates of ligand atom</w:t>
      </w:r>
      <w:r>
        <w:rPr>
          <w:rFonts w:ascii="Times New Roman" w:hAnsi="Times New Roman"/>
          <w:sz w:val="24"/>
        </w:rPr>
        <w:t xml:space="preserve"> </w:t>
      </w:r>
      <m:oMath>
        <m:r>
          <m:t>m</m:t>
        </m:r>
      </m:oMath>
      <w:r>
        <w:rPr>
          <w:rFonts w:ascii="Times New Roman" w:hAnsi="Times New Roman"/>
          <w:sz w:val="24"/>
        </w:rPr>
        <w:t xml:space="preserve">, and</w:t>
      </w:r>
      <w:r>
        <w:rPr>
          <w:rFonts w:ascii="Times New Roman" w:hAnsi="Times New Roman"/>
          <w:sz w:val="24"/>
        </w:rPr>
        <w:t xml:space="preserve"> </w:t>
      </w:r>
      <m:oMath>
        <m:sSub>
          <m:e>
            <m:r>
              <m:t>e</m:t>
            </m:r>
          </m:e>
          <m:sub>
            <m:r>
              <m:t>m</m:t>
            </m:r>
          </m:sub>
        </m:sSub>
      </m:oMath>
      <w:r>
        <w:rPr>
          <w:rFonts w:ascii="Times New Roman" w:hAnsi="Times New Roman"/>
          <w:sz w:val="24"/>
        </w:rPr>
        <w:t xml:space="preserve"> </w:t>
      </w:r>
      <w:r>
        <w:rPr>
          <w:rFonts w:ascii="Times New Roman" w:hAnsi="Times New Roman"/>
          <w:sz w:val="24"/>
        </w:rPr>
        <w:t xml:space="preserve">denotes its element type. Let</w:t>
      </w:r>
      <w:r>
        <w:rPr>
          <w:rFonts w:ascii="Times New Roman" w:hAnsi="Times New Roman"/>
          <w:sz w:val="24"/>
        </w:rPr>
        <w:t xml:space="preserve"> </w:t>
      </w:r>
      <m:oMath>
        <m:sSub>
          <m:e>
            <m:r>
              <m:rPr>
                <m:sty m:val="bi"/>
              </m:rPr>
              <m:t>c</m:t>
            </m:r>
          </m:e>
          <m:sub>
            <m:r>
              <m:t>u</m:t>
            </m:r>
            <m:r>
              <m:rPr>
                <m:sty m:val="p"/>
              </m:rPr>
              <m:t>,</m:t>
            </m:r>
            <m:r>
              <m:t>v</m:t>
            </m:r>
            <m:r>
              <m:rPr>
                <m:sty m:val="p"/>
              </m:rPr>
              <m:t>,</m:t>
            </m:r>
            <m:r>
              <m:t>w</m:t>
            </m:r>
          </m:sub>
        </m:sSub>
        <m:r>
          <m:rPr>
            <m:sty m:val="p"/>
          </m:rPr>
          <m:t>∈</m:t>
        </m:r>
        <m:sSup>
          <m:e>
            <m:r>
              <m:rPr>
                <m:scr m:val="double-struck"/>
                <m:sty m:val="p"/>
              </m:rPr>
              <m:t>R</m:t>
            </m:r>
          </m:e>
          <m:sup>
            <m:r>
              <m:t>3</m:t>
            </m:r>
          </m:sup>
        </m:sSup>
      </m:oMath>
      <w:r>
        <w:rPr>
          <w:rFonts w:ascii="Times New Roman" w:hAnsi="Times New Roman"/>
          <w:sz w:val="24"/>
        </w:rPr>
        <w:t xml:space="preserve"> </w:t>
      </w:r>
      <w:r>
        <w:rPr>
          <w:rFonts w:ascii="Times New Roman" w:hAnsi="Times New Roman"/>
          <w:sz w:val="24"/>
        </w:rPr>
        <w:t xml:space="preserve">denote the physical coordinates of the centre of voxel</w:t>
      </w:r>
      <w:r>
        <w:rPr>
          <w:rFonts w:ascii="Times New Roman" w:hAnsi="Times New Roman"/>
          <w:sz w:val="24"/>
        </w:rPr>
        <w:t xml:space="preserve"> </w:t>
      </w:r>
      <m:oMath>
        <m:r>
          <m:rPr>
            <m:sty m:val="p"/>
          </m:rPr>
          <m:t>(</m:t>
        </m:r>
        <m:r>
          <m:t>u</m:t>
        </m:r>
        <m:r>
          <m:rPr>
            <m:sty m:val="p"/>
          </m:rPr>
          <m:t>,</m:t>
        </m:r>
        <m:r>
          <m:t>v</m:t>
        </m:r>
        <m:r>
          <m:rPr>
            <m:sty m:val="p"/>
          </m:rPr>
          <m:t>,</m:t>
        </m:r>
        <m:r>
          <m:t>w</m:t>
        </m:r>
        <m:r>
          <m:rPr>
            <m:sty m:val="p"/>
          </m:rPr>
          <m:t>)</m:t>
        </m:r>
      </m:oMath>
      <w:r>
        <w:rPr>
          <w:rFonts w:ascii="Times New Roman" w:hAnsi="Times New Roman"/>
          <w:sz w:val="24"/>
        </w:rPr>
        <w:t xml:space="preserve">. Let</w:t>
      </w:r>
      <w:r>
        <w:rPr>
          <w:rFonts w:ascii="Times New Roman" w:hAnsi="Times New Roman"/>
          <w:sz w:val="24"/>
        </w:rPr>
        <w:t xml:space="preserve"> </w:t>
      </w:r>
      <m:oMath>
        <m:sSub>
          <m:e>
            <m:r>
              <m:t>r</m:t>
            </m:r>
          </m:e>
          <m:sub>
            <m:r>
              <m:rPr>
                <m:sty m:val="p"/>
              </m:rPr>
              <m:t>v</m:t>
            </m:r>
            <m:r>
              <m:rPr>
                <m:sty m:val="p"/>
              </m:rPr>
              <m:t>d</m:t>
            </m:r>
            <m:r>
              <m:rPr>
                <m:sty m:val="p"/>
              </m:rPr>
              <m:t>W</m:t>
            </m:r>
          </m:sub>
        </m:sSub>
        <m:r>
          <m:rPr>
            <m:sty m:val="p"/>
          </m:rPr>
          <m:t>(</m:t>
        </m:r>
        <m:sSub>
          <m:e>
            <m:r>
              <m:t>e</m:t>
            </m:r>
          </m:e>
          <m:sub>
            <m:r>
              <m:t>m</m:t>
            </m:r>
          </m:sub>
        </m:sSub>
        <m:r>
          <m:rPr>
            <m:sty m:val="p"/>
          </m:rPr>
          <m:t>)</m:t>
        </m:r>
      </m:oMath>
      <w:r>
        <w:rPr>
          <w:rFonts w:ascii="Times New Roman" w:hAnsi="Times New Roman"/>
          <w:sz w:val="24"/>
        </w:rPr>
        <w:t xml:space="preserve"> </w:t>
      </w:r>
      <w:r>
        <w:rPr>
          <w:rFonts w:ascii="Times New Roman" w:hAnsi="Times New Roman"/>
          <w:sz w:val="24"/>
        </w:rPr>
        <w:t xml:space="preserve">denote the van der Waals radius of element</w:t>
      </w:r>
      <w:r>
        <w:rPr>
          <w:rFonts w:ascii="Times New Roman" w:hAnsi="Times New Roman"/>
          <w:sz w:val="24"/>
        </w:rPr>
        <w:t xml:space="preserve"> </w:t>
      </w:r>
      <m:oMath>
        <m:sSub>
          <m:e>
            <m:r>
              <m:t>e</m:t>
            </m:r>
          </m:e>
          <m:sub>
            <m:r>
              <m:t>m</m:t>
            </m:r>
          </m:sub>
        </m:sSub>
      </m:oMath>
      <w:r>
        <w:rPr>
          <w:rFonts w:ascii="Times New Roman" w:hAnsi="Times New Roman"/>
          <w:sz w:val="24"/>
        </w:rPr>
        <w:t xml:space="preserve">. We define the ground-truth semantic label</w:t>
      </w:r>
      <w:r>
        <w:rPr>
          <w:rFonts w:ascii="Times New Roman" w:hAnsi="Times New Roman"/>
          <w:sz w:val="24"/>
        </w:rPr>
        <w:t xml:space="preserve"> </w:t>
      </w:r>
      <m:oMath>
        <m:sSup>
          <m:e>
            <m:r>
              <m:t>Y</m:t>
            </m:r>
          </m:e>
          <m:sup>
            <m:r>
              <m:rPr>
                <m:sty m:val="p"/>
              </m:rPr>
              <m:t>*</m:t>
            </m:r>
          </m:sup>
        </m:sSup>
      </m:oMath>
      <w:r>
        <w:rPr>
          <w:rFonts w:ascii="Times New Roman" w:hAnsi="Times New Roman"/>
          <w:sz w:val="24"/>
        </w:rPr>
        <w:t xml:space="preserve"> </w:t>
      </w:r>
      <w:r>
        <w:rPr>
          <w:rFonts w:ascii="Times New Roman" w:hAnsi="Times New Roman"/>
          <w:sz w:val="24"/>
        </w:rPr>
        <w:t xml:space="preserve">for each voxel as:</w:t>
      </w:r>
    </w:p>
    <w:p>
      <w:pPr>
        <w:pStyle w:val="BodyText"/>
        <w:keepLines/>
        <w:spacing w:line="240" w:lineRule="auto" w:before="180" w:after="220"/>
        <w:ind w:firstLine="0"/>
        <w:jc w:val="center"/>
      </w:pPr>
      <m:oMathPara>
        <m:oMathParaPr>
          <m:jc m:val="center"/>
        </m:oMathParaPr>
        <m:oMath>
          <m:sSubSup>
            <m:e>
              <m:r>
                <m:t>Y</m:t>
              </m:r>
            </m:e>
            <m:sub>
              <m:r>
                <m:t>u</m:t>
              </m:r>
              <m:r>
                <m:rPr>
                  <m:sty m:val="p"/>
                </m:rPr>
                <m:t>,</m:t>
              </m:r>
              <m:r>
                <m:t>v</m:t>
              </m:r>
              <m:r>
                <m:rPr>
                  <m:sty m:val="p"/>
                </m:rPr>
                <m:t>,</m:t>
              </m:r>
              <m:r>
                <m:t>w</m:t>
              </m:r>
            </m:sub>
            <m:sup>
              <m:r>
                <m:rPr>
                  <m:sty m:val="p"/>
                </m:rPr>
                <m:t>*</m:t>
              </m:r>
            </m:sup>
          </m:sSubSup>
          <m:r>
            <m:rPr>
              <m:sty m:val="p"/>
            </m:rPr>
            <m:t>=</m:t>
          </m:r>
          <m:r>
            <m:rPr>
              <m:scr m:val="double-struck"/>
              <m:sty m:val="p"/>
            </m:rPr>
            <m:t>I</m:t>
          </m:r>
          <m:r>
            <m:t>​</m:t>
          </m:r>
          <m:d>
            <m:dPr>
              <m:begChr m:val="["/>
              <m:sepChr m:val=""/>
              <m:endChr m:val="]"/>
              <m:grow/>
            </m:dPr>
            <m:e>
              <m:r>
                <m:rPr>
                  <m:sty m:val="p"/>
                </m:rPr>
                <m:t>∃</m:t>
              </m:r>
              <m:r>
                <m:t>m</m:t>
              </m:r>
              <m:r>
                <m:rPr>
                  <m:sty m:val="p"/>
                </m:rPr>
                <m:t>,</m:t>
              </m:r>
              <m:r>
                <m:t> </m:t>
              </m:r>
              <m:sSub>
                <m:e>
                  <m:d>
                    <m:dPr>
                      <m:begChr m:val="∥"/>
                      <m:sepChr m:val=""/>
                      <m:endChr m:val="∥"/>
                      <m:grow/>
                    </m:dPr>
                    <m:e>
                      <m:sSub>
                        <m:e>
                          <m:r>
                            <m:rPr>
                              <m:sty m:val="bi"/>
                            </m:rPr>
                            <m:t>c</m:t>
                          </m:r>
                        </m:e>
                        <m:sub>
                          <m:r>
                            <m:t>u</m:t>
                          </m:r>
                          <m:r>
                            <m:rPr>
                              <m:sty m:val="p"/>
                            </m:rPr>
                            <m:t>,</m:t>
                          </m:r>
                          <m:r>
                            <m:t>v</m:t>
                          </m:r>
                          <m:r>
                            <m:rPr>
                              <m:sty m:val="p"/>
                            </m:rPr>
                            <m:t>,</m:t>
                          </m:r>
                          <m:r>
                            <m:t>w</m:t>
                          </m:r>
                        </m:sub>
                      </m:sSub>
                      <m:r>
                        <m:rPr>
                          <m:sty m:val="p"/>
                        </m:rPr>
                        <m:t>−</m:t>
                      </m:r>
                      <m:sSub>
                        <m:e>
                          <m:r>
                            <m:rPr>
                              <m:sty m:val="bi"/>
                            </m:rPr>
                            <m:t>ℓ</m:t>
                          </m:r>
                        </m:e>
                        <m:sub>
                          <m:r>
                            <m:t>m</m:t>
                          </m:r>
                        </m:sub>
                      </m:sSub>
                    </m:e>
                  </m:d>
                </m:e>
                <m:sub>
                  <m:r>
                    <m:t>2</m:t>
                  </m:r>
                </m:sub>
              </m:sSub>
              <m:r>
                <m:rPr>
                  <m:sty m:val="p"/>
                </m:rPr>
                <m:t>≤</m:t>
              </m:r>
              <m:sSub>
                <m:e>
                  <m:r>
                    <m:t>r</m:t>
                  </m:r>
                </m:e>
                <m:sub>
                  <m:r>
                    <m:rPr>
                      <m:sty m:val="p"/>
                    </m:rPr>
                    <m:t>v</m:t>
                  </m:r>
                  <m:r>
                    <m:rPr>
                      <m:sty m:val="p"/>
                    </m:rPr>
                    <m:t>d</m:t>
                  </m:r>
                  <m:r>
                    <m:rPr>
                      <m:sty m:val="p"/>
                    </m:rPr>
                    <m:t>W</m:t>
                  </m:r>
                </m:sub>
              </m:sSub>
              <m:r>
                <m:rPr>
                  <m:sty m:val="p"/>
                </m:rPr>
                <m:t>(</m:t>
              </m:r>
              <m:sSub>
                <m:e>
                  <m:r>
                    <m:t>e</m:t>
                  </m:r>
                </m:e>
                <m:sub>
                  <m:r>
                    <m:t>m</m:t>
                  </m:r>
                </m:sub>
              </m:sSub>
              <m:r>
                <m:rPr>
                  <m:sty m:val="p"/>
                </m:rPr>
                <m:t>)</m:t>
              </m:r>
            </m:e>
          </m:d>
          <m:r>
            <m:rPr>
              <m:sty m:val="p"/>
            </m:rPr>
            <m:t>.</m:t>
          </m:r>
        </m:oMath>
      </m:oMathPara>
    </w:p>
    <w:p>
      <w:pPr>
        <w:pStyle w:val="FirstParagraph"/>
        <w:spacing w:line="480" w:lineRule="auto" w:after="120"/>
        <w:ind w:firstLine="480"/>
      </w:pPr>
      <w:r>
        <w:rPr>
          <w:rFonts w:ascii="Times New Roman" w:hAnsi="Times New Roman"/>
          <w:sz w:val="24"/>
        </w:rPr>
        <w:t xml:space="preserve">Given the receptor-atom set</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defined above and the experimental cryo-EM density map</w:t>
      </w:r>
      <w:r>
        <w:rPr>
          <w:rFonts w:ascii="Times New Roman" w:hAnsi="Times New Roman"/>
          <w:sz w:val="24"/>
        </w:rPr>
        <w:t xml:space="preserve"> </w:t>
      </w:r>
      <m:oMath>
        <m:r>
          <m:t>M</m:t>
        </m:r>
      </m:oMath>
      <w:r>
        <w:rPr>
          <w:rFonts w:ascii="Times New Roman" w:hAnsi="Times New Roman"/>
          <w:sz w:val="24"/>
        </w:rPr>
        <w:t xml:space="preserve">, Find predicts ligand-region probabilities</w:t>
      </w:r>
      <w:r>
        <w:rPr>
          <w:rFonts w:ascii="Times New Roman" w:hAnsi="Times New Roman"/>
          <w:sz w:val="24"/>
        </w:rPr>
        <w:t xml:space="preserve"> </w:t>
      </w:r>
      <m:oMath>
        <m:acc>
          <m:accPr>
            <m:chr m:val="̂"/>
          </m:accPr>
          <m:e>
            <m:r>
              <m:t>Y</m:t>
            </m:r>
          </m:e>
        </m:acc>
        <m:r>
          <m:rPr>
            <m:sty m:val="p"/>
          </m:rPr>
          <m:t>∈</m:t>
        </m:r>
        <m:r>
          <m:rPr>
            <m:sty m:val="p"/>
          </m:rPr>
          <m:t>[</m:t>
        </m:r>
        <m:r>
          <m:t>0</m:t>
        </m:r>
        <m:r>
          <m:rPr>
            <m:sty m:val="p"/>
          </m:rPr>
          <m:t>,</m:t>
        </m:r>
        <m:r>
          <m:t>1</m:t>
        </m:r>
        <m:sSup>
          <m:e>
            <m:r>
              <m:rPr>
                <m:sty m:val="p"/>
              </m:rPr>
              <m:t>]</m:t>
            </m:r>
          </m:e>
          <m:sup>
            <m:r>
              <m:t>D</m:t>
            </m:r>
            <m:r>
              <m:rPr>
                <m:sty m:val="p"/>
              </m:rPr>
              <m:t>×</m:t>
            </m:r>
            <m:r>
              <m:t>H</m:t>
            </m:r>
            <m:r>
              <m:rPr>
                <m:sty m:val="p"/>
              </m:rPr>
              <m:t>×</m:t>
            </m:r>
            <m:r>
              <m:t>W</m:t>
            </m:r>
          </m:sup>
        </m:sSup>
      </m:oMath>
      <w:r>
        <w:rPr>
          <w:rFonts w:ascii="Times New Roman" w:hAnsi="Times New Roman"/>
          <w:sz w:val="24"/>
        </w:rPr>
        <w:t xml:space="preserve">, and corresponding to</w:t>
      </w:r>
      <w:r>
        <w:rPr>
          <w:rFonts w:ascii="Times New Roman" w:hAnsi="Times New Roman"/>
          <w:sz w:val="24"/>
        </w:rPr>
        <w:t xml:space="preserve"> </w:t>
      </w:r>
      <m:oMath>
        <m:sSubSup>
          <m:e>
            <m:r>
              <m:t>Y</m:t>
            </m:r>
          </m:e>
          <m:sub>
            <m:r>
              <m:t>u</m:t>
            </m:r>
            <m:r>
              <m:rPr>
                <m:sty m:val="p"/>
              </m:rPr>
              <m:t>,</m:t>
            </m:r>
            <m:r>
              <m:t>v</m:t>
            </m:r>
            <m:r>
              <m:rPr>
                <m:sty m:val="p"/>
              </m:rPr>
              <m:t>,</m:t>
            </m:r>
            <m:r>
              <m:t>w</m:t>
            </m:r>
          </m:sub>
          <m:sup>
            <m:r>
              <m:rPr>
                <m:sty m:val="p"/>
              </m:rPr>
              <m:t>*</m:t>
            </m:r>
          </m:sup>
        </m:sSubSup>
      </m:oMath>
      <w:r>
        <w:rPr>
          <w:rFonts w:ascii="Times New Roman" w:hAnsi="Times New Roman"/>
          <w:sz w:val="24"/>
        </w:rPr>
        <w:t xml:space="preserve">, the value</w:t>
      </w:r>
      <w:r>
        <w:rPr>
          <w:rFonts w:ascii="Times New Roman" w:hAnsi="Times New Roman"/>
          <w:sz w:val="24"/>
        </w:rPr>
        <w:t xml:space="preserve"> </w:t>
      </w:r>
      <m:oMath>
        <m:sSub>
          <m:e>
            <m:acc>
              <m:accPr>
                <m:chr m:val="̂"/>
              </m:accPr>
              <m:e>
                <m:r>
                  <m:t>Y</m:t>
                </m:r>
              </m:e>
            </m:acc>
          </m:e>
          <m:sub>
            <m:r>
              <m:t>u</m:t>
            </m:r>
            <m:r>
              <m:rPr>
                <m:sty m:val="p"/>
              </m:rPr>
              <m:t>,</m:t>
            </m:r>
            <m:r>
              <m:t>v</m:t>
            </m:r>
            <m:r>
              <m:rPr>
                <m:sty m:val="p"/>
              </m:rPr>
              <m:t>,</m:t>
            </m:r>
            <m:r>
              <m:t>w</m:t>
            </m:r>
          </m:sub>
        </m:sSub>
      </m:oMath>
      <w:r>
        <w:rPr>
          <w:rFonts w:ascii="Times New Roman" w:hAnsi="Times New Roman"/>
          <w:sz w:val="24"/>
        </w:rPr>
        <w:t xml:space="preserve"> </w:t>
      </w:r>
      <w:r>
        <w:rPr>
          <w:rFonts w:ascii="Times New Roman" w:hAnsi="Times New Roman"/>
          <w:sz w:val="24"/>
        </w:rPr>
        <w:t xml:space="preserve">is the predicted probability that voxel</w:t>
      </w:r>
      <w:r>
        <w:rPr>
          <w:rFonts w:ascii="Times New Roman" w:hAnsi="Times New Roman"/>
          <w:sz w:val="24"/>
        </w:rPr>
        <w:t xml:space="preserve"> </w:t>
      </w:r>
      <m:oMath>
        <m:r>
          <m:rPr>
            <m:sty m:val="p"/>
          </m:rPr>
          <m:t>(</m:t>
        </m:r>
        <m:r>
          <m:t>u</m:t>
        </m:r>
        <m:r>
          <m:rPr>
            <m:sty m:val="p"/>
          </m:rPr>
          <m:t>,</m:t>
        </m:r>
        <m:r>
          <m:t>v</m:t>
        </m:r>
        <m:r>
          <m:rPr>
            <m:sty m:val="p"/>
          </m:rPr>
          <m:t>,</m:t>
        </m:r>
        <m:r>
          <m:t>w</m:t>
        </m:r>
        <m:r>
          <m:rPr>
            <m:sty m:val="p"/>
          </m:rPr>
          <m:t>)</m:t>
        </m:r>
      </m:oMath>
      <w:r>
        <w:rPr>
          <w:rFonts w:ascii="Times New Roman" w:hAnsi="Times New Roman"/>
          <w:sz w:val="24"/>
        </w:rPr>
        <w:t xml:space="preserve"> </w:t>
      </w:r>
      <w:r>
        <w:rPr>
          <w:rFonts w:ascii="Times New Roman" w:hAnsi="Times New Roman"/>
          <w:sz w:val="24"/>
        </w:rPr>
        <w:t xml:space="preserve">belongs to a ligand region. These probabilities are the primary supervised output during Find training.</w:t>
      </w:r>
    </w:p>
    <w:bookmarkEnd w:id="80"/>
    <w:bookmarkStart w:id="81" w:name="network-architecture"/>
    <w:p>
      <w:pPr>
        <w:pStyle w:val="Heading3"/>
        <w:keepNext/>
        <w:spacing w:line="480" w:lineRule="auto"/>
        <w:ind w:firstLine="0"/>
      </w:pPr>
      <w:r>
        <w:rPr>
          <w:rFonts w:ascii="Times New Roman" w:hAnsi="Times New Roman"/>
          <w:sz w:val="24"/>
        </w:rPr>
        <w:t xml:space="preserve">Network architecture</w:t>
      </w:r>
    </w:p>
    <w:p>
      <w:pPr>
        <w:pStyle w:val="FirstParagraph"/>
        <w:spacing w:line="480" w:lineRule="auto" w:after="120"/>
        <w:ind w:firstLine="480"/>
      </w:pPr>
      <w:r>
        <w:rPr>
          <w:rFonts w:ascii="Times New Roman" w:hAnsi="Times New Roman"/>
          <w:sz w:val="24"/>
        </w:rPr>
        <w:t xml:space="preserve">We represent density maps as voxel grids and receptor atoms as point clouds with features. Find jointly models these representations with a hybrid point–voxel network. The voxel branch predicts ligand-region probabilities from the complete local density field. The point-cloud branch resolves receptor geometry and chemistry, producing auxiliary features, including receptor-atom binding probabilities, for Find and Match training and inference. The network comprises a receptor embedding head, a voxel branch, a point-cloud branch and prediction heads. Multiscale information fusion and recycling connect these components within the network.</w:t>
      </w:r>
    </w:p>
    <w:p>
      <w:pPr>
        <w:pStyle w:val="BodyText"/>
        <w:spacing w:line="480" w:lineRule="auto" w:after="120"/>
        <w:ind w:firstLine="480"/>
      </w:pPr>
      <w:r>
        <w:rPr>
          <w:rFonts w:ascii="Times New Roman" w:hAnsi="Times New Roman"/>
          <w:sz w:val="24"/>
        </w:rPr>
        <w:t xml:space="preserve">The receptor embedding head supplies processed atom representations to both the voxel branch and point-cloud branch. Before the voxel branch, it embeds receptor atoms, encodes their centre positions</w:t>
      </w:r>
      <w:r>
        <w:rPr>
          <w:rStyle w:val="MDCITE_eJyLdihILMo2MjAySkssLinIz8wrKSlKzCtOyy_KTS2KBQC1agv4"/>
          <w:rFonts w:ascii="Times New Roman" w:hAnsi="Times New Roman"/>
          <w:sz w:val="24"/>
          <w:vertAlign w:val="superscript"/>
        </w:rPr>
        <w:t xml:space="preserve">20</w:t>
      </w:r>
      <w:r>
        <w:rPr>
          <w:rFonts w:ascii="Times New Roman" w:hAnsi="Times New Roman"/>
          <w:sz w:val="24"/>
        </w:rPr>
        <w:t xml:space="preserve"> </w:t>
      </w:r>
      <w:r>
        <w:rPr>
          <w:rFonts w:ascii="Times New Roman" w:hAnsi="Times New Roman"/>
          <w:sz w:val="24"/>
        </w:rPr>
        <w:t xml:space="preserve">and softly scatters the encoded features onto the voxel grid. The projected features are concatenated with the 56 density channels as input to a 3D U-Net</w:t>
      </w:r>
      <w:r>
        <w:rPr>
          <w:rStyle w:val="MDCITE_eJyLdkjOTE7NNjIwNDNOKc1LLYkFADg_BhQ"/>
          <w:rFonts w:ascii="Times New Roman" w:hAnsi="Times New Roman"/>
          <w:sz w:val="24"/>
          <w:vertAlign w:val="superscript"/>
        </w:rPr>
        <w:t xml:space="preserve">21</w:t>
      </w:r>
      <w:r>
        <w:rPr>
          <w:rFonts w:ascii="Times New Roman" w:hAnsi="Times New Roman"/>
          <w:sz w:val="24"/>
        </w:rPr>
        <w:t xml:space="preserve">. Before the point-cloud branch, Point Transformer V3</w:t>
      </w:r>
      <w:r>
        <w:rPr>
          <w:rStyle w:val="MDCITE_eJyLdigvNTIwMikoKTOOBQAdWAQ6"/>
          <w:rFonts w:ascii="Times New Roman" w:hAnsi="Times New Roman"/>
          <w:sz w:val="24"/>
          <w:vertAlign w:val="superscript"/>
        </w:rPr>
        <w:t xml:space="preserve">22</w:t>
      </w:r>
      <w:r>
        <w:rPr>
          <w:rFonts w:ascii="Times New Roman" w:hAnsi="Times New Roman"/>
          <w:sz w:val="24"/>
        </w:rPr>
        <w:t xml:space="preserve"> </w:t>
      </w:r>
      <w:r>
        <w:rPr>
          <w:rFonts w:ascii="Times New Roman" w:hAnsi="Times New Roman"/>
          <w:sz w:val="24"/>
        </w:rPr>
        <w:t xml:space="preserve">attention modules and progressive cropping process the initial atom features to provide the point-cloud input.</w:t>
      </w:r>
    </w:p>
    <w:p>
      <w:pPr>
        <w:pStyle w:val="BodyText"/>
        <w:spacing w:line="480" w:lineRule="auto" w:after="120"/>
        <w:ind w:firstLine="480"/>
      </w:pPr>
      <w:r>
        <w:rPr>
          <w:rFonts w:ascii="Times New Roman" w:hAnsi="Times New Roman"/>
          <w:sz w:val="24"/>
        </w:rPr>
        <w:t xml:space="preserve">The voxel branch uses a 3D U-Net with an encoder–decoder architecture. Self-attention at low-resolution layers models long-range spatial relationships, while skip connections restore high-resolution features. The main output head predicts ligand-region probabilities from the voxel features. Auxiliary heads predict receptor-binding regions, protein backbone atom classes, nucleic acid backbone atom classes and inverse distance to the nearest ligand. The network samples pseudo atoms</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from regions with high predicted ligand-region probabilities. Convolutional layers extract surrounding density information to initialise their features. These pseudo atoms enter the point-cloud branch together with receptor atoms</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encoded by the receptor embedding head.</w:t>
      </w:r>
    </w:p>
    <w:p>
      <w:pPr>
        <w:pStyle w:val="BodyText"/>
        <w:spacing w:line="480" w:lineRule="auto" w:after="120"/>
        <w:ind w:firstLine="480"/>
      </w:pPr>
      <w:r>
        <w:rPr>
          <w:rFonts w:ascii="Times New Roman" w:hAnsi="Times New Roman"/>
          <w:sz w:val="24"/>
        </w:rPr>
        <w:t xml:space="preserve">The point-cloud branch uses the U-Net-style encoder–decoder architecture of Point Transformer V3</w:t>
      </w:r>
      <w:r>
        <w:rPr>
          <w:rStyle w:val="MDCITE_eJyLdigvNTIwMikoKTOOBQAdWAQ6"/>
          <w:rFonts w:ascii="Times New Roman" w:hAnsi="Times New Roman"/>
          <w:sz w:val="24"/>
          <w:vertAlign w:val="superscript"/>
        </w:rPr>
        <w:t xml:space="preserve">22</w:t>
      </w:r>
      <w:r>
        <w:rPr>
          <w:rFonts w:ascii="Times New Roman" w:hAnsi="Times New Roman"/>
          <w:sz w:val="24"/>
        </w:rPr>
        <w:t xml:space="preserve">. Space-filling curves jointly serialise receptor atoms</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and pseudo atoms</w:t>
      </w:r>
      <w:r>
        <w:rPr>
          <w:rFonts w:ascii="Times New Roman" w:hAnsi="Times New Roman"/>
          <w:sz w:val="24"/>
        </w:rPr>
        <w:t xml:space="preserve"> </w:t>
      </w:r>
      <m:oMath>
        <m:r>
          <m:t>P</m:t>
        </m:r>
      </m:oMath>
      <w:r>
        <w:rPr>
          <w:rFonts w:ascii="Times New Roman" w:hAnsi="Times New Roman"/>
          <w:sz w:val="24"/>
        </w:rPr>
        <w:t xml:space="preserve">, while point-cloud convolutions provide conditional positional encoding. At multiple resolutions, the network performs learnable weighted sampling over the</w:t>
      </w:r>
      <w:r>
        <w:rPr>
          <w:rFonts w:ascii="Times New Roman" w:hAnsi="Times New Roman"/>
          <w:sz w:val="24"/>
        </w:rPr>
        <w:t xml:space="preserve"> </w:t>
      </w:r>
      <m:oMath>
        <m:sSup>
          <m:e>
            <m:r>
              <m:t>3</m:t>
            </m:r>
          </m:e>
          <m:sup>
            <m:r>
              <m:t>3</m:t>
            </m:r>
          </m:sup>
        </m:sSup>
      </m:oMath>
      <w:r>
        <w:rPr>
          <w:rFonts w:ascii="Times New Roman" w:hAnsi="Times New Roman"/>
          <w:sz w:val="24"/>
        </w:rPr>
        <w:t xml:space="preserve"> </w:t>
      </w:r>
      <w:r>
        <w:rPr>
          <w:rFonts w:ascii="Times New Roman" w:hAnsi="Times New Roman"/>
          <w:sz w:val="24"/>
        </w:rPr>
        <w:t xml:space="preserve">neighbourhoods of</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in voxel feature maps at the corresponding scale. Feature modulation injects the voxel branch’s density information into atom representations, allowing the point-cloud branch to access intermediate voxel features at multiple levels. The receptor-atom representations are supervised by predicting whether each receptor atom belongs to a receptor binding region, whereas the pseudo atom representations are supervised by predicting whether each pseudo atom lies within a ligand region.</w:t>
      </w:r>
    </w:p>
    <w:p>
      <w:pPr>
        <w:pStyle w:val="BodyText"/>
        <w:spacing w:line="480" w:lineRule="auto" w:after="120"/>
        <w:ind w:firstLine="480"/>
      </w:pPr>
      <w:r>
        <w:rPr>
          <w:rFonts w:ascii="Times New Roman" w:hAnsi="Times New Roman"/>
          <w:sz w:val="24"/>
        </w:rPr>
        <w:t xml:space="preserve">Following AlphaFold3</w:t>
      </w:r>
      <w:r>
        <w:rPr>
          <w:rStyle w:val="MDCITE_eJyLdkhMKkrMLc7PMzIwMknMKchITMvPSTGOBQB0aQjy"/>
          <w:rFonts w:ascii="Times New Roman" w:hAnsi="Times New Roman"/>
          <w:sz w:val="24"/>
          <w:vertAlign w:val="superscript"/>
        </w:rPr>
        <w:t xml:space="preserve">23</w:t>
      </w:r>
      <w:r>
        <w:rPr>
          <w:rFonts w:ascii="Times New Roman" w:hAnsi="Times New Roman"/>
          <w:sz w:val="24"/>
        </w:rPr>
        <w:t xml:space="preserve">, the Find network also incorporates a recycling mechanism. Voxel and point-cloud features from each iteration are fed back as additional inputs to the corresponding branches in the next iteration. Training randomly used one to three recycling iterations, whereas inference used a fixed three iterations.</w:t>
      </w:r>
    </w:p>
    <w:bookmarkEnd w:id="81"/>
    <w:bookmarkStart w:id="82" w:name="losses-and-supervision"/>
    <w:p>
      <w:pPr>
        <w:pStyle w:val="Heading3"/>
        <w:keepNext/>
        <w:spacing w:line="480" w:lineRule="auto"/>
        <w:ind w:firstLine="0"/>
      </w:pPr>
      <w:r>
        <w:rPr>
          <w:rFonts w:ascii="Times New Roman" w:hAnsi="Times New Roman"/>
          <w:sz w:val="24"/>
        </w:rPr>
        <w:t xml:space="preserve">Losses and supervision</w:t>
      </w:r>
    </w:p>
    <w:p>
      <w:pPr>
        <w:pStyle w:val="FirstParagraph"/>
        <w:spacing w:line="480" w:lineRule="auto" w:after="120"/>
        <w:ind w:firstLine="480"/>
      </w:pPr>
      <w:r>
        <w:rPr>
          <w:rFonts w:ascii="Times New Roman" w:hAnsi="Times New Roman"/>
          <w:sz w:val="24"/>
        </w:rPr>
        <w:t xml:space="preserve">Find’s primary task is ligand-region segmentation, with auxiliary supervision in the voxel and point-cloud branches. The voxel branch also predicts receptor binding regions, the inverse distance to the nearest ligand, and protein and nucleic acid backbone atom classes. The point-cloud branch uses separate supervision for receptor atoms and sampled pseudo atoms. The total loss combines the voxel and point-cloud terms as follows:</w:t>
      </w:r>
    </w:p>
    <w:p>
      <w:pPr>
        <w:pStyle w:val="BodyText"/>
        <w:keepLines/>
        <w:spacing w:line="240" w:lineRule="auto" w:before="180" w:after="220"/>
        <w:ind w:firstLine="0"/>
        <w:jc w:val="center"/>
      </w:pPr>
      <m:oMathPara>
        <m:oMathParaPr>
          <m:jc m:val="center"/>
        </m:oMathParaPr>
        <m:oMath>
          <m:eqArr>
            <m:e>
              <m:r>
                <w:rPr>
                  <w:sz w:val="20"/>
                </w:rPr>
                <m:t>&amp;</m:t>
              </m:r>
              <m:sSub>
                <m:e>
                  <m:r>
                    <w:rPr>
                      <w:sz w:val="20"/>
                    </w:rPr>
                    <m:rPr>
                      <m:scr m:val="script"/>
                      <m:sty m:val="p"/>
                    </m:rPr>
                    <m:t>L</m:t>
                  </m:r>
                </m:e>
                <m:sub>
                  <m:r>
                    <w:rPr>
                      <w:sz w:val="20"/>
                    </w:rPr>
                    <m:rPr>
                      <m:sty m:val="p"/>
                    </m:rPr>
                    <m:t>F</m:t>
                  </m:r>
                  <m:r>
                    <w:rPr>
                      <w:sz w:val="20"/>
                    </w:rPr>
                    <m:rPr>
                      <m:sty m:val="p"/>
                    </m:rPr>
                    <m:t>i</m:t>
                  </m:r>
                  <m:r>
                    <w:rPr>
                      <w:sz w:val="20"/>
                    </w:rPr>
                    <m:rPr>
                      <m:sty m:val="p"/>
                    </m:rPr>
                    <m:t>n</m:t>
                  </m:r>
                  <m:r>
                    <w:rPr>
                      <w:sz w:val="20"/>
                    </w:rPr>
                    <m:rPr>
                      <m:sty m:val="p"/>
                    </m:rPr>
                    <m:t>d</m:t>
                  </m:r>
                </m:sub>
              </m:sSub>
              <m:r>
                <w:rPr>
                  <w:sz w:val="20"/>
                </w:rPr>
                <m:rPr>
                  <m:sty m:val="p"/>
                </m:rPr>
                <m:t>=</m:t>
              </m:r>
              <m:limLow>
                <m:e>
                  <m:groupChr>
                    <m:groupChrPr>
                      <m:chr m:val="⏟"/>
                      <m:pos m:val="bot"/>
                    </m:groupChrPr>
                    <m:e>
                      <m:sSub>
                        <m:e>
                          <m:r>
                            <w:rPr>
                              <w:sz w:val="20"/>
                            </w:rPr>
                            <m:rPr>
                              <m:scr m:val="script"/>
                              <m:sty m:val="p"/>
                            </m:rPr>
                            <m:t>L</m:t>
                          </m:r>
                        </m:e>
                        <m:sub>
                          <m:r>
                            <w:rPr>
                              <w:sz w:val="20"/>
                            </w:rPr>
                            <m:rPr>
                              <m:sty m:val="p"/>
                            </m:rPr>
                            <m:t>l</m:t>
                          </m:r>
                          <m:r>
                            <w:rPr>
                              <w:sz w:val="20"/>
                            </w:rPr>
                            <m:rPr>
                              <m:sty m:val="p"/>
                            </m:rPr>
                            <m:t>i</m:t>
                          </m:r>
                          <m:r>
                            <w:rPr>
                              <w:sz w:val="20"/>
                            </w:rPr>
                            <m:rPr>
                              <m:sty m:val="p"/>
                            </m:rPr>
                            <m:t>g</m:t>
                          </m:r>
                          <m:r>
                            <w:rPr>
                              <w:sz w:val="20"/>
                            </w:rPr>
                            <m:rPr>
                              <m:sty m:val="p"/>
                            </m:rPr>
                            <m:t>a</m:t>
                          </m:r>
                          <m:r>
                            <w:rPr>
                              <w:sz w:val="20"/>
                            </w:rPr>
                            <m:rPr>
                              <m:sty m:val="p"/>
                            </m:rPr>
                            <m:t>n</m:t>
                          </m:r>
                          <m:r>
                            <w:rPr>
                              <w:sz w:val="20"/>
                            </w:rPr>
                            <m:rPr>
                              <m:sty m:val="p"/>
                            </m:rPr>
                            <m:t>d</m:t>
                          </m:r>
                          <m:r>
                            <w:rPr>
                              <w:sz w:val="20"/>
                            </w:rPr>
                            <m:rPr>
                              <m:nor/>
                              <m:sty m:val="p"/>
                            </m:rPr>
                            <m:t>-</m:t>
                          </m:r>
                          <m:r>
                            <w:rPr>
                              <w:sz w:val="20"/>
                            </w:rPr>
                            <m:rPr>
                              <m:sty m:val="p"/>
                            </m:rPr>
                            <m:t>a</m:t>
                          </m:r>
                          <m:r>
                            <w:rPr>
                              <w:sz w:val="20"/>
                            </w:rPr>
                            <m:rPr>
                              <m:sty m:val="p"/>
                            </m:rPr>
                            <m:t>r</m:t>
                          </m:r>
                          <m:r>
                            <w:rPr>
                              <w:sz w:val="20"/>
                            </w:rPr>
                            <m:rPr>
                              <m:sty m:val="p"/>
                            </m:rPr>
                            <m:t>e</m:t>
                          </m:r>
                          <m:r>
                            <w:rPr>
                              <w:sz w:val="20"/>
                            </w:rPr>
                            <m:rPr>
                              <m:sty m:val="p"/>
                            </m:rPr>
                            <m:t>a</m:t>
                          </m:r>
                        </m:sub>
                      </m:sSub>
                      <m:r>
                        <w:rPr>
                          <w:sz w:val="20"/>
                        </w:rPr>
                        <m:rPr>
                          <m:sty m:val="p"/>
                        </m:rPr>
                        <m:t>+</m:t>
                      </m:r>
                      <m:r>
                        <w:rPr>
                          <w:sz w:val="20"/>
                        </w:rPr>
                        <m:t>0.1</m:t>
                      </m:r>
                      <m:sSub>
                        <m:e>
                          <m:r>
                            <w:rPr>
                              <w:sz w:val="20"/>
                            </w:rPr>
                            <m:rPr>
                              <m:scr m:val="script"/>
                              <m:sty m:val="p"/>
                            </m:rPr>
                            <m:t>L</m:t>
                          </m:r>
                        </m:e>
                        <m:sub>
                          <m:r>
                            <w:rPr>
                              <w:sz w:val="20"/>
                            </w:rPr>
                            <m:rPr>
                              <m:sty m:val="p"/>
                            </m:rPr>
                            <m:t>r</m:t>
                          </m:r>
                          <m:r>
                            <w:rPr>
                              <w:sz w:val="20"/>
                            </w:rPr>
                            <m:rPr>
                              <m:sty m:val="p"/>
                            </m:rPr>
                            <m:t>e</m:t>
                          </m:r>
                          <m:r>
                            <w:rPr>
                              <w:sz w:val="20"/>
                            </w:rPr>
                            <m:rPr>
                              <m:sty m:val="p"/>
                            </m:rPr>
                            <m:t>c</m:t>
                          </m:r>
                          <m:r>
                            <w:rPr>
                              <w:sz w:val="20"/>
                            </w:rPr>
                            <m:rPr>
                              <m:sty m:val="p"/>
                            </m:rPr>
                            <m:t>e</m:t>
                          </m:r>
                          <m:r>
                            <w:rPr>
                              <w:sz w:val="20"/>
                            </w:rPr>
                            <m:rPr>
                              <m:sty m:val="p"/>
                            </m:rPr>
                            <m:t>p</m:t>
                          </m:r>
                          <m:r>
                            <w:rPr>
                              <w:sz w:val="20"/>
                            </w:rPr>
                            <m:rPr>
                              <m:sty m:val="p"/>
                            </m:rPr>
                            <m:t>t</m:t>
                          </m:r>
                          <m:r>
                            <w:rPr>
                              <w:sz w:val="20"/>
                            </w:rPr>
                            <m:rPr>
                              <m:sty m:val="p"/>
                            </m:rPr>
                            <m:t>o</m:t>
                          </m:r>
                          <m:r>
                            <w:rPr>
                              <w:sz w:val="20"/>
                            </w:rPr>
                            <m:rPr>
                              <m:sty m:val="p"/>
                            </m:rPr>
                            <m:t>r</m:t>
                          </m:r>
                          <m:r>
                            <w:rPr>
                              <w:sz w:val="20"/>
                            </w:rPr>
                            <m:rPr>
                              <m:nor/>
                              <m:sty m:val="p"/>
                            </m:rPr>
                            <m:t>-</m:t>
                          </m:r>
                          <m:r>
                            <w:rPr>
                              <w:sz w:val="20"/>
                            </w:rPr>
                            <m:rPr>
                              <m:sty m:val="p"/>
                            </m:rPr>
                            <m:t>a</m:t>
                          </m:r>
                          <m:r>
                            <w:rPr>
                              <w:sz w:val="20"/>
                            </w:rPr>
                            <m:rPr>
                              <m:sty m:val="p"/>
                            </m:rPr>
                            <m:t>r</m:t>
                          </m:r>
                          <m:r>
                            <w:rPr>
                              <w:sz w:val="20"/>
                            </w:rPr>
                            <m:rPr>
                              <m:sty m:val="p"/>
                            </m:rPr>
                            <m:t>e</m:t>
                          </m:r>
                          <m:r>
                            <w:rPr>
                              <w:sz w:val="20"/>
                            </w:rPr>
                            <m:rPr>
                              <m:sty m:val="p"/>
                            </m:rPr>
                            <m:t>a</m:t>
                          </m:r>
                        </m:sub>
                      </m:sSub>
                      <m:r>
                        <w:rPr>
                          <w:sz w:val="20"/>
                        </w:rPr>
                        <m:rPr>
                          <m:sty m:val="p"/>
                        </m:rPr>
                        <m:t>+</m:t>
                      </m:r>
                      <m:r>
                        <w:rPr>
                          <w:sz w:val="20"/>
                        </w:rPr>
                        <m:t>0.3</m:t>
                      </m:r>
                      <m:sSub>
                        <m:e>
                          <m:r>
                            <w:rPr>
                              <w:sz w:val="20"/>
                            </w:rPr>
                            <m:rPr>
                              <m:scr m:val="script"/>
                              <m:sty m:val="p"/>
                            </m:rPr>
                            <m:t>L</m:t>
                          </m:r>
                        </m:e>
                        <m:sub>
                          <m:r>
                            <w:rPr>
                              <w:sz w:val="20"/>
                            </w:rPr>
                            <m:rPr>
                              <m:sty m:val="p"/>
                            </m:rPr>
                            <m:t>l</m:t>
                          </m:r>
                          <m:r>
                            <w:rPr>
                              <w:sz w:val="20"/>
                            </w:rPr>
                            <m:rPr>
                              <m:sty m:val="p"/>
                            </m:rPr>
                            <m:t>i</m:t>
                          </m:r>
                          <m:r>
                            <w:rPr>
                              <w:sz w:val="20"/>
                            </w:rPr>
                            <m:rPr>
                              <m:sty m:val="p"/>
                            </m:rPr>
                            <m:t>g</m:t>
                          </m:r>
                          <m:r>
                            <w:rPr>
                              <w:sz w:val="20"/>
                            </w:rPr>
                            <m:rPr>
                              <m:sty m:val="p"/>
                            </m:rPr>
                            <m:t>a</m:t>
                          </m:r>
                          <m:r>
                            <w:rPr>
                              <w:sz w:val="20"/>
                            </w:rPr>
                            <m:rPr>
                              <m:sty m:val="p"/>
                            </m:rPr>
                            <m:t>n</m:t>
                          </m:r>
                          <m:r>
                            <w:rPr>
                              <w:sz w:val="20"/>
                            </w:rPr>
                            <m:rPr>
                              <m:sty m:val="p"/>
                            </m:rPr>
                            <m:t>d</m:t>
                          </m:r>
                          <m:r>
                            <w:rPr>
                              <w:sz w:val="20"/>
                            </w:rPr>
                            <m:rPr>
                              <m:nor/>
                              <m:sty m:val="p"/>
                            </m:rPr>
                            <m:t>-</m:t>
                          </m:r>
                          <m:r>
                            <w:rPr>
                              <w:sz w:val="20"/>
                            </w:rPr>
                            <m:rPr>
                              <m:sty m:val="p"/>
                            </m:rPr>
                            <m:t>d</m:t>
                          </m:r>
                          <m:r>
                            <w:rPr>
                              <w:sz w:val="20"/>
                            </w:rPr>
                            <m:rPr>
                              <m:sty m:val="p"/>
                            </m:rPr>
                            <m:t>i</m:t>
                          </m:r>
                          <m:r>
                            <w:rPr>
                              <w:sz w:val="20"/>
                            </w:rPr>
                            <m:rPr>
                              <m:sty m:val="p"/>
                            </m:rPr>
                            <m:t>s</m:t>
                          </m:r>
                          <m:r>
                            <w:rPr>
                              <w:sz w:val="20"/>
                            </w:rPr>
                            <m:rPr>
                              <m:sty m:val="p"/>
                            </m:rPr>
                            <m:t>t</m:t>
                          </m:r>
                        </m:sub>
                      </m:sSub>
                      <m:r>
                        <w:rPr>
                          <w:sz w:val="20"/>
                        </w:rPr>
                        <m:rPr>
                          <m:sty m:val="p"/>
                        </m:rPr>
                        <m:t>+</m:t>
                      </m:r>
                      <m:r>
                        <w:rPr>
                          <w:sz w:val="20"/>
                        </w:rPr>
                        <m:t>0.05</m:t>
                      </m:r>
                      <m:sSub>
                        <m:e>
                          <m:r>
                            <w:rPr>
                              <w:sz w:val="20"/>
                            </w:rPr>
                            <m:rPr>
                              <m:scr m:val="script"/>
                              <m:sty m:val="p"/>
                            </m:rPr>
                            <m:t>L</m:t>
                          </m:r>
                        </m:e>
                        <m:sub>
                          <m:r>
                            <w:rPr>
                              <w:sz w:val="20"/>
                            </w:rPr>
                            <m:rPr>
                              <m:sty m:val="p"/>
                            </m:rPr>
                            <m:t>p</m:t>
                          </m:r>
                          <m:r>
                            <w:rPr>
                              <w:sz w:val="20"/>
                            </w:rPr>
                            <m:rPr>
                              <m:sty m:val="p"/>
                            </m:rPr>
                            <m:t>r</m:t>
                          </m:r>
                          <m:r>
                            <w:rPr>
                              <w:sz w:val="20"/>
                            </w:rPr>
                            <m:rPr>
                              <m:sty m:val="p"/>
                            </m:rPr>
                            <m:t>o</m:t>
                          </m:r>
                          <m:r>
                            <w:rPr>
                              <w:sz w:val="20"/>
                            </w:rPr>
                            <m:rPr>
                              <m:sty m:val="p"/>
                            </m:rPr>
                            <m:t>t</m:t>
                          </m:r>
                          <m:r>
                            <w:rPr>
                              <w:sz w:val="20"/>
                            </w:rPr>
                            <m:rPr>
                              <m:sty m:val="p"/>
                            </m:rPr>
                            <m:t>e</m:t>
                          </m:r>
                          <m:r>
                            <w:rPr>
                              <w:sz w:val="20"/>
                            </w:rPr>
                            <m:rPr>
                              <m:sty m:val="p"/>
                            </m:rPr>
                            <m:t>i</m:t>
                          </m:r>
                          <m:r>
                            <w:rPr>
                              <w:sz w:val="20"/>
                            </w:rPr>
                            <m:rPr>
                              <m:sty m:val="p"/>
                            </m:rPr>
                            <m:t>n</m:t>
                          </m:r>
                          <m:r>
                            <w:rPr>
                              <w:sz w:val="20"/>
                            </w:rPr>
                            <m:rPr>
                              <m:nor/>
                              <m:sty m:val="p"/>
                            </m:rPr>
                            <m:t>-</m:t>
                          </m:r>
                          <m:r>
                            <w:rPr>
                              <w:sz w:val="20"/>
                            </w:rPr>
                            <m:rPr>
                              <m:sty m:val="p"/>
                            </m:rPr>
                            <m:t>m</m:t>
                          </m:r>
                          <m:r>
                            <w:rPr>
                              <w:sz w:val="20"/>
                            </w:rPr>
                            <m:rPr>
                              <m:sty m:val="p"/>
                            </m:rPr>
                            <m:t>a</m:t>
                          </m:r>
                          <m:r>
                            <w:rPr>
                              <w:sz w:val="20"/>
                            </w:rPr>
                            <m:rPr>
                              <m:sty m:val="p"/>
                            </m:rPr>
                            <m:t>i</m:t>
                          </m:r>
                          <m:r>
                            <w:rPr>
                              <w:sz w:val="20"/>
                            </w:rPr>
                            <m:rPr>
                              <m:sty m:val="p"/>
                            </m:rPr>
                            <m:t>n</m:t>
                          </m:r>
                          <m:r>
                            <w:rPr>
                              <w:sz w:val="20"/>
                            </w:rPr>
                            <m:rPr>
                              <m:sty m:val="p"/>
                            </m:rPr>
                            <m:t>c</m:t>
                          </m:r>
                          <m:r>
                            <w:rPr>
                              <w:sz w:val="20"/>
                            </w:rPr>
                            <m:rPr>
                              <m:sty m:val="p"/>
                            </m:rPr>
                            <m:t>h</m:t>
                          </m:r>
                          <m:r>
                            <w:rPr>
                              <w:sz w:val="20"/>
                            </w:rPr>
                            <m:rPr>
                              <m:sty m:val="p"/>
                            </m:rPr>
                            <m:t>a</m:t>
                          </m:r>
                          <m:r>
                            <w:rPr>
                              <w:sz w:val="20"/>
                            </w:rPr>
                            <m:rPr>
                              <m:sty m:val="p"/>
                            </m:rPr>
                            <m:t>i</m:t>
                          </m:r>
                          <m:r>
                            <w:rPr>
                              <w:sz w:val="20"/>
                            </w:rPr>
                            <m:rPr>
                              <m:sty m:val="p"/>
                            </m:rPr>
                            <m:t>n</m:t>
                          </m:r>
                        </m:sub>
                      </m:sSub>
                      <m:r>
                        <w:rPr>
                          <w:sz w:val="20"/>
                        </w:rPr>
                        <m:rPr>
                          <m:sty m:val="p"/>
                        </m:rPr>
                        <m:t>+</m:t>
                      </m:r>
                      <m:r>
                        <w:rPr>
                          <w:sz w:val="20"/>
                        </w:rPr>
                        <m:t>0.05</m:t>
                      </m:r>
                      <m:sSub>
                        <m:e>
                          <m:r>
                            <w:rPr>
                              <w:sz w:val="20"/>
                            </w:rPr>
                            <m:rPr>
                              <m:scr m:val="script"/>
                              <m:sty m:val="p"/>
                            </m:rPr>
                            <m:t>L</m:t>
                          </m:r>
                        </m:e>
                        <m:sub>
                          <m:r>
                            <w:rPr>
                              <w:sz w:val="20"/>
                            </w:rPr>
                            <m:rPr>
                              <m:sty m:val="p"/>
                            </m:rPr>
                            <m:t>n</m:t>
                          </m:r>
                          <m:r>
                            <w:rPr>
                              <w:sz w:val="20"/>
                            </w:rPr>
                            <m:rPr>
                              <m:sty m:val="p"/>
                            </m:rPr>
                            <m:t>u</m:t>
                          </m:r>
                          <m:r>
                            <w:rPr>
                              <w:sz w:val="20"/>
                            </w:rPr>
                            <m:rPr>
                              <m:sty m:val="p"/>
                            </m:rPr>
                            <m:t>c</m:t>
                          </m:r>
                          <m:r>
                            <w:rPr>
                              <w:sz w:val="20"/>
                            </w:rPr>
                            <m:rPr>
                              <m:sty m:val="p"/>
                            </m:rPr>
                            <m:t>l</m:t>
                          </m:r>
                          <m:r>
                            <w:rPr>
                              <w:sz w:val="20"/>
                            </w:rPr>
                            <m:rPr>
                              <m:sty m:val="p"/>
                            </m:rPr>
                            <m:t>e</m:t>
                          </m:r>
                          <m:r>
                            <w:rPr>
                              <w:sz w:val="20"/>
                            </w:rPr>
                            <m:rPr>
                              <m:sty m:val="p"/>
                            </m:rPr>
                            <m:t>i</m:t>
                          </m:r>
                          <m:r>
                            <w:rPr>
                              <w:sz w:val="20"/>
                            </w:rPr>
                            <m:rPr>
                              <m:sty m:val="p"/>
                            </m:rPr>
                            <m:t>c</m:t>
                          </m:r>
                          <m:r>
                            <w:rPr>
                              <w:sz w:val="20"/>
                            </w:rPr>
                            <m:rPr>
                              <m:nor/>
                              <m:sty m:val="p"/>
                            </m:rPr>
                            <m:t>-</m:t>
                          </m:r>
                          <m:r>
                            <w:rPr>
                              <w:sz w:val="20"/>
                            </w:rPr>
                            <m:rPr>
                              <m:sty m:val="p"/>
                            </m:rPr>
                            <m:t>m</m:t>
                          </m:r>
                          <m:r>
                            <w:rPr>
                              <w:sz w:val="20"/>
                            </w:rPr>
                            <m:rPr>
                              <m:sty m:val="p"/>
                            </m:rPr>
                            <m:t>a</m:t>
                          </m:r>
                          <m:r>
                            <w:rPr>
                              <w:sz w:val="20"/>
                            </w:rPr>
                            <m:rPr>
                              <m:sty m:val="p"/>
                            </m:rPr>
                            <m:t>i</m:t>
                          </m:r>
                          <m:r>
                            <w:rPr>
                              <w:sz w:val="20"/>
                            </w:rPr>
                            <m:rPr>
                              <m:sty m:val="p"/>
                            </m:rPr>
                            <m:t>n</m:t>
                          </m:r>
                          <m:r>
                            <w:rPr>
                              <w:sz w:val="20"/>
                            </w:rPr>
                            <m:rPr>
                              <m:sty m:val="p"/>
                            </m:rPr>
                            <m:t>c</m:t>
                          </m:r>
                          <m:r>
                            <w:rPr>
                              <w:sz w:val="20"/>
                            </w:rPr>
                            <m:rPr>
                              <m:sty m:val="p"/>
                            </m:rPr>
                            <m:t>h</m:t>
                          </m:r>
                          <m:r>
                            <w:rPr>
                              <w:sz w:val="20"/>
                            </w:rPr>
                            <m:rPr>
                              <m:sty m:val="p"/>
                            </m:rPr>
                            <m:t>a</m:t>
                          </m:r>
                          <m:r>
                            <w:rPr>
                              <w:sz w:val="20"/>
                            </w:rPr>
                            <m:rPr>
                              <m:sty m:val="p"/>
                            </m:rPr>
                            <m:t>i</m:t>
                          </m:r>
                          <m:r>
                            <w:rPr>
                              <w:sz w:val="20"/>
                            </w:rPr>
                            <m:rPr>
                              <m:sty m:val="p"/>
                            </m:rPr>
                            <m:t>n</m:t>
                          </m:r>
                        </m:sub>
                      </m:sSub>
                    </m:e>
                  </m:groupChr>
                </m:e>
                <m:lim>
                  <m:r>
                    <w:rPr>
                      <w:sz w:val="20"/>
                    </w:rPr>
                    <m:rPr>
                      <m:nor/>
                      <m:sty m:val="p"/>
                    </m:rPr>
                    <m:t>voxel branch</m:t>
                  </m:r>
                </m:lim>
              </m:limLow>
            </m:e>
            <m:e>
              <m:r>
                <w:rPr>
                  <w:sz w:val="20"/>
                </w:rPr>
                <m:t>&amp;</m:t>
              </m:r>
              <m:r>
                <w:rPr>
                  <w:sz w:val="20"/>
                </w:rPr>
                <m:rPr>
                  <m:sty m:val="p"/>
                </m:rPr>
                <m:t>+</m:t>
              </m:r>
              <m:limLow>
                <m:e>
                  <m:groupChr>
                    <m:groupChrPr>
                      <m:chr m:val="⏟"/>
                      <m:pos m:val="bot"/>
                    </m:groupChrPr>
                    <m:e>
                      <m:sSub>
                        <m:e>
                          <m:r>
                            <w:rPr>
                              <w:sz w:val="20"/>
                            </w:rPr>
                            <m:rPr>
                              <m:scr m:val="script"/>
                              <m:sty m:val="p"/>
                            </m:rPr>
                            <m:t>L</m:t>
                          </m:r>
                        </m:e>
                        <m:sub>
                          <m:r>
                            <w:rPr>
                              <w:sz w:val="20"/>
                            </w:rPr>
                            <m:rPr>
                              <m:sty m:val="p"/>
                            </m:rPr>
                            <m:t>r</m:t>
                          </m:r>
                          <m:r>
                            <w:rPr>
                              <w:sz w:val="20"/>
                            </w:rPr>
                            <m:rPr>
                              <m:sty m:val="p"/>
                            </m:rPr>
                            <m:t>e</m:t>
                          </m:r>
                          <m:r>
                            <w:rPr>
                              <w:sz w:val="20"/>
                            </w:rPr>
                            <m:rPr>
                              <m:sty m:val="p"/>
                            </m:rPr>
                            <m:t>c</m:t>
                          </m:r>
                          <m:r>
                            <w:rPr>
                              <w:sz w:val="20"/>
                            </w:rPr>
                            <m:rPr>
                              <m:sty m:val="p"/>
                            </m:rPr>
                            <m:t>e</m:t>
                          </m:r>
                          <m:r>
                            <w:rPr>
                              <w:sz w:val="20"/>
                            </w:rPr>
                            <m:rPr>
                              <m:sty m:val="p"/>
                            </m:rPr>
                            <m:t>p</m:t>
                          </m:r>
                          <m:r>
                            <w:rPr>
                              <w:sz w:val="20"/>
                            </w:rPr>
                            <m:rPr>
                              <m:sty m:val="p"/>
                            </m:rPr>
                            <m:t>t</m:t>
                          </m:r>
                          <m:r>
                            <w:rPr>
                              <w:sz w:val="20"/>
                            </w:rPr>
                            <m:rPr>
                              <m:sty m:val="p"/>
                            </m:rPr>
                            <m:t>o</m:t>
                          </m:r>
                          <m:r>
                            <w:rPr>
                              <w:sz w:val="20"/>
                            </w:rPr>
                            <m:rPr>
                              <m:sty m:val="p"/>
                            </m:rPr>
                            <m:t>r</m:t>
                          </m:r>
                          <m:r>
                            <w:rPr>
                              <w:sz w:val="20"/>
                            </w:rPr>
                            <m:rPr>
                              <m:nor/>
                              <m:sty m:val="p"/>
                            </m:rPr>
                            <m:t>-</m:t>
                          </m:r>
                          <m:r>
                            <w:rPr>
                              <w:sz w:val="20"/>
                            </w:rPr>
                            <m:rPr>
                              <m:sty m:val="p"/>
                            </m:rPr>
                            <m:t>p</m:t>
                          </m:r>
                          <m:r>
                            <w:rPr>
                              <w:sz w:val="20"/>
                            </w:rPr>
                            <m:rPr>
                              <m:sty m:val="p"/>
                            </m:rPr>
                            <m:t>r</m:t>
                          </m:r>
                          <m:r>
                            <w:rPr>
                              <w:sz w:val="20"/>
                            </w:rPr>
                            <m:rPr>
                              <m:sty m:val="p"/>
                            </m:rPr>
                            <m:t>o</m:t>
                          </m:r>
                          <m:r>
                            <w:rPr>
                              <w:sz w:val="20"/>
                            </w:rPr>
                            <m:rPr>
                              <m:sty m:val="p"/>
                            </m:rPr>
                            <m:t>b</m:t>
                          </m:r>
                        </m:sub>
                      </m:sSub>
                      <m:r>
                        <w:rPr>
                          <w:sz w:val="20"/>
                        </w:rPr>
                        <m:rPr>
                          <m:sty m:val="p"/>
                        </m:rPr>
                        <m:t>+</m:t>
                      </m:r>
                      <m:r>
                        <w:rPr>
                          <w:sz w:val="20"/>
                        </w:rPr>
                        <m:t>0.1</m:t>
                      </m:r>
                      <m:sSub>
                        <m:e>
                          <m:r>
                            <w:rPr>
                              <w:sz w:val="20"/>
                            </w:rPr>
                            <m:rPr>
                              <m:scr m:val="script"/>
                              <m:sty m:val="p"/>
                            </m:rPr>
                            <m:t>L</m:t>
                          </m:r>
                        </m:e>
                        <m:sub>
                          <m:r>
                            <w:rPr>
                              <w:sz w:val="20"/>
                            </w:rPr>
                            <m:rPr>
                              <m:sty m:val="p"/>
                            </m:rPr>
                            <m:t>p</m:t>
                          </m:r>
                          <m:r>
                            <w:rPr>
                              <w:sz w:val="20"/>
                            </w:rPr>
                            <m:rPr>
                              <m:sty m:val="p"/>
                            </m:rPr>
                            <m:t>s</m:t>
                          </m:r>
                          <m:r>
                            <w:rPr>
                              <w:sz w:val="20"/>
                            </w:rPr>
                            <m:rPr>
                              <m:sty m:val="p"/>
                            </m:rPr>
                            <m:t>e</m:t>
                          </m:r>
                          <m:r>
                            <w:rPr>
                              <w:sz w:val="20"/>
                            </w:rPr>
                            <m:rPr>
                              <m:sty m:val="p"/>
                            </m:rPr>
                            <m:t>u</m:t>
                          </m:r>
                          <m:r>
                            <w:rPr>
                              <w:sz w:val="20"/>
                            </w:rPr>
                            <m:rPr>
                              <m:sty m:val="p"/>
                            </m:rPr>
                            <m:t>d</m:t>
                          </m:r>
                          <m:r>
                            <w:rPr>
                              <w:sz w:val="20"/>
                            </w:rPr>
                            <m:rPr>
                              <m:sty m:val="p"/>
                            </m:rPr>
                            <m:t>o</m:t>
                          </m:r>
                          <m:r>
                            <w:rPr>
                              <w:sz w:val="20"/>
                            </w:rPr>
                            <m:rPr>
                              <m:nor/>
                              <m:sty m:val="p"/>
                            </m:rPr>
                            <m:t>-</m:t>
                          </m:r>
                          <m:r>
                            <w:rPr>
                              <w:sz w:val="20"/>
                            </w:rPr>
                            <m:rPr>
                              <m:sty m:val="p"/>
                            </m:rPr>
                            <m:t>p</m:t>
                          </m:r>
                          <m:r>
                            <w:rPr>
                              <w:sz w:val="20"/>
                            </w:rPr>
                            <m:rPr>
                              <m:sty m:val="p"/>
                            </m:rPr>
                            <m:t>r</m:t>
                          </m:r>
                          <m:r>
                            <w:rPr>
                              <w:sz w:val="20"/>
                            </w:rPr>
                            <m:rPr>
                              <m:sty m:val="p"/>
                            </m:rPr>
                            <m:t>o</m:t>
                          </m:r>
                          <m:r>
                            <w:rPr>
                              <w:sz w:val="20"/>
                            </w:rPr>
                            <m:rPr>
                              <m:sty m:val="p"/>
                            </m:rPr>
                            <m:t>b</m:t>
                          </m:r>
                        </m:sub>
                      </m:sSub>
                    </m:e>
                  </m:groupChr>
                </m:e>
                <m:lim>
                  <m:r>
                    <w:rPr>
                      <w:sz w:val="20"/>
                    </w:rPr>
                    <m:rPr>
                      <m:nor/>
                      <m:sty m:val="p"/>
                    </m:rPr>
                    <m:t>point-cloud branch</m:t>
                  </m:r>
                </m:lim>
              </m:limLow>
              <m:r>
                <w:rPr>
                  <w:sz w:val="20"/>
                </w:rPr>
                <m:rPr>
                  <m:sty m:val="p"/>
                </m:rPr>
                <m:t>.</m:t>
              </m:r>
            </m:e>
          </m:eqArr>
        </m:oMath>
      </m:oMathPara>
    </w:p>
    <w:p>
      <w:pPr>
        <w:pStyle w:val="FirstParagraph"/>
        <w:spacing w:line="480" w:lineRule="auto" w:after="120"/>
        <w:ind w:firstLine="480"/>
      </w:pPr>
      <w:r>
        <w:rPr>
          <w:rFonts w:ascii="Times New Roman" w:hAnsi="Times New Roman"/>
          <w:sz w:val="24"/>
        </w:rPr>
        <w:t xml:space="preserve">For the voxel branch,</w:t>
      </w:r>
      <w:r>
        <w:rPr>
          <w:rFonts w:ascii="Times New Roman" w:hAnsi="Times New Roman"/>
          <w:sz w:val="24"/>
        </w:rP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a</m:t>
            </m:r>
            <m:r>
              <m:rPr>
                <m:sty m:val="p"/>
              </m:rPr>
              <m:t>r</m:t>
            </m:r>
            <m:r>
              <m:rPr>
                <m:sty m:val="p"/>
              </m:rPr>
              <m:t>e</m:t>
            </m:r>
            <m:r>
              <m:rPr>
                <m:sty m:val="p"/>
              </m:rPr>
              <m:t>a</m:t>
            </m:r>
          </m:sub>
        </m:sSub>
      </m:oMath>
      <w:r>
        <w:rPr>
          <w:rFonts w:ascii="Times New Roman" w:hAnsi="Times New Roman"/>
          <w:sz w:val="24"/>
        </w:rPr>
        <w:t xml:space="preserve"> </w:t>
      </w:r>
      <w:r>
        <w:rPr>
          <w:rFonts w:ascii="Times New Roman" w:hAnsi="Times New Roman"/>
          <w:sz w:val="24"/>
        </w:rPr>
        <w:t xml:space="preserve">is the primary supervision term. It compares ligand-region probabilities</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ascii="Times New Roman" w:hAnsi="Times New Roman"/>
          <w:sz w:val="24"/>
        </w:rPr>
        <w:t xml:space="preserve">from the main output head with the ground-truth binary labels</w:t>
      </w:r>
      <w:r>
        <w:rPr>
          <w:rFonts w:ascii="Times New Roman" w:hAnsi="Times New Roman"/>
          <w:sz w:val="24"/>
        </w:rPr>
        <w:t xml:space="preserve"> </w:t>
      </w:r>
      <m:oMath>
        <m:sSup>
          <m:e>
            <m:r>
              <m:t>Y</m:t>
            </m:r>
          </m:e>
          <m:sup>
            <m:r>
              <m:rPr>
                <m:sty m:val="p"/>
              </m:rPr>
              <m:t>*</m:t>
            </m:r>
          </m:sup>
        </m:sSup>
      </m:oMath>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Receptor-binding regions comprise voxels containing receptor atoms with a ligand atom within 4 Å. The loss</w:t>
      </w:r>
      <w:r>
        <w:rPr>
          <w:rFonts w:ascii="Times New Roman" w:hAnsi="Times New Roman"/>
          <w:sz w:val="24"/>
        </w:rP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a</m:t>
            </m:r>
            <m:r>
              <m:rPr>
                <m:sty m:val="p"/>
              </m:rPr>
              <m:t>r</m:t>
            </m:r>
            <m:r>
              <m:rPr>
                <m:sty m:val="p"/>
              </m:rPr>
              <m:t>e</m:t>
            </m:r>
            <m:r>
              <m:rPr>
                <m:sty m:val="p"/>
              </m:rPr>
              <m:t>a</m:t>
            </m:r>
          </m:sub>
        </m:sSub>
      </m:oMath>
      <w:r>
        <w:rPr>
          <w:rFonts w:ascii="Times New Roman" w:hAnsi="Times New Roman"/>
          <w:sz w:val="24"/>
        </w:rPr>
        <w:t xml:space="preserve"> </w:t>
      </w:r>
      <w:r>
        <w:rPr>
          <w:rFonts w:ascii="Times New Roman" w:hAnsi="Times New Roman"/>
          <w:sz w:val="24"/>
        </w:rPr>
        <w:t xml:space="preserve">provides supervision for the corresponding receptor-binding-region output head. The ligand-distance loss</w:t>
      </w:r>
      <w:r>
        <w:rPr>
          <w:rFonts w:ascii="Times New Roman" w:hAnsi="Times New Roman"/>
          <w:sz w:val="24"/>
        </w:rP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d</m:t>
            </m:r>
            <m:r>
              <m:rPr>
                <m:sty m:val="p"/>
              </m:rPr>
              <m:t>i</m:t>
            </m:r>
            <m:r>
              <m:rPr>
                <m:sty m:val="p"/>
              </m:rPr>
              <m:t>s</m:t>
            </m:r>
            <m:r>
              <m:rPr>
                <m:sty m:val="p"/>
              </m:rPr>
              <m:t>t</m:t>
            </m:r>
          </m:sub>
        </m:sSub>
      </m:oMath>
      <w:r>
        <w:rPr>
          <w:rFonts w:ascii="Times New Roman" w:hAnsi="Times New Roman"/>
          <w:sz w:val="24"/>
        </w:rPr>
        <w:t xml:space="preserve"> </w:t>
      </w:r>
      <w:r>
        <w:rPr>
          <w:rFonts w:ascii="Times New Roman" w:hAnsi="Times New Roman"/>
          <w:sz w:val="24"/>
        </w:rPr>
        <w:t xml:space="preserve">supervises the predicted inverse distance to the nearest ligand atom.</w:t>
      </w:r>
    </w:p>
    <w:p>
      <w:pPr>
        <w:pStyle w:val="BodyText"/>
        <w:spacing w:line="480" w:lineRule="auto" w:after="120"/>
        <w:ind w:firstLine="480"/>
      </w:pPr>
      <w:r>
        <w:rPr>
          <w:rFonts w:ascii="Times New Roman" w:hAnsi="Times New Roman"/>
          <w:sz w:val="24"/>
        </w:rPr>
        <w:t xml:space="preserve">The protein backbone head predicts probabilities over five channels: background, N, CA, C and O. The nucleic acid backbone head predicts probabilities over seven channels: background, P, O5′, C5′, C4′, C3′ and O3′. The corresponding heads are supervised by</w:t>
      </w:r>
      <w:r>
        <w:rPr>
          <w:rFonts w:ascii="Times New Roman" w:hAnsi="Times New Roman"/>
          <w:sz w:val="24"/>
        </w:rPr>
        <w:t xml:space="preserve"> </w:t>
      </w:r>
      <m:oMath>
        <m:sSub>
          <m:e>
            <m:r>
              <m:rPr>
                <m:scr m:val="script"/>
                <m:sty m:val="p"/>
              </m:rPr>
              <m:t>L</m:t>
            </m:r>
          </m:e>
          <m:sub>
            <m:r>
              <m:rPr>
                <m:sty m:val="p"/>
              </m:rPr>
              <m:t>p</m:t>
            </m:r>
            <m:r>
              <m:rPr>
                <m:sty m:val="p"/>
              </m:rPr>
              <m:t>r</m:t>
            </m:r>
            <m:r>
              <m:rPr>
                <m:sty m:val="p"/>
              </m:rPr>
              <m:t>o</m:t>
            </m:r>
            <m:r>
              <m:rPr>
                <m:sty m:val="p"/>
              </m:rPr>
              <m:t>t</m:t>
            </m:r>
            <m:r>
              <m:rPr>
                <m:sty m:val="p"/>
              </m:rPr>
              <m:t>e</m:t>
            </m:r>
            <m:r>
              <m:rPr>
                <m:sty m:val="p"/>
              </m:rPr>
              <m:t>i</m:t>
            </m:r>
            <m:r>
              <m:rPr>
                <m:sty m:val="p"/>
              </m:rPr>
              <m:t>n</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rPr>
                <m:scr m:val="script"/>
                <m:sty m:val="p"/>
              </m:rPr>
              <m:t>L</m:t>
            </m:r>
          </m:e>
          <m:sub>
            <m:r>
              <m:rPr>
                <m:sty m:val="p"/>
              </m:rPr>
              <m:t>n</m:t>
            </m:r>
            <m:r>
              <m:rPr>
                <m:sty m:val="p"/>
              </m:rPr>
              <m:t>u</m:t>
            </m:r>
            <m:r>
              <m:rPr>
                <m:sty m:val="p"/>
              </m:rPr>
              <m:t>c</m:t>
            </m:r>
            <m:r>
              <m:rPr>
                <m:sty m:val="p"/>
              </m:rPr>
              <m:t>l</m:t>
            </m:r>
            <m:r>
              <m:rPr>
                <m:sty m:val="p"/>
              </m:rPr>
              <m:t>e</m:t>
            </m:r>
            <m:r>
              <m:rPr>
                <m:sty m:val="p"/>
              </m:rPr>
              <m:t>i</m:t>
            </m:r>
            <m:r>
              <m:rPr>
                <m:sty m:val="p"/>
              </m:rPr>
              <m:t>c</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rPr>
          <w:rFonts w:ascii="Times New Roman" w:hAnsi="Times New Roman"/>
          <w:sz w:val="24"/>
        </w:rPr>
        <w:t xml:space="preserve">, respectively.</w:t>
      </w:r>
    </w:p>
    <w:p>
      <w:pPr>
        <w:pStyle w:val="BodyText"/>
        <w:spacing w:line="480" w:lineRule="auto" w:after="120"/>
        <w:ind w:firstLine="480"/>
      </w:pPr>
      <w:r>
        <w:rPr>
          <w:rFonts w:ascii="Times New Roman" w:hAnsi="Times New Roman"/>
          <w:sz w:val="24"/>
        </w:rPr>
        <w:t xml:space="preserve">The point-cloud branch performs binary classification of receptor atoms and sampled pseudo atoms. A receptor atom is positive if and only if a ligand atom lies within 4 Å. A pseudo atom is positive if and only if it lies within a ligand region. The loss</w:t>
      </w:r>
      <w:r>
        <w:rPr>
          <w:rFonts w:ascii="Times New Roman" w:hAnsi="Times New Roman"/>
          <w:sz w:val="24"/>
        </w:rP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p</m:t>
            </m:r>
            <m:r>
              <m:rPr>
                <m:sty m:val="p"/>
              </m:rPr>
              <m:t>r</m:t>
            </m:r>
            <m:r>
              <m:rPr>
                <m:sty m:val="p"/>
              </m:rPr>
              <m:t>o</m:t>
            </m:r>
            <m:r>
              <m:rPr>
                <m:sty m:val="p"/>
              </m:rPr>
              <m:t>b</m:t>
            </m:r>
          </m:sub>
        </m:sSub>
      </m:oMath>
      <w:r>
        <w:rPr>
          <w:rFonts w:ascii="Times New Roman" w:hAnsi="Times New Roman"/>
          <w:sz w:val="24"/>
        </w:rPr>
        <w:t xml:space="preserve"> </w:t>
      </w:r>
      <w:r>
        <w:rPr>
          <w:rFonts w:ascii="Times New Roman" w:hAnsi="Times New Roman"/>
          <w:sz w:val="24"/>
        </w:rPr>
        <w:t xml:space="preserve">supervises receptor atoms, whereas</w:t>
      </w:r>
      <w:r>
        <w:rPr>
          <w:rFonts w:ascii="Times New Roman" w:hAnsi="Times New Roman"/>
          <w:sz w:val="24"/>
        </w:rPr>
        <w:t xml:space="preserve"> </w:t>
      </w:r>
      <m:oMath>
        <m:sSub>
          <m:e>
            <m:r>
              <m:rPr>
                <m:scr m:val="script"/>
                <m:sty m:val="p"/>
              </m:rPr>
              <m:t>L</m:t>
            </m:r>
          </m:e>
          <m:sub>
            <m:r>
              <m:rPr>
                <m:sty m:val="p"/>
              </m:rPr>
              <m:t>p</m:t>
            </m:r>
            <m:r>
              <m:rPr>
                <m:sty m:val="p"/>
              </m:rPr>
              <m:t>s</m:t>
            </m:r>
            <m:r>
              <m:rPr>
                <m:sty m:val="p"/>
              </m:rPr>
              <m:t>e</m:t>
            </m:r>
            <m:r>
              <m:rPr>
                <m:sty m:val="p"/>
              </m:rPr>
              <m:t>u</m:t>
            </m:r>
            <m:r>
              <m:rPr>
                <m:sty m:val="p"/>
              </m:rPr>
              <m:t>d</m:t>
            </m:r>
            <m:r>
              <m:rPr>
                <m:sty m:val="p"/>
              </m:rPr>
              <m:t>o</m:t>
            </m:r>
            <m:r>
              <m:rPr>
                <m:nor/>
                <m:sty m:val="p"/>
              </m:rPr>
              <m:t>-</m:t>
            </m:r>
            <m:r>
              <m:rPr>
                <m:sty m:val="p"/>
              </m:rPr>
              <m:t>p</m:t>
            </m:r>
            <m:r>
              <m:rPr>
                <m:sty m:val="p"/>
              </m:rPr>
              <m:t>r</m:t>
            </m:r>
            <m:r>
              <m:rPr>
                <m:sty m:val="p"/>
              </m:rPr>
              <m:t>o</m:t>
            </m:r>
            <m:r>
              <m:rPr>
                <m:sty m:val="p"/>
              </m:rPr>
              <m:t>b</m:t>
            </m:r>
          </m:sub>
        </m:sSub>
      </m:oMath>
      <w:r>
        <w:rPr>
          <w:rFonts w:ascii="Times New Roman" w:hAnsi="Times New Roman"/>
          <w:sz w:val="24"/>
        </w:rPr>
        <w:t xml:space="preserve"> </w:t>
      </w:r>
      <w:r>
        <w:rPr>
          <w:rFonts w:ascii="Times New Roman" w:hAnsi="Times New Roman"/>
          <w:sz w:val="24"/>
        </w:rPr>
        <w:t xml:space="preserve">supervises pseudo atoms.</w:t>
      </w:r>
    </w:p>
    <w:p>
      <w:pPr>
        <w:pStyle w:val="BodyText"/>
        <w:spacing w:line="480" w:lineRule="auto" w:after="120"/>
        <w:ind w:firstLine="480"/>
      </w:pPr>
      <w:r>
        <w:rPr>
          <w:rFonts w:ascii="Times New Roman" w:hAnsi="Times New Roman"/>
          <w:sz w:val="24"/>
        </w:rPr>
        <w:t xml:space="preserve">The ligand-distance loss uses mean squared error (MSE) for the distance prediction. All other losses combine focal loss (</w:t>
      </w:r>
      <m:oMath>
        <m:r>
          <m:t>γ</m:t>
        </m:r>
        <m:r>
          <m:rPr>
            <m:sty m:val="p"/>
          </m:rPr>
          <m:t>=</m:t>
        </m:r>
        <m:r>
          <m:t>2</m:t>
        </m:r>
      </m:oMath>
      <w:r>
        <w:rPr>
          <w:rFonts w:ascii="Times New Roman" w:hAnsi="Times New Roman"/>
          <w:sz w:val="24"/>
        </w:rPr>
        <w:t xml:space="preserve">)</w:t>
      </w:r>
      <w:r>
        <w:rPr>
          <w:rStyle w:val="MDCITE_eJyLdsjJzDMyMDRPy09OzIkFACcmBQs"/>
          <w:rFonts w:ascii="Times New Roman" w:hAnsi="Times New Roman"/>
          <w:sz w:val="24"/>
          <w:vertAlign w:val="superscript"/>
        </w:rPr>
        <w:t xml:space="preserve">24</w:t>
      </w:r>
      <w:r>
        <w:rPr>
          <w:rFonts w:ascii="Times New Roman" w:hAnsi="Times New Roman"/>
          <w:sz w:val="24"/>
        </w:rPr>
        <w:t xml:space="preserve"> </w:t>
      </w:r>
      <w:r>
        <w:rPr>
          <w:rFonts w:ascii="Times New Roman" w:hAnsi="Times New Roman"/>
          <w:sz w:val="24"/>
        </w:rPr>
        <w:t xml:space="preserve">and Dice loss</w:t>
      </w:r>
      <w:r>
        <w:rPr>
          <w:rStyle w:val="MDCITE_eJyLdsjNzMlJLUksyjQyMDQry0stiQUATPQHQg"/>
          <w:rFonts w:ascii="Times New Roman" w:hAnsi="Times New Roman"/>
          <w:sz w:val="24"/>
          <w:vertAlign w:val="superscript"/>
        </w:rPr>
        <w:t xml:space="preserve">25</w:t>
      </w:r>
      <w:r>
        <w:rPr>
          <w:rFonts w:ascii="Times New Roman" w:hAnsi="Times New Roman"/>
          <w:sz w:val="24"/>
        </w:rPr>
        <w:t xml:space="preserve"> </w:t>
      </w:r>
      <w:r>
        <w:rPr>
          <w:rFonts w:ascii="Times New Roman" w:hAnsi="Times New Roman"/>
          <w:sz w:val="24"/>
        </w:rPr>
        <w:t xml:space="preserve">with weights of 0.7 and 0.3, respectively.</w:t>
      </w:r>
    </w:p>
    <w:bookmarkEnd w:id="82"/>
    <w:bookmarkStart w:id="83" w:name="inference-and-post-processing"/>
    <w:p>
      <w:pPr>
        <w:pStyle w:val="Heading3"/>
        <w:keepNext/>
        <w:spacing w:line="480" w:lineRule="auto"/>
        <w:ind w:firstLine="0"/>
      </w:pPr>
      <w:r>
        <w:rPr>
          <w:rFonts w:ascii="Times New Roman" w:hAnsi="Times New Roman"/>
          <w:sz w:val="24"/>
        </w:rPr>
        <w:t xml:space="preserve">Inference and post-processing</w:t>
      </w:r>
    </w:p>
    <w:p>
      <w:pPr>
        <w:pStyle w:val="FirstParagraph"/>
        <w:spacing w:line="480" w:lineRule="auto" w:after="120"/>
        <w:ind w:firstLine="480"/>
      </w:pPr>
      <w:r>
        <w:rPr>
          <w:rFonts w:ascii="Times New Roman" w:hAnsi="Times New Roman"/>
          <w:sz w:val="24"/>
        </w:rPr>
        <w:t xml:space="preserve">As in training, Find uses</w:t>
      </w:r>
      <w:r>
        <w:rPr>
          <w:rFonts w:ascii="Times New Roman" w:hAnsi="Times New Roman"/>
          <w:sz w:val="24"/>
        </w:rPr>
        <w:t xml:space="preserve"> </w:t>
      </w:r>
      <m:oMath>
        <m:sSup>
          <m:e>
            <m:r>
              <m:t>80</m:t>
            </m:r>
          </m:e>
          <m:sup>
            <m:r>
              <m:t>3</m:t>
            </m:r>
          </m:sup>
        </m:sSup>
      </m:oMath>
      <w:r>
        <w:rPr>
          <w:rFonts w:ascii="Times New Roman" w:hAnsi="Times New Roman"/>
          <w:sz w:val="24"/>
        </w:rPr>
        <w:t xml:space="preserve"> </w:t>
      </w:r>
      <w:r>
        <w:rPr>
          <w:rFonts w:ascii="Times New Roman" w:hAnsi="Times New Roman"/>
          <w:sz w:val="24"/>
        </w:rPr>
        <w:t xml:space="preserve">voxel blocks as its basic input during inference. Sliding-window inference with a stride of 30 and a Gaussian kernel with</w:t>
      </w:r>
      <w:r>
        <w:rPr>
          <w:rFonts w:ascii="Times New Roman" w:hAnsi="Times New Roman"/>
          <w:sz w:val="24"/>
        </w:rPr>
        <w:t xml:space="preserve"> </w:t>
      </w:r>
      <m:oMath>
        <m:r>
          <m:t>σ</m:t>
        </m:r>
        <m:r>
          <m:rPr>
            <m:sty m:val="p"/>
          </m:rPr>
          <m:t>=</m:t>
        </m:r>
        <m:r>
          <m:t>0.5</m:t>
        </m:r>
      </m:oMath>
      <w:r>
        <w:rPr>
          <w:rFonts w:ascii="Times New Roman" w:hAnsi="Times New Roman"/>
          <w:sz w:val="24"/>
        </w:rPr>
        <w:t xml:space="preserve"> </w:t>
      </w:r>
      <w:r>
        <w:rPr>
          <w:rFonts w:ascii="Times New Roman" w:hAnsi="Times New Roman"/>
          <w:sz w:val="24"/>
        </w:rPr>
        <w:t xml:space="preserve">produces the full ligand-region probability map</w:t>
      </w:r>
      <w:r>
        <w:rPr>
          <w:rFonts w:ascii="Times New Roman" w:hAnsi="Times New Roman"/>
          <w:sz w:val="24"/>
        </w:rPr>
        <w:t xml:space="preserve"> </w:t>
      </w:r>
      <m:oMath>
        <m:acc>
          <m:accPr>
            <m:chr m:val="̂"/>
          </m:accPr>
          <m:e>
            <m:r>
              <m:t>Y</m:t>
            </m:r>
          </m:e>
        </m:acc>
      </m:oMath>
      <w:r>
        <w:rPr>
          <w:rStyle w:val="MDCITE_eJyLdsgsTs0rTk01MjAyzMsrzUstiQUASzkHQg"/>
          <w:rFonts w:ascii="Times New Roman" w:hAnsi="Times New Roman"/>
          <w:sz w:val="24"/>
          <w:vertAlign w:val="superscript"/>
        </w:rPr>
        <w:t xml:space="preserve">26</w:t>
      </w:r>
      <w:r>
        <w:rPr>
          <w:rFonts w:ascii="Times New Roman" w:hAnsi="Times New Roman"/>
          <w:sz w:val="24"/>
        </w:rPr>
        <w:t xml:space="preserve">. We threshold this map at a fixed probability</w:t>
      </w:r>
      <w:r>
        <w:rPr>
          <w:rFonts w:ascii="Times New Roman" w:hAnsi="Times New Roman"/>
          <w:sz w:val="24"/>
        </w:rPr>
        <w:t xml:space="preserve"> </w:t>
      </w:r>
      <m:oMath>
        <m:sSub>
          <m:e>
            <m:r>
              <m:t>t</m:t>
            </m:r>
          </m:e>
          <m:sub>
            <m:r>
              <m:rPr>
                <m:sty m:val="p"/>
              </m:rPr>
              <m:t>s</m:t>
            </m:r>
            <m:r>
              <m:rPr>
                <m:sty m:val="p"/>
              </m:rPr>
              <m:t>e</m:t>
            </m:r>
            <m:r>
              <m:rPr>
                <m:sty m:val="p"/>
              </m:rPr>
              <m:t>m</m:t>
            </m:r>
          </m:sub>
        </m:sSub>
      </m:oMath>
      <w:r>
        <w:rPr>
          <w:rFonts w:ascii="Times New Roman" w:hAnsi="Times New Roman"/>
          <w:sz w:val="24"/>
        </w:rPr>
        <w:t xml:space="preserve"> </w:t>
      </w:r>
      <w:r>
        <w:rPr>
          <w:rFonts w:ascii="Times New Roman" w:hAnsi="Times New Roman"/>
          <w:sz w:val="24"/>
        </w:rPr>
        <w:t xml:space="preserve">to obtain candidate blobs, which are then filtered by Gaussian scoring. We selected</w:t>
      </w:r>
      <w:r>
        <w:rPr>
          <w:rFonts w:ascii="Times New Roman" w:hAnsi="Times New Roman"/>
          <w:sz w:val="24"/>
        </w:rPr>
        <w:t xml:space="preserve"> </w:t>
      </w:r>
      <m:oMath>
        <m:sSub>
          <m:e>
            <m:r>
              <m:t>t</m:t>
            </m:r>
          </m:e>
          <m:sub>
            <m:r>
              <m:rPr>
                <m:sty m:val="p"/>
              </m:rPr>
              <m:t>s</m:t>
            </m:r>
            <m:r>
              <m:rPr>
                <m:sty m:val="p"/>
              </m:rPr>
              <m:t>e</m:t>
            </m:r>
            <m:r>
              <m:rPr>
                <m:sty m:val="p"/>
              </m:rPr>
              <m:t>m</m:t>
            </m:r>
          </m:sub>
        </m:sSub>
      </m:oMath>
      <w:r>
        <w:rPr>
          <w:rFonts w:ascii="Times New Roman" w:hAnsi="Times New Roman"/>
          <w:sz w:val="24"/>
        </w:rPr>
        <w:t xml:space="preserve"> </w:t>
      </w:r>
      <w:r>
        <w:rPr>
          <w:rFonts w:ascii="Times New Roman" w:hAnsi="Times New Roman"/>
          <w:sz w:val="24"/>
        </w:rPr>
        <w:t xml:space="preserve">to maximise the semantic F1 score on the calibration set. Gaussian-scoring parameters were also searched on the calibration set, then fixed together with the probability threshold for testing.</w:t>
      </w:r>
    </w:p>
    <w:p>
      <w:pPr>
        <w:pStyle w:val="BodyText"/>
        <w:spacing w:line="480" w:lineRule="auto" w:after="120"/>
        <w:ind w:firstLine="480"/>
      </w:pPr>
      <w:r>
        <w:rPr>
          <w:rFonts w:ascii="Times New Roman" w:hAnsi="Times New Roman"/>
          <w:sz w:val="24"/>
        </w:rPr>
        <w:t xml:space="preserve">During inference, we apply 26-connected-component analysis to voxels satisfying</w:t>
      </w:r>
      <w:r>
        <w:rPr>
          <w:rFonts w:ascii="Times New Roman" w:hAnsi="Times New Roman"/>
          <w:sz w:val="24"/>
        </w:rPr>
        <w:t xml:space="preserve"> </w:t>
      </w:r>
      <m:oMath>
        <m:acc>
          <m:accPr>
            <m:chr m:val="̂"/>
          </m:accPr>
          <m:e>
            <m:r>
              <m:t>Y</m:t>
            </m:r>
          </m:e>
        </m:acc>
        <m:r>
          <m:rPr>
            <m:sty m:val="p"/>
          </m:rPr>
          <m:t>≥</m:t>
        </m:r>
        <m:sSub>
          <m:e>
            <m:r>
              <m:t>t</m:t>
            </m:r>
          </m:e>
          <m:sub>
            <m:r>
              <m:rPr>
                <m:sty m:val="p"/>
              </m:rPr>
              <m:t>s</m:t>
            </m:r>
            <m:r>
              <m:rPr>
                <m:sty m:val="p"/>
              </m:rPr>
              <m:t>e</m:t>
            </m:r>
            <m:r>
              <m:rPr>
                <m:sty m:val="p"/>
              </m:rPr>
              <m:t>m</m:t>
            </m:r>
          </m:sub>
        </m:sSub>
      </m:oMath>
      <w:r>
        <w:rPr>
          <w:rFonts w:ascii="Times New Roman" w:hAnsi="Times New Roman"/>
          <w:sz w:val="24"/>
        </w:rPr>
        <w:t xml:space="preserve">, yielding candidate ligand regions (blobs)</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We then compute a Gaussian score for each of these candidate regions as follows.</w:t>
      </w:r>
    </w:p>
    <w:p>
      <w:pPr>
        <w:pStyle w:val="BodyText"/>
        <w:spacing w:line="480" w:lineRule="auto" w:after="120"/>
        <w:ind w:firstLine="480"/>
      </w:pPr>
      <w:r>
        <w:rPr>
          <w:rFonts w:ascii="Times New Roman" w:hAnsi="Times New Roman"/>
          <w:sz w:val="24"/>
        </w:rPr>
        <w:t xml:space="preserve">For candidate</w:t>
      </w:r>
      <w:r>
        <w:rPr>
          <w:rFonts w:ascii="Times New Roman" w:hAnsi="Times New Roman"/>
          <w:sz w:val="24"/>
        </w:rPr>
        <w:t xml:space="preserve"> </w:t>
      </w:r>
      <m:oMath>
        <m:sSub>
          <m:e>
            <m:r>
              <m:t>B</m:t>
            </m:r>
          </m:e>
          <m:sub>
            <m:r>
              <m:t>j</m:t>
            </m:r>
          </m:sub>
        </m:sSub>
      </m:oMath>
      <w:r>
        <w:rPr>
          <w:rFonts w:ascii="Times New Roman" w:hAnsi="Times New Roman"/>
          <w:sz w:val="24"/>
        </w:rPr>
        <w:t xml:space="preserve">, let</w:t>
      </w:r>
      <w:r>
        <w:rPr>
          <w:rFonts w:ascii="Times New Roman" w:hAnsi="Times New Roman"/>
          <w:sz w:val="24"/>
        </w:rPr>
        <w:t xml:space="preserve"> </w:t>
      </w:r>
      <m:oMath>
        <m:sSub>
          <m:e>
            <m:acc>
              <m:accPr>
                <m:chr m:val="‾"/>
              </m:accPr>
              <m:e>
                <m:r>
                  <m:t>p</m:t>
                </m:r>
              </m:e>
            </m:acc>
          </m:e>
          <m:sub>
            <m:r>
              <m:t>j</m:t>
            </m:r>
          </m:sub>
        </m:sSub>
      </m:oMath>
      <w:r>
        <w:rPr>
          <w:rFonts w:ascii="Times New Roman" w:hAnsi="Times New Roman"/>
          <w:sz w:val="24"/>
        </w:rPr>
        <w:t xml:space="preserve"> </w:t>
      </w:r>
      <w:r>
        <w:rPr>
          <w:rFonts w:ascii="Times New Roman" w:hAnsi="Times New Roman"/>
          <w:sz w:val="24"/>
        </w:rPr>
        <w:t xml:space="preserve">denote the mean ligand-region probability within the candidate region. Let</w:t>
      </w:r>
      <w:r>
        <w:rPr>
          <w:rFonts w:ascii="Times New Roman" w:hAnsi="Times New Roman"/>
          <w:sz w:val="24"/>
        </w:rPr>
        <w:t xml:space="preserve"> </w:t>
      </w:r>
      <m:oMath>
        <m:sSub>
          <m:e>
            <m:r>
              <m:t>q</m:t>
            </m:r>
          </m:e>
          <m:sub>
            <m:r>
              <m:t>i</m:t>
            </m:r>
          </m:sub>
        </m:sSub>
      </m:oMath>
      <w:r>
        <w:rPr>
          <w:rFonts w:ascii="Times New Roman" w:hAnsi="Times New Roman"/>
          <w:sz w:val="24"/>
        </w:rPr>
        <w:t xml:space="preserve"> </w:t>
      </w:r>
      <w:r>
        <w:rPr>
          <w:rFonts w:ascii="Times New Roman" w:hAnsi="Times New Roman"/>
          <w:sz w:val="24"/>
        </w:rPr>
        <w:t xml:space="preserve">denote the binding probability of receptor atom</w:t>
      </w:r>
      <w:r>
        <w:rPr>
          <w:rFonts w:ascii="Times New Roman" w:hAnsi="Times New Roman"/>
          <w:sz w:val="24"/>
        </w:rPr>
        <w:t xml:space="preserve"> </w:t>
      </w:r>
      <m:oMath>
        <m:r>
          <m:t>i</m:t>
        </m:r>
      </m:oMath>
      <w:r>
        <w:rPr>
          <w:rFonts w:ascii="Times New Roman" w:hAnsi="Times New Roman"/>
          <w:sz w:val="24"/>
        </w:rPr>
        <w:t xml:space="preserve">. Let</w:t>
      </w:r>
      <w:r>
        <w:rPr>
          <w:rFonts w:ascii="Times New Roman" w:hAnsi="Times New Roman"/>
          <w:sz w:val="24"/>
        </w:rPr>
        <w:t xml:space="preserve"> </w:t>
      </w:r>
      <m:oMath>
        <m:sSub>
          <m:e>
            <m:r>
              <m:t>d</m:t>
            </m:r>
          </m:e>
          <m:sub>
            <m:r>
              <m:t>i</m:t>
            </m:r>
            <m:r>
              <m:t>j</m:t>
            </m:r>
          </m:sub>
        </m:sSub>
      </m:oMath>
      <w:r>
        <w:rPr>
          <w:rFonts w:ascii="Times New Roman" w:hAnsi="Times New Roman"/>
          <w:sz w:val="24"/>
        </w:rPr>
        <w:t xml:space="preserve"> </w:t>
      </w:r>
      <w:r>
        <w:rPr>
          <w:rFonts w:ascii="Times New Roman" w:hAnsi="Times New Roman"/>
          <w:sz w:val="24"/>
        </w:rPr>
        <w:t xml:space="preserve">denote the physical distance from that atom to the nearest voxel centre in</w:t>
      </w:r>
      <w:r>
        <w:rPr>
          <w:rFonts w:ascii="Times New Roman" w:hAnsi="Times New Roman"/>
          <w:sz w:val="24"/>
        </w:rPr>
        <w:t xml:space="preserve"> </w:t>
      </w:r>
      <m:oMath>
        <m:sSub>
          <m:e>
            <m:r>
              <m:t>B</m:t>
            </m:r>
          </m:e>
          <m:sub>
            <m:r>
              <m:t>j</m:t>
            </m:r>
          </m:sub>
        </m:sSub>
      </m:oMath>
      <w:r>
        <w:rPr>
          <w:rFonts w:ascii="Times New Roman" w:hAnsi="Times New Roman"/>
          <w:sz w:val="24"/>
        </w:rPr>
        <w:t xml:space="preserve">. The Gaussian candidate score</w:t>
      </w:r>
      <w:r>
        <w:rPr>
          <w:rFonts w:ascii="Times New Roman" w:hAnsi="Times New Roman"/>
          <w:sz w:val="24"/>
        </w:rPr>
        <w:t xml:space="preserve"> </w:t>
      </w:r>
      <m:oMath>
        <m:sSub>
          <m:e>
            <m:r>
              <m:t>s</m:t>
            </m:r>
          </m:e>
          <m:sub>
            <m:r>
              <m:t>j</m:t>
            </m:r>
          </m:sub>
        </m:sSub>
      </m:oMath>
      <w:r>
        <w:rPr>
          <w:rFonts w:ascii="Times New Roman" w:hAnsi="Times New Roman"/>
          <w:sz w:val="24"/>
        </w:rPr>
        <w:t xml:space="preserve"> </w:t>
      </w:r>
      <w:r>
        <w:rPr>
          <w:rFonts w:ascii="Times New Roman" w:hAnsi="Times New Roman"/>
          <w:sz w:val="24"/>
        </w:rPr>
        <w:t xml:space="preserve">for blob</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ascii="Times New Roman" w:hAnsi="Times New Roman"/>
          <w:sz w:val="24"/>
        </w:rPr>
        <w:t xml:space="preserve">is defined as:</w:t>
      </w:r>
    </w:p>
    <w:p>
      <w:pPr>
        <w:pStyle w:val="BodyText"/>
        <w:keepLines/>
        <w:spacing w:line="240" w:lineRule="auto" w:before="180" w:after="220"/>
        <w:ind w:firstLine="0"/>
        <w:jc w:val="center"/>
      </w:pPr>
      <m:oMathPara>
        <m:oMathParaPr>
          <m:jc m:val="center"/>
        </m:oMathParaPr>
        <m:oMath>
          <m:eqArr>
            <m:e>
              <m:r>
                <m:t>&amp;</m:t>
              </m:r>
              <m:sSub>
                <m:e>
                  <m:r>
                    <m:t>s</m:t>
                  </m:r>
                </m:e>
                <m:sub>
                  <m:r>
                    <m:t>j</m:t>
                  </m:r>
                </m:sub>
              </m:sSub>
              <m:r>
                <m:rPr>
                  <m:sty m:val="p"/>
                </m:rPr>
                <m:t>=</m:t>
              </m:r>
              <m:sSub>
                <m:e>
                  <m:acc>
                    <m:accPr>
                      <m:chr m:val="‾"/>
                    </m:accPr>
                    <m:e>
                      <m:r>
                        <m:t>p</m:t>
                      </m:r>
                    </m:e>
                  </m:acc>
                </m:e>
                <m:sub>
                  <m:r>
                    <m:t>j</m:t>
                  </m:r>
                </m:sub>
              </m:sSub>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sSub>
                <m:e>
                  <m:r>
                    <m:t>q</m:t>
                  </m:r>
                </m:e>
                <m:sub>
                  <m:r>
                    <m:t>i</m:t>
                  </m:r>
                </m:sub>
              </m:sSub>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r>
                <m:rPr>
                  <m:sty m:val="p"/>
                </m:rPr>
                <m:t>(</m:t>
              </m:r>
              <m:r>
                <m:t>1</m:t>
              </m:r>
              <m:r>
                <m:rPr>
                  <m:sty m:val="p"/>
                </m:rPr>
                <m:t>−</m:t>
              </m:r>
              <m:sSub>
                <m:e>
                  <m:r>
                    <m:t>q</m:t>
                  </m:r>
                </m:e>
                <m:sub>
                  <m:r>
                    <m:t>i</m:t>
                  </m:r>
                </m:sub>
              </m:sSub>
              <m:r>
                <m:rPr>
                  <m:sty m:val="p"/>
                </m:rPr>
                <m:t>)</m:t>
              </m:r>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e>
            <m:e>
              <m:r>
                <m:t>&amp;</m:t>
              </m:r>
              <m:sSub>
                <m:e>
                  <m:r>
                    <m:t>w</m:t>
                  </m:r>
                </m:e>
                <m:sub>
                  <m:r>
                    <m:t>i</m:t>
                  </m:r>
                  <m:r>
                    <m:t>j</m:t>
                  </m:r>
                </m:sub>
              </m:sSub>
              <m:r>
                <m:rPr>
                  <m:sty m:val="p"/>
                </m:rPr>
                <m:t>=</m:t>
              </m:r>
              <m:r>
                <m:rPr>
                  <m:sty m:val="p"/>
                </m:rPr>
                <m:t>exp</m:t>
              </m:r>
              <m:r>
                <m:t>​</m:t>
              </m:r>
              <m:d>
                <m:dPr>
                  <m:begChr m:val="("/>
                  <m:sepChr m:val=""/>
                  <m:endChr m:val=")"/>
                  <m:grow/>
                </m:dPr>
                <m:e>
                  <m:r>
                    <m:rPr>
                      <m:sty m:val="p"/>
                    </m:rPr>
                    <m:t>−</m:t>
                  </m:r>
                  <m:f>
                    <m:fPr>
                      <m:type m:val="bar"/>
                    </m:fPr>
                    <m:num>
                      <m:sSubSup>
                        <m:e>
                          <m:r>
                            <m:t>d</m:t>
                          </m:r>
                        </m:e>
                        <m:sub>
                          <m:r>
                            <m:t>i</m:t>
                          </m:r>
                          <m:r>
                            <m:t>j</m:t>
                          </m:r>
                        </m:sub>
                        <m:sup>
                          <m:r>
                            <m:t>2</m:t>
                          </m:r>
                        </m:sup>
                      </m:sSubSup>
                    </m:num>
                    <m:den>
                      <m:r>
                        <m:t>2</m:t>
                      </m:r>
                      <m:sSup>
                        <m:e>
                          <m:r>
                            <m:t>τ</m:t>
                          </m:r>
                        </m:e>
                        <m:sup>
                          <m:r>
                            <m:t>2</m:t>
                          </m:r>
                        </m:sup>
                      </m:sSup>
                    </m:den>
                  </m:f>
                </m:e>
              </m:d>
              <m:r>
                <m:rPr>
                  <m:sty m:val="p"/>
                </m:rPr>
                <m:t>.</m:t>
              </m:r>
            </m:e>
          </m:eqArr>
        </m:oMath>
      </m:oMathPara>
    </w:p>
    <w:p>
      <w:pPr>
        <w:pStyle w:val="FirstParagraph"/>
        <w:spacing w:line="480" w:lineRule="auto" w:after="120"/>
        <w:ind w:firstLine="480"/>
      </w:pPr>
      <w:r>
        <w:rPr>
          <w:rFonts w:ascii="Times New Roman" w:hAnsi="Times New Roman"/>
          <w:sz w:val="24"/>
        </w:rPr>
        <w:t xml:space="preserve">Candidate</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ascii="Times New Roman" w:hAnsi="Times New Roman"/>
          <w:sz w:val="24"/>
        </w:rPr>
        <w:t xml:space="preserve">is predicted as positive if and only if</w:t>
      </w:r>
      <w:r>
        <w:rPr>
          <w:rFonts w:ascii="Times New Roman" w:hAnsi="Times New Roman"/>
          <w:sz w:val="24"/>
        </w:rPr>
        <w:t xml:space="preserve"> </w:t>
      </w:r>
      <m:oMath>
        <m:sSub>
          <m:e>
            <m:r>
              <m:t>s</m:t>
            </m:r>
          </m:e>
          <m:sub>
            <m:r>
              <m:t>j</m:t>
            </m:r>
          </m:sub>
        </m:sSub>
      </m:oMath>
      <w:r>
        <w:rPr>
          <w:rFonts w:ascii="Times New Roman" w:hAnsi="Times New Roman"/>
          <w:sz w:val="24"/>
        </w:rPr>
        <w:t xml:space="preserve"> </w:t>
      </w:r>
      <w:r>
        <w:rPr>
          <w:rFonts w:ascii="Times New Roman" w:hAnsi="Times New Roman"/>
          <w:sz w:val="24"/>
        </w:rPr>
        <w:t xml:space="preserve">exceeds the fixed Gaussian-score threshold</w:t>
      </w:r>
      <w:r>
        <w:rPr>
          <w:rFonts w:ascii="Times New Roman" w:hAnsi="Times New Roman"/>
          <w:sz w:val="24"/>
        </w:rPr>
        <w:t xml:space="preserve"> </w:t>
      </w:r>
      <m:oMath>
        <m:acc>
          <m:accPr>
            <m:chr m:val="‾"/>
          </m:accPr>
          <m:e>
            <m:r>
              <m:t>s</m:t>
            </m:r>
          </m:e>
        </m:acc>
      </m:oMath>
      <w:r>
        <w:rPr>
          <w:rFonts w:ascii="Times New Roman" w:hAnsi="Times New Roman"/>
          <w:sz w:val="24"/>
        </w:rPr>
        <w:t xml:space="preserve"> </w:t>
      </w:r>
      <w:r>
        <w:rPr>
          <w:rFonts w:ascii="Times New Roman" w:hAnsi="Times New Roman"/>
          <w:sz w:val="24"/>
        </w:rPr>
        <w:t xml:space="preserve">and its voxel count exceeds</w:t>
      </w:r>
      <w:r>
        <w:rPr>
          <w:rFonts w:ascii="Times New Roman" w:hAnsi="Times New Roman"/>
          <w:sz w:val="24"/>
        </w:rPr>
        <w:t xml:space="preserve"> </w:t>
      </w:r>
      <m:oMath>
        <m:sSub>
          <m:e>
            <m:r>
              <m:rPr>
                <m:sty m:val="i"/>
              </m:rPr>
              <m:t>v</m:t>
            </m:r>
          </m:e>
          <m:sub>
            <m:r>
              <m:rPr>
                <m:sty m:val="i"/>
              </m:rPr>
              <m:t>m</m:t>
            </m:r>
            <m:r>
              <m:rPr>
                <m:sty m:val="i"/>
              </m:rPr>
              <m:t>i</m:t>
            </m:r>
            <m:r>
              <m:rPr>
                <m:sty m:val="i"/>
              </m:rPr>
              <m:t>n</m:t>
            </m:r>
          </m:sub>
        </m:sSub>
      </m:oMath>
      <w:r>
        <w:rPr>
          <w:rFonts w:ascii="Times New Roman" w:hAnsi="Times New Roman"/>
          <w:sz w:val="24"/>
        </w:rPr>
        <w:t xml:space="preserve">. We searched the Gaussian width</w:t>
      </w:r>
      <w:r>
        <w:rPr>
          <w:rFonts w:ascii="Times New Roman" w:hAnsi="Times New Roman"/>
          <w:sz w:val="24"/>
        </w:rPr>
        <w:t xml:space="preserve"> </w:t>
      </w:r>
      <m:oMath>
        <m:r>
          <m:t>τ</m:t>
        </m:r>
      </m:oMath>
      <w:r>
        <w:rPr>
          <w:rFonts w:ascii="Times New Roman" w:hAnsi="Times New Roman"/>
          <w:sz w:val="24"/>
        </w:rPr>
        <w:t xml:space="preserve">, coefficients</w:t>
      </w:r>
      <w:r>
        <w:rPr>
          <w:rFonts w:ascii="Times New Roman" w:hAnsi="Times New Roman"/>
          <w:sz w:val="24"/>
        </w:rPr>
        <w:t xml:space="preserve"> </w:t>
      </w:r>
      <m:oMath>
        <m:sSub>
          <m:e>
            <m:r>
              <m:t>λ</m:t>
            </m:r>
          </m:e>
          <m:sub>
            <m:r>
              <m:rPr>
                <m:sty m:val="p"/>
              </m:rPr>
              <m:t>+</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λ</m:t>
            </m:r>
          </m:e>
          <m:sub>
            <m:r>
              <m:rPr>
                <m:sty m:val="p"/>
              </m:rPr>
              <m:t>−</m:t>
            </m:r>
          </m:sub>
        </m:sSub>
      </m:oMath>
      <w:r>
        <w:rPr>
          <w:rFonts w:ascii="Times New Roman" w:hAnsi="Times New Roman"/>
          <w:sz w:val="24"/>
        </w:rPr>
        <w:t xml:space="preserve">, score threshold</w:t>
      </w:r>
      <w:r>
        <w:rPr>
          <w:rFonts w:ascii="Times New Roman" w:hAnsi="Times New Roman"/>
          <w:sz w:val="24"/>
        </w:rPr>
        <w:t xml:space="preserve"> </w:t>
      </w:r>
      <m:oMath>
        <m:acc>
          <m:accPr>
            <m:chr m:val="‾"/>
          </m:accPr>
          <m:e>
            <m:r>
              <m:t>s</m:t>
            </m:r>
          </m:e>
        </m:acc>
      </m:oMath>
      <w:r>
        <w:rPr>
          <w:rFonts w:ascii="Times New Roman" w:hAnsi="Times New Roman"/>
          <w:sz w:val="24"/>
        </w:rPr>
        <w:t xml:space="preserve"> </w:t>
      </w:r>
      <w:r>
        <w:rPr>
          <w:rFonts w:ascii="Times New Roman" w:hAnsi="Times New Roman"/>
          <w:sz w:val="24"/>
        </w:rPr>
        <w:t xml:space="preserve">and minimum voxel count</w:t>
      </w:r>
      <w:r>
        <w:rPr>
          <w:rFonts w:ascii="Times New Roman" w:hAnsi="Times New Roman"/>
          <w:sz w:val="24"/>
        </w:rPr>
        <w:t xml:space="preserve"> </w:t>
      </w:r>
      <m:oMath>
        <m:sSub>
          <m:e>
            <m:r>
              <m:rPr>
                <m:sty m:val="i"/>
              </m:rPr>
              <m:t>v</m:t>
            </m:r>
          </m:e>
          <m:sub>
            <m:r>
              <m:rPr>
                <m:sty m:val="i"/>
              </m:rPr>
              <m:t>m</m:t>
            </m:r>
            <m:r>
              <m:rPr>
                <m:sty m:val="i"/>
              </m:rPr>
              <m:t>i</m:t>
            </m:r>
            <m:r>
              <m:rPr>
                <m:sty m:val="i"/>
              </m:rPr>
              <m:t>n</m:t>
            </m:r>
          </m:sub>
        </m:sSub>
      </m:oMath>
      <w:r>
        <w:rPr>
          <w:rFonts w:ascii="Times New Roman" w:hAnsi="Times New Roman"/>
          <w:sz w:val="24"/>
        </w:rPr>
        <w:t xml:space="preserve"> </w:t>
      </w:r>
      <w:r>
        <w:rPr>
          <w:rFonts w:ascii="Times New Roman" w:hAnsi="Times New Roman"/>
          <w:sz w:val="24"/>
        </w:rPr>
        <w:t xml:space="preserve">on the calibration set. After calibration, all selected parameters remained fixed throughout subsequent testing.</w:t>
      </w:r>
    </w:p>
    <w:p>
      <w:pPr>
        <w:pStyle w:val="BodyText"/>
        <w:spacing w:line="480" w:lineRule="auto" w:after="120"/>
        <w:ind w:firstLine="480"/>
      </w:pPr>
      <w:r>
        <w:rPr>
          <w:rFonts w:ascii="Times New Roman" w:hAnsi="Times New Roman"/>
          <w:sz w:val="24"/>
        </w:rPr>
        <w:t xml:space="preserve">The first score term measures the candidate’s own density confidence. The second rewards nearby receptor atoms predicted to be close to a ligand, whereas the third penalises nearby receptor atoms predicted to be distant from ligands.</w:t>
      </w:r>
    </w:p>
    <w:bookmarkEnd w:id="83"/>
    <w:bookmarkEnd w:id="84"/>
    <w:bookmarkStart w:id="90" w:name="stage-2-match"/>
    <w:p>
      <w:pPr>
        <w:pStyle w:val="Heading2"/>
        <w:keepNext/>
        <w:spacing w:line="480" w:lineRule="auto"/>
        <w:ind w:firstLine="0"/>
      </w:pPr>
      <w:r>
        <w:rPr>
          <w:rFonts w:ascii="Times New Roman" w:hAnsi="Times New Roman"/>
          <w:sz w:val="24"/>
        </w:rPr>
        <w:t xml:space="preserve">Stage 2: Match</w:t>
      </w:r>
    </w:p>
    <w:bookmarkStart w:id="85" w:name="overview-1"/>
    <w:p>
      <w:pPr>
        <w:pStyle w:val="Heading3"/>
        <w:keepNext/>
        <w:spacing w:line="480" w:lineRule="auto"/>
        <w:ind w:firstLine="0"/>
      </w:pPr>
      <w:r>
        <w:rPr>
          <w:rFonts w:ascii="Times New Roman" w:hAnsi="Times New Roman"/>
          <w:sz w:val="24"/>
        </w:rPr>
        <w:t xml:space="preserve">Overview</w:t>
      </w:r>
    </w:p>
    <w:p>
      <w:pPr>
        <w:pStyle w:val="FirstParagraph"/>
        <w:spacing w:line="480" w:lineRule="auto" w:after="120"/>
        <w:ind w:firstLine="480"/>
      </w:pPr>
      <w:r>
        <w:rPr>
          <w:rFonts w:ascii="Times New Roman" w:hAnsi="Times New Roman"/>
          <w:sz w:val="24"/>
        </w:rPr>
        <w:t xml:space="preserve">Although Find can correctly localise a ligand region, conventional molecular docking still requires the ligand’s chemical identity, represented by its SMILES. Without identity information, Find and Build cannot complete end-to-end ligand discovery, identification and docking. Match fills this gap by assigning each blob predicted by Find to a ligand identity from the same PDB entry for subsequent docking in Build.</w:t>
      </w:r>
    </w:p>
    <w:p>
      <w:pPr>
        <w:pStyle w:val="BodyText"/>
        <w:spacing w:line="480" w:lineRule="auto" w:after="120"/>
        <w:ind w:firstLine="480"/>
      </w:pPr>
      <w:r>
        <w:rPr>
          <w:rFonts w:ascii="Times New Roman" w:hAnsi="Times New Roman"/>
          <w:sz w:val="24"/>
        </w:rPr>
        <w:t xml:space="preserve">After completing Find training and calibration, we froze its weights and performed full-map inference on 1,650 PDB entries from the training set. We saved the resulting blobs and associated candidate information for training and inference with the Match network.</w:t>
      </w:r>
    </w:p>
    <w:bookmarkEnd w:id="85"/>
    <w:bookmarkStart w:id="86" w:name="X181b68a713d2eeaa46c9ea847f44b33b75abd9c"/>
    <w:p>
      <w:pPr>
        <w:pStyle w:val="Heading3"/>
        <w:keepNext/>
        <w:spacing w:line="480" w:lineRule="auto"/>
        <w:ind w:firstLine="0"/>
      </w:pPr>
      <w:r>
        <w:rPr>
          <w:rFonts w:ascii="Times New Roman" w:hAnsi="Times New Roman"/>
          <w:sz w:val="24"/>
        </w:rPr>
        <w:t xml:space="preserve">Ligand-identity representation and encoding</w:t>
      </w:r>
    </w:p>
    <w:p>
      <w:pPr>
        <w:pStyle w:val="FirstParagraph"/>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w:t>
      </w:r>
      <w:r>
        <w:rPr>
          <w:rFonts w:ascii="Times New Roman" w:hAnsi="Times New Roman"/>
          <w:sz w:val="24"/>
        </w:rPr>
        <w:t xml:space="preserve">denote the chemical identities in a PDB entry, represented by SMILES. For each identity, the ligand language model SMI-TED</w:t>
      </w:r>
      <w:r>
        <w:rPr>
          <w:rStyle w:val="MDCITE_eJyLdijOTyxKLTYyMDItzs0sSU2JBQBDqwbV"/>
          <w:rFonts w:ascii="Times New Roman" w:hAnsi="Times New Roman"/>
          <w:sz w:val="24"/>
          <w:vertAlign w:val="superscript"/>
        </w:rPr>
        <w:t xml:space="preserve">27</w:t>
      </w:r>
      <w:r>
        <w:rPr>
          <w:rFonts w:ascii="Times New Roman" w:hAnsi="Times New Roman"/>
          <w:sz w:val="24"/>
        </w:rPr>
        <w:t xml:space="preserve"> </w:t>
      </w:r>
      <w:r>
        <w:rPr>
          <w:rFonts w:ascii="Times New Roman" w:hAnsi="Times New Roman"/>
          <w:sz w:val="24"/>
        </w:rPr>
        <w:t xml:space="preserve">produces a 768-dimensional feature vector. A linear layer embeds this vector into the language representation</w:t>
      </w:r>
      <w:r>
        <w:rPr>
          <w:rFonts w:ascii="Times New Roman" w:hAnsi="Times New Roman"/>
          <w:sz w:val="24"/>
        </w:rPr>
        <w:t xml:space="preserve"> </w:t>
      </w:r>
      <m:oMath>
        <m:sSubSup>
          <m:e>
            <m:r>
              <m:t>S</m:t>
            </m:r>
          </m:e>
          <m:sub>
            <m:r>
              <m:t>k</m:t>
            </m:r>
          </m:sub>
          <m:sup>
            <m:r>
              <m:t>l</m:t>
            </m:r>
            <m:r>
              <m:t>a</m:t>
            </m:r>
            <m:r>
              <m:t>n</m:t>
            </m:r>
            <m:r>
              <m:t>g</m:t>
            </m:r>
            <m:r>
              <m:t>u</m:t>
            </m:r>
            <m:r>
              <m:t>a</m:t>
            </m:r>
            <m:r>
              <m:t>g</m:t>
            </m:r>
            <m:r>
              <m:t>e</m:t>
            </m:r>
          </m:sup>
        </m:sSubSup>
        <m:r>
          <m:rPr>
            <m:sty m:val="p"/>
          </m:rPr>
          <m:t>∈</m:t>
        </m:r>
        <m:sSup>
          <m:e>
            <m:r>
              <m:t>R</m:t>
            </m:r>
          </m:e>
          <m:sup>
            <m:r>
              <m:t>256</m:t>
            </m:r>
          </m:sup>
        </m:sSup>
      </m:oMath>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In parallel, we use RDKit to generate ideal three-dimensional ligand conformations</w:t>
      </w:r>
      <w:r>
        <w:rPr>
          <w:rFonts w:ascii="Times New Roman" w:hAnsi="Times New Roman"/>
          <w:sz w:val="24"/>
        </w:rPr>
        <w:t xml:space="preserve"> </w:t>
      </w:r>
      <m:oMath>
        <m:r>
          <m:rPr>
            <m:sty m:val="p"/>
          </m:rPr>
          <m:t>{</m:t>
        </m:r>
        <m:sSubSup>
          <m:e>
            <m:r>
              <m:t>S</m:t>
            </m:r>
          </m:e>
          <m:sub>
            <m:r>
              <m:t>k</m:t>
            </m:r>
          </m:sub>
          <m:sup>
            <m:r>
              <m:t>g</m:t>
            </m:r>
            <m:r>
              <m:t>r</m:t>
            </m:r>
            <m:r>
              <m:t>a</m:t>
            </m:r>
            <m:r>
              <m:t>p</m:t>
            </m:r>
            <m:r>
              <m:t>h</m:t>
            </m:r>
          </m:sup>
        </m:sSubSup>
        <m:sSubSup>
          <m:e>
            <m:r>
              <m:rPr>
                <m:sty m:val="p"/>
              </m:rPr>
              <m:t>}</m:t>
            </m:r>
          </m:e>
          <m:sub>
            <m:r>
              <m:t>k</m:t>
            </m:r>
            <m:r>
              <m:rPr>
                <m:sty m:val="p"/>
              </m:rPr>
              <m:t>=</m:t>
            </m:r>
            <m:r>
              <m:t>1</m:t>
            </m:r>
          </m:sub>
          <m:sup>
            <m:r>
              <m:t>K</m:t>
            </m:r>
          </m:sup>
        </m:sSubSup>
      </m:oMath>
      <w:r>
        <w:rPr>
          <w:rFonts w:ascii="Times New Roman" w:hAnsi="Times New Roman"/>
          <w:sz w:val="24"/>
        </w:rPr>
        <w:t xml:space="preserve">, which are encoded as three-dimensional molecular graphs. Node features comprise atomic number, formal charge and ring information, whereas edge features comprise bond type and ring information.</w:t>
      </w:r>
    </w:p>
    <w:p>
      <w:pPr>
        <w:pStyle w:val="BodyText"/>
        <w:spacing w:line="480" w:lineRule="auto" w:after="120"/>
        <w:ind w:firstLine="480"/>
      </w:pPr>
      <w:r>
        <w:rPr>
          <w:rFonts w:ascii="Times New Roman" w:hAnsi="Times New Roman"/>
          <w:sz w:val="24"/>
        </w:rPr>
        <w:t xml:space="preserve">For each SMILES</w:t>
      </w:r>
      <w:r>
        <w:rPr>
          <w:rFonts w:ascii="Times New Roman" w:hAnsi="Times New Roman"/>
          <w:sz w:val="24"/>
        </w:rPr>
        <w:t xml:space="preserve"> </w:t>
      </w:r>
      <m:oMath>
        <m:sSub>
          <m:e>
            <m:r>
              <m:t>S</m:t>
            </m:r>
          </m:e>
          <m:sub>
            <m:r>
              <m:t>i</m:t>
            </m:r>
          </m:sub>
        </m:sSub>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its language representation serves as the query for two attention operations</w:t>
      </w:r>
      <w:r>
        <w:rPr>
          <w:rStyle w:val="MDCITE_eJyLdihLLC5PzMs0MjA0TywpSc0ryczPiwUAZH0Ikg"/>
          <w:rFonts w:ascii="Times New Roman" w:hAnsi="Times New Roman"/>
          <w:sz w:val="24"/>
          <w:vertAlign w:val="superscript"/>
        </w:rPr>
        <w:t xml:space="preserve">28</w:t>
      </w:r>
      <w:r>
        <w:rPr>
          <w:rFonts w:ascii="Times New Roman" w:hAnsi="Times New Roman"/>
          <w:sz w:val="24"/>
        </w:rPr>
        <w:t xml:space="preserve"> </w:t>
      </w:r>
      <w:r>
        <w:rPr>
          <w:rFonts w:ascii="Times New Roman" w:hAnsi="Times New Roman"/>
          <w:sz w:val="24"/>
        </w:rPr>
        <w:t xml:space="preserve">(</w:t>
      </w:r>
      <w:r>
        <w:rPr>
          <w:rStyle w:val="MDFIGREF_eJyrrk7LTC9KTbMCUrq5qSUZ-Sm6ZRY1SbW1AIspCjs"/>
          <w:rFonts w:ascii="Times New Roman" w:hAnsi="Times New Roman"/>
          <w:sz w:val="24"/>
        </w:rPr>
        <w:t xml:space="preserve">Fig. 2b</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Graph attention operates on its own molecular graph, whereas context attention operates on the language representations of other SMILES in the same PDB entry:</w:t>
      </w:r>
    </w:p>
    <w:p>
      <w:pPr>
        <w:pStyle w:val="BodyText"/>
        <w:keepLines/>
        <w:spacing w:line="240" w:lineRule="auto" w:before="180" w:after="220"/>
        <w:ind w:firstLine="0"/>
        <w:jc w:val="center"/>
      </w:pPr>
      <m:oMathPara>
        <m:oMathParaPr>
          <m:jc m:val="center"/>
        </m:oMathParaPr>
        <m:oMath>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sSubSup>
            <m:e>
              <m:r>
                <m:t>S</m:t>
              </m:r>
            </m:e>
            <m:sub>
              <m:r>
                <m:t>i</m:t>
              </m:r>
            </m:sub>
            <m:sup>
              <m:r>
                <m:t>g</m:t>
              </m:r>
              <m:r>
                <m:t>r</m:t>
              </m:r>
              <m:r>
                <m:t>a</m:t>
              </m:r>
              <m:r>
                <m:t>p</m:t>
              </m:r>
              <m:r>
                <m:t>h</m:t>
              </m:r>
            </m:sup>
          </m:sSubSup>
          <m:r>
            <m:rPr>
              <m:sty m:val="p"/>
            </m:rPr>
            <m:t>)</m:t>
          </m:r>
          <m:r>
            <m:rPr>
              <m:sty m:val="p"/>
            </m:rPr>
            <m:t>,</m:t>
          </m:r>
          <m:r>
            <m:t>  </m:t>
          </m:r>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r>
            <m:rPr>
              <m:sty m:val="p"/>
            </m:rPr>
            <m:t>{</m:t>
          </m:r>
          <m:sSubSup>
            <m:e>
              <m:r>
                <m:t>S</m:t>
              </m:r>
            </m:e>
            <m:sub>
              <m:r>
                <m:t>k</m:t>
              </m:r>
            </m:sub>
            <m:sup>
              <m:r>
                <m:t>l</m:t>
              </m:r>
              <m:r>
                <m:t>a</m:t>
              </m:r>
              <m:r>
                <m:t>n</m:t>
              </m:r>
              <m:r>
                <m:t>g</m:t>
              </m:r>
              <m:r>
                <m:t>u</m:t>
              </m:r>
              <m:r>
                <m:t>a</m:t>
              </m:r>
              <m:r>
                <m:t>g</m:t>
              </m:r>
              <m:r>
                <m:t>e</m:t>
              </m:r>
            </m:sup>
          </m:sSubSup>
          <m:sSub>
            <m:e>
              <m:r>
                <m:rPr>
                  <m:sty m:val="p"/>
                </m:rPr>
                <m:t>}</m:t>
              </m:r>
            </m:e>
            <m:sub>
              <m:r>
                <m:t>k</m:t>
              </m:r>
              <m:r>
                <m:rPr>
                  <m:sty m:val="p"/>
                </m:rPr>
                <m:t>≠</m:t>
              </m:r>
              <m:r>
                <m:t>i</m:t>
              </m:r>
            </m:sub>
          </m:sSub>
          <m:r>
            <m:rPr>
              <m:sty m:val="p"/>
            </m:rPr>
            <m:t>)</m:t>
          </m:r>
        </m:oMath>
      </m:oMathPara>
    </w:p>
    <w:p>
      <w:pPr>
        <w:pStyle w:val="FirstParagraph"/>
        <w:spacing w:line="480" w:lineRule="auto" w:after="120"/>
        <w:ind w:firstLine="480"/>
      </w:pPr>
      <w:r>
        <w:rPr>
          <w:rFonts w:ascii="Times New Roman" w:hAnsi="Times New Roman"/>
          <w:sz w:val="24"/>
        </w:rPr>
        <w:t xml:space="preserve">The final representation of ligand identity</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is</w:t>
      </w:r>
      <w:r>
        <w:rPr>
          <w:rFonts w:ascii="Times New Roman" w:hAnsi="Times New Roman"/>
          <w:sz w:val="24"/>
        </w:rPr>
        <w:t xml:space="preserve"> </w:t>
      </w:r>
      <m:oMath>
        <m:sSub>
          <m:e>
            <m:r>
              <m:t>g</m:t>
            </m:r>
          </m:e>
          <m:sub>
            <m:r>
              <m:t>k</m:t>
            </m:r>
          </m:sub>
        </m:sSub>
        <m:r>
          <m:rPr>
            <m:sty m:val="p"/>
          </m:rPr>
          <m:t>=</m:t>
        </m:r>
        <m:r>
          <m:rPr>
            <m:sty m:val="p"/>
          </m:rPr>
          <m:t>(</m:t>
        </m:r>
        <m:sSubSup>
          <m:e>
            <m:r>
              <m:t>S</m:t>
            </m:r>
          </m:e>
          <m:sub>
            <m:r>
              <m:t>k</m:t>
            </m:r>
          </m:sub>
          <m:sup>
            <m:r>
              <m:t>l</m:t>
            </m:r>
            <m:r>
              <m:t>a</m:t>
            </m:r>
            <m:r>
              <m:t>n</m:t>
            </m:r>
            <m:r>
              <m:t>g</m:t>
            </m:r>
            <m:r>
              <m:t>u</m:t>
            </m:r>
            <m:r>
              <m:t>a</m:t>
            </m:r>
            <m:r>
              <m:t>g</m:t>
            </m:r>
            <m:r>
              <m:t>e</m:t>
            </m:r>
          </m:sup>
        </m:sSubSup>
        <m:r>
          <m:rPr>
            <m:sty m:val="p"/>
          </m:rPr>
          <m:t>,</m:t>
        </m:r>
        <m:acc>
          <m:accPr>
            <m:chr m:val="̂"/>
          </m:accPr>
          <m:e>
            <m:sSub>
              <m:e>
                <m:r>
                  <m:t>S</m:t>
                </m:r>
              </m:e>
              <m:sub>
                <m:r>
                  <m:t>k</m:t>
                </m:r>
              </m:sub>
            </m:sSub>
          </m:e>
        </m:acc>
        <m:r>
          <m:rPr>
            <m:sty m:val="p"/>
          </m:rPr>
          <m:t>,</m:t>
        </m:r>
        <m:acc>
          <m:accPr>
            <m:chr m:val="̃"/>
          </m:accPr>
          <m:e>
            <m:sSub>
              <m:e>
                <m:r>
                  <m:t>S</m:t>
                </m:r>
              </m:e>
              <m:sub>
                <m:r>
                  <m:t>k</m:t>
                </m:r>
              </m:sub>
            </m:sSub>
          </m:e>
        </m:acc>
        <m:r>
          <m:rPr>
            <m:sty m:val="p"/>
          </m:rPr>
          <m:t>)</m:t>
        </m:r>
      </m:oMath>
      <w:r>
        <w:rPr>
          <w:rFonts w:ascii="Times New Roman" w:hAnsi="Times New Roman"/>
          <w:sz w:val="24"/>
        </w:rPr>
        <w:t xml:space="preserve">, combining its language, graph-attention and context-attention representations.</w:t>
      </w:r>
    </w:p>
    <w:bookmarkEnd w:id="86"/>
    <w:bookmarkStart w:id="87" w:name="X3ea166c1d7247fe31bf19592b3130f954c7c4b6"/>
    <w:p>
      <w:pPr>
        <w:pStyle w:val="Heading3"/>
        <w:keepNext/>
        <w:spacing w:line="480" w:lineRule="auto"/>
        <w:ind w:firstLine="0"/>
      </w:pPr>
      <w:r>
        <w:rPr>
          <w:rFonts w:ascii="Times New Roman" w:hAnsi="Times New Roman"/>
          <w:sz w:val="24"/>
        </w:rPr>
        <w:t xml:space="preserve">Candidate encoding and auxiliary-feature injection</w:t>
      </w:r>
    </w:p>
    <w:p>
      <w:pPr>
        <w:pStyle w:val="FirstParagraph"/>
        <w:spacing w:line="480" w:lineRule="auto" w:after="120"/>
        <w:ind w:firstLine="480"/>
      </w:pPr>
      <w:r>
        <w:rPr>
          <w:rFonts w:ascii="Times New Roman" w:hAnsi="Times New Roman"/>
          <w:sz w:val="24"/>
        </w:rPr>
        <w:t xml:space="preserve">Let</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ascii="Times New Roman" w:hAnsi="Times New Roman"/>
          <w:sz w:val="24"/>
        </w:rPr>
        <w:t xml:space="preserve">denote the candidate regions predicted by Find within the same PDB entry. Match extracts a</w:t>
      </w:r>
      <w:r>
        <w:rPr>
          <w:rFonts w:ascii="Times New Roman" w:hAnsi="Times New Roman"/>
          <w:sz w:val="24"/>
        </w:rPr>
        <w:t xml:space="preserve"> </w:t>
      </w:r>
      <m:oMath>
        <m:sSup>
          <m:e>
            <m:r>
              <m:t>48</m:t>
            </m:r>
          </m:e>
          <m:sup>
            <m:r>
              <m:t>3</m:t>
            </m:r>
          </m:sup>
        </m:sSup>
      </m:oMath>
      <w:r>
        <w:rPr>
          <w:rFonts w:ascii="Times New Roman" w:hAnsi="Times New Roman"/>
          <w:sz w:val="24"/>
        </w:rPr>
        <w:t xml:space="preserve"> </w:t>
      </w:r>
      <w:r>
        <w:rPr>
          <w:rFonts w:ascii="Times New Roman" w:hAnsi="Times New Roman"/>
          <w:sz w:val="24"/>
        </w:rPr>
        <w:t xml:space="preserve">voxel block centred on each candidate and constructs the 56-channel multi-view density bank defined above. The 50-dimensional receptor-atom features are scattered onto the same grid according to atom coordinates. Concatenating these inputs produces a base feature tensor of size</w:t>
      </w:r>
      <w:r>
        <w:rPr>
          <w:rFonts w:ascii="Times New Roman" w:hAnsi="Times New Roman"/>
          <w:sz w:val="24"/>
        </w:rPr>
        <w:t xml:space="preserve"> </w:t>
      </w:r>
      <m:oMath>
        <m:r>
          <m:t>106</m:t>
        </m:r>
        <m:r>
          <m:rPr>
            <m:sty m:val="p"/>
          </m:rPr>
          <m:t>×</m:t>
        </m:r>
        <m:sSup>
          <m:e>
            <m:r>
              <m:t>48</m:t>
            </m:r>
          </m:e>
          <m:sup>
            <m:r>
              <m:t>3</m:t>
            </m:r>
          </m:sup>
        </m:sSup>
      </m:oMath>
      <w:r>
        <w:rPr>
          <w:rFonts w:ascii="Times New Roman" w:hAnsi="Times New Roman"/>
          <w:sz w:val="24"/>
        </w:rPr>
        <w:t xml:space="preserve">. A U-Net encodes this tensor into a base summary vector</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w:t>
      </w:r>
      <w:r>
        <w:rPr>
          <w:rFonts w:ascii="Times New Roman" w:hAnsi="Times New Roman"/>
          <w:sz w:val="24"/>
        </w:rPr>
        <w:t xml:space="preserve">for the candidate.</w:t>
      </w:r>
    </w:p>
    <w:p>
      <w:pPr>
        <w:pStyle w:val="BodyText"/>
        <w:spacing w:line="480" w:lineRule="auto" w:after="120"/>
        <w:ind w:firstLine="480"/>
      </w:pPr>
      <w:r>
        <w:rPr>
          <w:rFonts w:ascii="Times New Roman" w:hAnsi="Times New Roman"/>
          <w:sz w:val="24"/>
        </w:rPr>
        <w:t xml:space="preserve">Match also incorporates auxiliary features from the surrounding pocket, defined as receptor atoms within the candidate region’s 10 Å envelope. Further auxiliary inputs include hidden features within the blob from the highest-resolution of the LigandSeek-Find 3D-UNet decoder, together with additionally sampled pseudo atoms and their features.</w:t>
      </w:r>
    </w:p>
    <w:p>
      <w:pPr>
        <w:pStyle w:val="BodyText"/>
        <w:spacing w:line="480" w:lineRule="auto" w:after="120"/>
        <w:ind w:firstLine="480"/>
      </w:pPr>
      <w:r>
        <w:rPr>
          <w:rFonts w:ascii="Times New Roman" w:hAnsi="Times New Roman"/>
          <w:sz w:val="24"/>
        </w:rPr>
        <w:t xml:space="preserve">Pooling and attention encode these auxiliary features to further modulate the base density summary</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For each auxiliary feature type, mean and maximum pooling produce a pooled summary vector. In parallel, cross-attention uses</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w:t>
      </w:r>
      <w:r>
        <w:rPr>
          <w:rFonts w:ascii="Times New Roman" w:hAnsi="Times New Roman"/>
          <w:sz w:val="24"/>
        </w:rPr>
        <w:t xml:space="preserve">as the query and the corresponding auxiliary features as keys and values to produce an attention summary vector. The two summary vectors are concatenated and passed through a MLP. A FiLM</w:t>
      </w:r>
      <w:r>
        <w:rPr>
          <w:rStyle w:val="MDCITE_eJyLdihILUqtMjIwtEjLzMmNBQAvOgWS"/>
          <w:rFonts w:ascii="Times New Roman" w:hAnsi="Times New Roman"/>
          <w:sz w:val="24"/>
          <w:vertAlign w:val="superscript"/>
        </w:rPr>
        <w:t xml:space="preserve">29</w:t>
      </w:r>
      <w:r>
        <w:rPr>
          <w:rFonts w:ascii="Times New Roman" w:hAnsi="Times New Roman"/>
          <w:sz w:val="24"/>
        </w:rPr>
        <w:t xml:space="preserve"> </w:t>
      </w:r>
      <w:r>
        <w:rPr>
          <w:rFonts w:ascii="Times New Roman" w:hAnsi="Times New Roman"/>
          <w:sz w:val="24"/>
        </w:rPr>
        <w:t xml:space="preserve">module then uses this output to modulate the base summary</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The modulated representation is used for both foreground classification and ligand-identity matching.</w:t>
      </w:r>
    </w:p>
    <w:bookmarkEnd w:id="87"/>
    <w:bookmarkStart w:id="88" w:name="scoring-and-selection"/>
    <w:p>
      <w:pPr>
        <w:pStyle w:val="Heading3"/>
        <w:keepNext/>
        <w:spacing w:line="480" w:lineRule="auto"/>
        <w:ind w:firstLine="0"/>
      </w:pPr>
      <w:r>
        <w:rPr>
          <w:rFonts w:ascii="Times New Roman" w:hAnsi="Times New Roman"/>
          <w:sz w:val="24"/>
        </w:rPr>
        <w:t xml:space="preserve">Scoring and selection</w:t>
      </w:r>
    </w:p>
    <w:p>
      <w:pPr>
        <w:pStyle w:val="FirstParagraph"/>
        <w:spacing w:line="480" w:lineRule="auto" w:after="120"/>
        <w:ind w:firstLine="480"/>
      </w:pPr>
      <w:r>
        <w:rPr>
          <w:rFonts w:ascii="Times New Roman" w:hAnsi="Times New Roman"/>
          <w:sz w:val="24"/>
        </w:rPr>
        <w:t xml:space="preserve">Suppose a PDB entry contains</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candidates</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valid SMILES identities</w:t>
      </w:r>
      <w:r>
        <w:rPr>
          <w:rFonts w:ascii="Times New Roman" w:hAnsi="Times New Roman"/>
          <w:sz w:val="24"/>
        </w:rP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LigandSeek-Match pairs each candidate representation with every ligand-identity representation from the same PDB entry to form a</w:t>
      </w:r>
      <w:r>
        <w:rPr>
          <w:rFonts w:ascii="Times New Roman" w:hAnsi="Times New Roman"/>
          <w:sz w:val="24"/>
        </w:rPr>
        <w:t xml:space="preserve"> </w:t>
      </w:r>
      <m:oMath>
        <m:r>
          <m:t>J</m:t>
        </m:r>
        <m:r>
          <m:rPr>
            <m:sty m:val="p"/>
          </m:rPr>
          <m:t>×</m:t>
        </m:r>
        <m:r>
          <m:t>K</m:t>
        </m:r>
      </m:oMath>
      <w:r>
        <w:rPr>
          <w:rFonts w:ascii="Times New Roman" w:hAnsi="Times New Roman"/>
          <w:sz w:val="24"/>
        </w:rPr>
        <w:t xml:space="preserve"> </w:t>
      </w:r>
      <w:r>
        <w:rPr>
          <w:rFonts w:ascii="Times New Roman" w:hAnsi="Times New Roman"/>
          <w:sz w:val="24"/>
        </w:rPr>
        <w:t xml:space="preserve">matching-score matrix. Its entry in row</w:t>
      </w:r>
      <w:r>
        <w:rPr>
          <w:rFonts w:ascii="Times New Roman" w:hAnsi="Times New Roman"/>
          <w:sz w:val="24"/>
        </w:rPr>
        <w:t xml:space="preserve"> </w:t>
      </w:r>
      <m:oMath>
        <m:r>
          <m:t>j</m:t>
        </m:r>
      </m:oMath>
      <w:r>
        <w:rPr>
          <w:rFonts w:ascii="Times New Roman" w:hAnsi="Times New Roman"/>
          <w:sz w:val="24"/>
        </w:rPr>
        <w:t xml:space="preserve"> </w:t>
      </w:r>
      <w:r>
        <w:rPr>
          <w:rFonts w:ascii="Times New Roman" w:hAnsi="Times New Roman"/>
          <w:sz w:val="24"/>
        </w:rPr>
        <w:t xml:space="preserve">and column</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is defined as:</w:t>
      </w:r>
    </w:p>
    <w:p>
      <w:pPr>
        <w:pStyle w:val="BodyText"/>
        <w:keepLines/>
        <w:spacing w:line="240" w:lineRule="auto" w:before="180" w:after="220"/>
        <w:ind w:firstLine="0"/>
        <w:jc w:val="center"/>
      </w:pPr>
      <m:oMathPara>
        <m:oMathParaPr>
          <m:jc m:val="center"/>
        </m:oMathParaPr>
        <m:oMath>
          <m:sSub>
            <m:e>
              <m:r>
                <m:t>s</m:t>
              </m:r>
            </m:e>
            <m:sub>
              <m:r>
                <m:t>j</m:t>
              </m:r>
              <m:r>
                <m:rPr>
                  <m:sty m:val="p"/>
                </m:rPr>
                <m:t>,</m:t>
              </m:r>
              <m:r>
                <m:t>k</m:t>
              </m:r>
            </m:sub>
          </m:sSub>
          <m:r>
            <m:rPr>
              <m:sty m:val="p"/>
            </m:rPr>
            <m:t>=</m:t>
          </m:r>
          <m:sSub>
            <m:e>
              <m:r>
                <m:t>f</m:t>
              </m:r>
            </m:e>
            <m:sub>
              <m:r>
                <m:rPr>
                  <m:sty m:val="p"/>
                </m:rPr>
                <m:t>m</m:t>
              </m:r>
              <m:r>
                <m:rPr>
                  <m:sty m:val="p"/>
                </m:rPr>
                <m:t>a</m:t>
              </m:r>
              <m:r>
                <m:rPr>
                  <m:sty m:val="p"/>
                </m:rPr>
                <m:t>t</m:t>
              </m:r>
              <m:r>
                <m:rPr>
                  <m:sty m:val="p"/>
                </m:rPr>
                <m:t>c</m:t>
              </m:r>
              <m:r>
                <m:rPr>
                  <m:sty m:val="p"/>
                </m:rPr>
                <m:t>h</m:t>
              </m:r>
            </m:sub>
          </m:sSub>
          <m:r>
            <m:rPr>
              <m:sty m:val="p"/>
            </m:rPr>
            <m:t>(</m:t>
          </m:r>
          <m:sSub>
            <m:e>
              <m:r>
                <m:t>h</m:t>
              </m:r>
            </m:e>
            <m:sub>
              <m:r>
                <m:t>j</m:t>
              </m:r>
            </m:sub>
          </m:sSub>
          <m:r>
            <m:rPr>
              <m:sty m:val="p"/>
            </m:rPr>
            <m:t>,</m:t>
          </m:r>
          <m:sSub>
            <m:e>
              <m:r>
                <m:t>g</m:t>
              </m:r>
            </m:e>
            <m:sub>
              <m:r>
                <m:t>k</m:t>
              </m:r>
            </m:sub>
          </m:sSub>
          <m:r>
            <m:rPr>
              <m:sty m:val="p"/>
            </m:rPr>
            <m:t>)</m:t>
          </m:r>
          <m:r>
            <m:rPr>
              <m:sty m:val="p"/>
            </m:rPr>
            <m:t>,</m:t>
          </m:r>
          <m:r>
            <m:t>  </m:t>
          </m:r>
          <m:r>
            <m:t>1</m:t>
          </m:r>
          <m:r>
            <m:rPr>
              <m:sty m:val="p"/>
            </m:rPr>
            <m:t>≤</m:t>
          </m:r>
          <m:r>
            <m:t>j</m:t>
          </m:r>
          <m:r>
            <m:rPr>
              <m:sty m:val="p"/>
            </m:rPr>
            <m:t>≤</m:t>
          </m:r>
          <m:r>
            <m:t>J</m:t>
          </m:r>
          <m:r>
            <m:rPr>
              <m:sty m:val="p"/>
            </m:rPr>
            <m:t>,</m:t>
          </m:r>
          <m:r>
            <m:t> </m:t>
          </m:r>
          <m:r>
            <m:t>1</m:t>
          </m:r>
          <m:r>
            <m:rPr>
              <m:sty m:val="p"/>
            </m:rPr>
            <m:t>≤</m:t>
          </m:r>
          <m:r>
            <m:t>k</m:t>
          </m:r>
          <m:r>
            <m:rPr>
              <m:sty m:val="p"/>
            </m:rPr>
            <m:t>≤</m:t>
          </m:r>
          <m:r>
            <m:t>K</m:t>
          </m:r>
          <m:r>
            <m:rPr>
              <m:sty m:val="p"/>
            </m:rPr>
            <m:t>.</m:t>
          </m:r>
        </m:oMath>
      </m:oMathPara>
    </w:p>
    <w:p>
      <w:pPr>
        <w:pStyle w:val="FirstParagraph"/>
        <w:spacing w:line="480" w:lineRule="auto" w:after="120"/>
        <w:ind w:firstLine="480"/>
      </w:pPr>
      <w:r>
        <w:rPr>
          <w:rFonts w:ascii="Times New Roman" w:hAnsi="Times New Roman"/>
          <w:sz w:val="24"/>
        </w:rPr>
        <w:t xml:space="preserve">Here,</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ascii="Times New Roman" w:hAnsi="Times New Roman"/>
          <w:sz w:val="24"/>
        </w:rPr>
        <w:t xml:space="preserve">is the candidate representation, and</w:t>
      </w:r>
      <w:r>
        <w:rPr>
          <w:rFonts w:ascii="Times New Roman" w:hAnsi="Times New Roman"/>
          <w:sz w:val="24"/>
        </w:rPr>
        <w:t xml:space="preserve"> </w:t>
      </w:r>
      <m:oMath>
        <m:sSub>
          <m:e>
            <m:r>
              <m:t>g</m:t>
            </m:r>
          </m:e>
          <m:sub>
            <m:r>
              <m:t>k</m:t>
            </m:r>
          </m:sub>
        </m:sSub>
      </m:oMath>
      <w:r>
        <w:rPr>
          <w:rFonts w:ascii="Times New Roman" w:hAnsi="Times New Roman"/>
          <w:sz w:val="24"/>
        </w:rPr>
        <w:t xml:space="preserve"> </w:t>
      </w:r>
      <w:r>
        <w:rPr>
          <w:rFonts w:ascii="Times New Roman" w:hAnsi="Times New Roman"/>
          <w:sz w:val="24"/>
        </w:rPr>
        <w:t xml:space="preserve">is the ligand-identity representation defined above. The function</w:t>
      </w:r>
      <w:r>
        <w:rPr>
          <w:rFonts w:ascii="Times New Roman" w:hAnsi="Times New Roman"/>
          <w:sz w:val="24"/>
        </w:rPr>
        <w:t xml:space="preserve"> </w:t>
      </w:r>
      <m:oMath>
        <m:sSub>
          <m:e>
            <m:r>
              <m:t>f</m:t>
            </m:r>
          </m:e>
          <m:sub>
            <m:r>
              <m:rPr>
                <m:sty m:val="p"/>
              </m:rPr>
              <m:t>m</m:t>
            </m:r>
            <m:r>
              <m:rPr>
                <m:sty m:val="p"/>
              </m:rPr>
              <m:t>a</m:t>
            </m:r>
            <m:r>
              <m:rPr>
                <m:sty m:val="p"/>
              </m:rPr>
              <m:t>t</m:t>
            </m:r>
            <m:r>
              <m:rPr>
                <m:sty m:val="p"/>
              </m:rPr>
              <m:t>c</m:t>
            </m:r>
            <m:r>
              <m:rPr>
                <m:sty m:val="p"/>
              </m:rPr>
              <m:t>h</m:t>
            </m:r>
          </m:sub>
        </m:sSub>
      </m:oMath>
      <w:r>
        <w:rPr>
          <w:rFonts w:ascii="Times New Roman" w:hAnsi="Times New Roman"/>
          <w:sz w:val="24"/>
        </w:rPr>
        <w:t xml:space="preserve"> </w:t>
      </w:r>
      <w:r>
        <w:rPr>
          <w:rFonts w:ascii="Times New Roman" w:hAnsi="Times New Roman"/>
          <w:sz w:val="24"/>
        </w:rPr>
        <w:t xml:space="preserve">applies separate learnable linear projections to</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g</m:t>
            </m:r>
          </m:e>
          <m:sub>
            <m:r>
              <m:t>k</m:t>
            </m:r>
          </m:sub>
        </m:sSub>
      </m:oMath>
      <w:r>
        <w:rPr>
          <w:rFonts w:ascii="Times New Roman" w:hAnsi="Times New Roman"/>
          <w:sz w:val="24"/>
        </w:rPr>
        <w:t xml:space="preserve">, then computes their cosine similarity to produce the raw score</w:t>
      </w:r>
      <w:r>
        <w:rPr>
          <w:rFonts w:ascii="Times New Roman" w:hAnsi="Times New Roman"/>
          <w:sz w:val="24"/>
        </w:rPr>
        <w:t xml:space="preserve"> </w:t>
      </w:r>
      <m:oMath>
        <m:sSub>
          <m:e>
            <m:r>
              <m:t>s</m:t>
            </m:r>
          </m:e>
          <m:sub>
            <m:r>
              <m:t>j</m:t>
            </m:r>
            <m:r>
              <m:rPr>
                <m:sty m:val="p"/>
              </m:rPr>
              <m:t>,</m:t>
            </m:r>
            <m:r>
              <m:t>k</m:t>
            </m:r>
          </m:sub>
        </m:sSub>
      </m:oMath>
      <w:r>
        <w:rPr>
          <w:rFonts w:ascii="Times New Roman" w:hAnsi="Times New Roman"/>
          <w:sz w:val="24"/>
        </w:rPr>
        <w:t xml:space="preserve">. For candidate</w:t>
      </w:r>
      <w:r>
        <w:rPr>
          <w:rFonts w:ascii="Times New Roman" w:hAnsi="Times New Roman"/>
          <w:sz w:val="24"/>
        </w:rPr>
        <w:t xml:space="preserve"> </w:t>
      </w:r>
      <m:oMath>
        <m:sSub>
          <m:e>
            <m:r>
              <m:t>B</m:t>
            </m:r>
          </m:e>
          <m:sub>
            <m:r>
              <m:t>j</m:t>
            </m:r>
          </m:sub>
        </m:sSub>
      </m:oMath>
      <w:r>
        <w:rPr>
          <w:rFonts w:ascii="Times New Roman" w:hAnsi="Times New Roman"/>
          <w:sz w:val="24"/>
        </w:rPr>
        <w:t xml:space="preserve">, the ligand identity with the highest score is predicted as:</w:t>
      </w:r>
    </w:p>
    <w:p>
      <w:pPr>
        <w:pStyle w:val="BodyText"/>
        <w:keepLines/>
        <w:spacing w:line="240" w:lineRule="auto" w:before="180" w:after="220"/>
        <w:ind w:firstLine="0"/>
        <w:jc w:val="center"/>
      </w:pPr>
      <m:oMathPara>
        <m:oMathParaPr>
          <m:jc m:val="center"/>
        </m:oMathParaPr>
        <m:oMath>
          <m:sSub>
            <m:e>
              <m:acc>
                <m:accPr>
                  <m:chr m:val="̂"/>
                </m:accPr>
                <m:e>
                  <m:r>
                    <m:t>k</m:t>
                  </m:r>
                </m:e>
              </m:acc>
            </m:e>
            <m:sub>
              <m:r>
                <m:t>j</m:t>
              </m:r>
            </m:sub>
          </m:sSub>
          <m:r>
            <m:rPr>
              <m:sty m:val="p"/>
            </m:rPr>
            <m:t>=</m:t>
          </m:r>
          <m:limLow>
            <m:e>
              <m:r>
                <m:rPr>
                  <m:sty m:val="p"/>
                </m:rPr>
                <m:t>arg</m:t>
              </m:r>
              <m:r>
                <m:rPr>
                  <m:sty m:val="p"/>
                </m:rPr>
                <m:t>max</m:t>
              </m:r>
            </m:e>
            <m:lim>
              <m:r>
                <m:t>1</m:t>
              </m:r>
              <m:r>
                <m:rPr>
                  <m:sty m:val="p"/>
                </m:rPr>
                <m:t>≤</m:t>
              </m:r>
              <m:r>
                <m:t>k</m:t>
              </m:r>
              <m:r>
                <m:rPr>
                  <m:sty m:val="p"/>
                </m:rPr>
                <m:t>≤</m:t>
              </m:r>
              <m:r>
                <m:t>K</m:t>
              </m:r>
            </m:lim>
          </m:limLow>
          <m:r>
            <m:t> </m:t>
          </m:r>
          <m:sSub>
            <m:e>
              <m:r>
                <m:t>s</m:t>
              </m:r>
            </m:e>
            <m:sub>
              <m:r>
                <m:t>j</m:t>
              </m:r>
              <m:r>
                <m:rPr>
                  <m:sty m:val="p"/>
                </m:rPr>
                <m:t>,</m:t>
              </m:r>
              <m:r>
                <m:t>k</m:t>
              </m:r>
            </m:sub>
          </m:sSub>
          <m:r>
            <m:rPr>
              <m:sty m:val="p"/>
            </m:rPr>
            <m:t>,</m:t>
          </m:r>
          <m:r>
            <m:t>  </m:t>
          </m:r>
          <m:sSub>
            <m:e>
              <m:acc>
                <m:accPr>
                  <m:chr m:val="̂"/>
                </m:accPr>
                <m:e>
                  <m:r>
                    <m:t>S</m:t>
                  </m:r>
                </m:e>
              </m:acc>
            </m:e>
            <m:sub>
              <m:r>
                <m:t>j</m:t>
              </m:r>
            </m:sub>
          </m:sSub>
          <m:r>
            <m:rPr>
              <m:sty m:val="p"/>
            </m:rPr>
            <m:t>=</m:t>
          </m:r>
          <m:sSub>
            <m:e>
              <m:r>
                <m:t>S</m:t>
              </m:r>
            </m:e>
            <m:sub>
              <m:sSub>
                <m:e>
                  <m:acc>
                    <m:accPr>
                      <m:chr m:val="̂"/>
                    </m:accPr>
                    <m:e>
                      <m:r>
                        <m:t>k</m:t>
                      </m:r>
                    </m:e>
                  </m:acc>
                </m:e>
                <m:sub>
                  <m:r>
                    <m:t>j</m:t>
                  </m:r>
                </m:sub>
              </m:sSub>
            </m:sub>
          </m:sSub>
          <m:r>
            <m:rPr>
              <m:sty m:val="p"/>
            </m:rPr>
            <m:t>.</m:t>
          </m:r>
        </m:oMath>
      </m:oMathPara>
    </w:p>
    <w:p>
      <w:pPr>
        <w:pStyle w:val="FirstParagraph"/>
        <w:spacing w:line="480" w:lineRule="auto" w:after="120"/>
        <w:ind w:firstLine="480"/>
      </w:pPr>
      <w:r>
        <w:rPr>
          <w:rFonts w:ascii="Times New Roman" w:hAnsi="Times New Roman"/>
          <w:sz w:val="24"/>
        </w:rPr>
        <w:t xml:space="preserve">An independent foreground head uses</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ascii="Times New Roman" w:hAnsi="Times New Roman"/>
          <w:sz w:val="24"/>
        </w:rPr>
        <w:t xml:space="preserve">to predict the foreground probability</w:t>
      </w:r>
      <w:r>
        <w:rPr>
          <w:rFonts w:ascii="Times New Roman" w:hAnsi="Times New Roman"/>
          <w:sz w:val="24"/>
        </w:rPr>
        <w:t xml:space="preserve"> </w:t>
      </w:r>
      <m:oMath>
        <m:sSubSup>
          <m:e>
            <m:r>
              <m:t>p</m:t>
            </m:r>
          </m:e>
          <m:sub>
            <m:r>
              <m:t>j</m:t>
            </m:r>
          </m:sub>
          <m:sup>
            <m:r>
              <m:rPr>
                <m:sty m:val="p"/>
              </m:rPr>
              <m:t>f</m:t>
            </m:r>
            <m:r>
              <m:rPr>
                <m:sty m:val="p"/>
              </m:rPr>
              <m:t>g</m:t>
            </m:r>
          </m:sup>
        </m:sSubSup>
      </m:oMath>
      <w:r>
        <w:rPr>
          <w:rFonts w:ascii="Times New Roman" w:hAnsi="Times New Roman"/>
          <w:sz w:val="24"/>
        </w:rPr>
        <w:t xml:space="preserve"> </w:t>
      </w:r>
      <w:r>
        <w:rPr>
          <w:rFonts w:ascii="Times New Roman" w:hAnsi="Times New Roman"/>
          <w:sz w:val="24"/>
        </w:rPr>
        <w:t xml:space="preserve">of candidate</w:t>
      </w:r>
      <w:r>
        <w:rPr>
          <w:rFonts w:ascii="Times New Roman" w:hAnsi="Times New Roman"/>
          <w:sz w:val="24"/>
        </w:rPr>
        <w:t xml:space="preserve"> </w:t>
      </w:r>
      <m:oMath>
        <m:sSub>
          <m:e>
            <m:r>
              <m:t>B</m:t>
            </m:r>
          </m:e>
          <m:sub>
            <m:r>
              <m:t>j</m:t>
            </m:r>
          </m:sub>
        </m:sSub>
      </m:oMath>
      <w:r>
        <w:rPr>
          <w:rFonts w:ascii="Times New Roman" w:hAnsi="Times New Roman"/>
          <w:sz w:val="24"/>
        </w:rPr>
        <w:t xml:space="preserve">. Thus, Match provides each candidate’s foreground probability and ligand-identity matching scores for downstream pose modelling.</w:t>
      </w:r>
    </w:p>
    <w:bookmarkEnd w:id="88"/>
    <w:bookmarkStart w:id="89" w:name="labels-and-loss-functions"/>
    <w:p>
      <w:pPr>
        <w:pStyle w:val="Heading3"/>
        <w:keepNext/>
        <w:spacing w:line="480" w:lineRule="auto"/>
        <w:ind w:firstLine="0"/>
      </w:pPr>
      <w:r>
        <w:rPr>
          <w:rFonts w:ascii="Times New Roman" w:hAnsi="Times New Roman"/>
          <w:sz w:val="24"/>
        </w:rPr>
        <w:t xml:space="preserve">Labels and loss functions</w:t>
      </w:r>
    </w:p>
    <w:p>
      <w:pPr>
        <w:pStyle w:val="FirstParagraph"/>
        <w:spacing w:line="480" w:lineRule="auto" w:after="120"/>
        <w:ind w:firstLine="480"/>
      </w:pPr>
      <w:r>
        <w:rPr>
          <w:rFonts w:ascii="Times New Roman" w:hAnsi="Times New Roman"/>
          <w:sz w:val="24"/>
        </w:rPr>
        <w:t xml:space="preserve">A candidate blob</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ascii="Times New Roman" w:hAnsi="Times New Roman"/>
          <w:sz w:val="24"/>
        </w:rPr>
        <w:t xml:space="preserve">is labelled as foreground if it matches at least one ground-truth ligand instance, with at least 0.3 coverage in both directions. Otherwise, the candidate is labelled as a false positive for training. For a foreground candidate, we select the ligand instance with the highest geometric mean of the two coverage fractions. The SMILES of that instance provides the candidate’s ligand-identity label.</w:t>
      </w:r>
    </w:p>
    <w:p>
      <w:pPr>
        <w:pStyle w:val="BodyText"/>
        <w:spacing w:line="480" w:lineRule="auto" w:after="120"/>
        <w:ind w:firstLine="480"/>
      </w:pPr>
      <w:r>
        <w:rPr>
          <w:rFonts w:ascii="Times New Roman" w:hAnsi="Times New Roman"/>
          <w:sz w:val="24"/>
        </w:rPr>
        <w:t xml:space="preserve">Match uses cross-entropy losses to supervise both ligand-identity matching and foreground classification. Let</w:t>
      </w:r>
      <w:r>
        <w:rPr>
          <w:rFonts w:ascii="Times New Roman" w:hAnsi="Times New Roman"/>
          <w:sz w:val="24"/>
        </w:rPr>
        <w:t xml:space="preserve"> </w:t>
      </w:r>
      <m:oMath>
        <m:sSubSup>
          <m:e>
            <m:r>
              <m:t>y</m:t>
            </m:r>
          </m:e>
          <m:sub>
            <m:r>
              <m:t>j</m:t>
            </m:r>
          </m:sub>
          <m:sup>
            <m:r>
              <m:rPr>
                <m:sty m:val="p"/>
              </m:rPr>
              <m:t>f</m:t>
            </m:r>
            <m:r>
              <m:rPr>
                <m:sty m:val="p"/>
              </m:rPr>
              <m:t>g</m:t>
            </m:r>
          </m:sup>
        </m:sSubSup>
        <m:r>
          <m:rPr>
            <m:sty m:val="p"/>
          </m:rPr>
          <m:t>∈</m:t>
        </m:r>
        <m:r>
          <m:rPr>
            <m:sty m:val="p"/>
          </m:rPr>
          <m:t>{</m:t>
        </m:r>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denote the foreground label, and let</w:t>
      </w:r>
      <w:r>
        <w:rPr>
          <w:rFonts w:ascii="Times New Roman" w:hAnsi="Times New Roman"/>
          <w:sz w:val="24"/>
        </w:rPr>
        <w:t xml:space="preserve"> </w:t>
      </w:r>
      <m:oMath>
        <m:sSubSup>
          <m:e>
            <m:r>
              <m:t>k</m:t>
            </m:r>
          </m:e>
          <m:sub>
            <m:r>
              <m:t>j</m:t>
            </m:r>
          </m:sub>
          <m:sup>
            <m:r>
              <m:rPr>
                <m:sty m:val="p"/>
              </m:rPr>
              <m:t>*</m:t>
            </m:r>
          </m:sup>
        </m:sSubSup>
      </m:oMath>
      <w:r>
        <w:rPr>
          <w:rFonts w:ascii="Times New Roman" w:hAnsi="Times New Roman"/>
          <w:sz w:val="24"/>
        </w:rPr>
        <w:t xml:space="preserve"> </w:t>
      </w:r>
      <w:r>
        <w:rPr>
          <w:rFonts w:ascii="Times New Roman" w:hAnsi="Times New Roman"/>
          <w:sz w:val="24"/>
        </w:rPr>
        <w:t xml:space="preserve">denote the ground-truth identity’s index in</w:t>
      </w:r>
      <w:r>
        <w:rPr>
          <w:rFonts w:ascii="Times New Roman" w:hAnsi="Times New Roman"/>
          <w:sz w:val="24"/>
        </w:rP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The foreground loss is binary cross-entropy over all training candidates: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f</m:t>
              </m:r>
              <m:r>
                <m:rPr>
                  <m:sty m:val="p"/>
                </m:rPr>
                <m:t>g</m:t>
              </m:r>
            </m:sub>
          </m:sSub>
          <m:r>
            <m:rPr>
              <m:sty m:val="p"/>
            </m:rPr>
            <m:t>=</m:t>
          </m:r>
          <m:r>
            <m:rPr>
              <m:sty m:val="p"/>
            </m:rPr>
            <m:t>−</m:t>
          </m:r>
          <m:f>
            <m:fPr>
              <m:type m:val="bar"/>
            </m:fPr>
            <m:num>
              <m:r>
                <m:t>1</m:t>
              </m:r>
            </m:num>
            <m:den>
              <m:r>
                <m:t>J</m:t>
              </m:r>
            </m:den>
          </m:f>
          <m:nary>
            <m:naryPr>
              <m:chr m:val="∑"/>
              <m:limLoc m:val="undOvr"/>
              <m:subHide m:val="off"/>
              <m:supHide m:val="off"/>
            </m:naryPr>
            <m:sub>
              <m:r>
                <m:t>j</m:t>
              </m:r>
              <m:r>
                <m:rPr>
                  <m:sty m:val="p"/>
                </m:rPr>
                <m:t>=</m:t>
              </m:r>
              <m:r>
                <m:t>1</m:t>
              </m:r>
            </m:sub>
            <m:sup>
              <m:r>
                <m:t>J</m:t>
              </m:r>
            </m:sup>
            <m:e>
              <m:d>
                <m:dPr>
                  <m:begChr m:val="["/>
                  <m:sepChr m:val=""/>
                  <m:endChr m:val="]"/>
                  <m:grow/>
                </m:dPr>
                <m:e>
                  <m:sSubSup>
                    <m:e>
                      <m:r>
                        <m:t>y</m:t>
                      </m:r>
                    </m:e>
                    <m:sub>
                      <m:r>
                        <m:t>j</m:t>
                      </m:r>
                    </m:sub>
                    <m:sup>
                      <m:r>
                        <m:rPr>
                          <m:sty m:val="p"/>
                        </m:rPr>
                        <m:t>f</m:t>
                      </m:r>
                      <m:r>
                        <m:rPr>
                          <m:sty m:val="p"/>
                        </m:rPr>
                        <m:t>g</m:t>
                      </m:r>
                    </m:sup>
                  </m:sSubSup>
                  <m:r>
                    <m:rPr>
                      <m:sty m:val="p"/>
                    </m:rPr>
                    <m:t>log</m:t>
                  </m:r>
                  <m:sSubSup>
                    <m:e>
                      <m:r>
                        <m:t>p</m:t>
                      </m:r>
                    </m:e>
                    <m:sub>
                      <m:r>
                        <m:t>j</m:t>
                      </m:r>
                    </m:sub>
                    <m:sup>
                      <m:r>
                        <m:rPr>
                          <m:sty m:val="p"/>
                        </m:rPr>
                        <m:t>f</m:t>
                      </m:r>
                      <m:r>
                        <m:rPr>
                          <m:sty m:val="p"/>
                        </m:rPr>
                        <m:t>g</m:t>
                      </m:r>
                    </m:sup>
                  </m:sSubSup>
                  <m:r>
                    <m:rPr>
                      <m:sty m:val="p"/>
                    </m:rPr>
                    <m:t>+</m:t>
                  </m:r>
                  <m:r>
                    <m:rPr>
                      <m:sty m:val="p"/>
                    </m:rPr>
                    <m:t>(</m:t>
                  </m:r>
                  <m:r>
                    <m:t>1</m:t>
                  </m:r>
                  <m:r>
                    <m:rPr>
                      <m:sty m:val="p"/>
                    </m:rPr>
                    <m:t>−</m:t>
                  </m:r>
                  <m:sSubSup>
                    <m:e>
                      <m:r>
                        <m:t>y</m:t>
                      </m:r>
                    </m:e>
                    <m:sub>
                      <m:r>
                        <m:t>j</m:t>
                      </m:r>
                    </m:sub>
                    <m:sup>
                      <m:r>
                        <m:rPr>
                          <m:sty m:val="p"/>
                        </m:rPr>
                        <m:t>f</m:t>
                      </m:r>
                      <m:r>
                        <m:rPr>
                          <m:sty m:val="p"/>
                        </m:rPr>
                        <m:t>g</m:t>
                      </m:r>
                    </m:sup>
                  </m:sSubSup>
                  <m:r>
                    <m:rPr>
                      <m:sty m:val="p"/>
                    </m:rPr>
                    <m:t>)</m:t>
                  </m:r>
                  <m:r>
                    <m:rPr>
                      <m:sty m:val="p"/>
                    </m:rPr>
                    <m:t>log</m:t>
                  </m:r>
                  <m:r>
                    <m:rPr>
                      <m:sty m:val="p"/>
                    </m:rPr>
                    <m:t>(</m:t>
                  </m:r>
                  <m:r>
                    <m:t>1</m:t>
                  </m:r>
                  <m:r>
                    <m:rPr>
                      <m:sty m:val="p"/>
                    </m:rPr>
                    <m:t>−</m:t>
                  </m:r>
                  <m:sSubSup>
                    <m:e>
                      <m:r>
                        <m:t>p</m:t>
                      </m:r>
                    </m:e>
                    <m:sub>
                      <m:r>
                        <m:t>j</m:t>
                      </m:r>
                    </m:sub>
                    <m:sup>
                      <m:r>
                        <m:rPr>
                          <m:sty m:val="p"/>
                        </m:rPr>
                        <m:t>f</m:t>
                      </m:r>
                      <m:r>
                        <m:rPr>
                          <m:sty m:val="p"/>
                        </m:rPr>
                        <m:t>g</m:t>
                      </m:r>
                    </m:sup>
                  </m:sSubSup>
                  <m:r>
                    <m:rPr>
                      <m:sty m:val="p"/>
                    </m:rPr>
                    <m:t>)</m:t>
                  </m:r>
                </m:e>
              </m:d>
            </m:e>
          </m:nary>
          <m:r>
            <m:rPr>
              <m:sty m:val="p"/>
            </m:rPr>
            <m:t>.</m:t>
          </m:r>
        </m:oMath>
      </m:oMathPara>
    </w:p>
    <w:p>
      <w:pPr>
        <w:pStyle w:val="FirstParagraph"/>
        <w:spacing w:line="480" w:lineRule="auto" w:after="120"/>
        <w:ind w:firstLine="480"/>
      </w:pPr>
      <w:r>
        <w:rPr>
          <w:rFonts w:ascii="Times New Roman" w:hAnsi="Times New Roman"/>
          <w:sz w:val="24"/>
        </w:rPr>
        <w:t xml:space="preserve">The identity loss is evaluated only on ground-truth foreground candidates with valid SMILES identity targets: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i</m:t>
              </m:r>
              <m:r>
                <m:rPr>
                  <m:sty m:val="p"/>
                </m:rPr>
                <m:t>d</m:t>
              </m:r>
            </m:sub>
          </m:sSub>
          <m:r>
            <m:rPr>
              <m:sty m:val="p"/>
            </m:rPr>
            <m:t>=</m:t>
          </m:r>
          <m:r>
            <m:rPr>
              <m:sty m:val="p"/>
            </m:rPr>
            <m:t>−</m:t>
          </m:r>
          <m:f>
            <m:fPr>
              <m:type m:val="bar"/>
            </m:fPr>
            <m:num>
              <m:r>
                <m:t>1</m:t>
              </m:r>
            </m:num>
            <m:den>
              <m:r>
                <m:rPr>
                  <m:sty m:val="p"/>
                </m:rPr>
                <m:t>|</m:t>
              </m:r>
              <m:r>
                <m:rPr>
                  <m:sty m:val="p"/>
                </m:rPr>
                <m:t>{</m:t>
              </m:r>
              <m:r>
                <m:t>j</m:t>
              </m:r>
              <m:r>
                <m:rPr>
                  <m:sty m:val="p"/>
                </m:rPr>
                <m:t>:</m:t>
              </m:r>
              <m:sSubSup>
                <m:e>
                  <m:r>
                    <m:t>y</m:t>
                  </m:r>
                </m:e>
                <m:sub>
                  <m:r>
                    <m:t>j</m:t>
                  </m:r>
                </m:sub>
                <m:sup>
                  <m:r>
                    <m:rPr>
                      <m:sty m:val="p"/>
                    </m:rPr>
                    <m:t>f</m:t>
                  </m:r>
                  <m:r>
                    <m:rPr>
                      <m:sty m:val="p"/>
                    </m:rPr>
                    <m:t>g</m:t>
                  </m:r>
                </m:sup>
              </m:sSubSup>
              <m:r>
                <m:rPr>
                  <m:sty m:val="p"/>
                </m:rPr>
                <m:t>=</m:t>
              </m:r>
              <m:r>
                <m:t>1</m:t>
              </m:r>
              <m:r>
                <m:rPr>
                  <m:sty m:val="p"/>
                </m:rPr>
                <m:t>}</m:t>
              </m:r>
              <m:r>
                <m:rPr>
                  <m:sty m:val="p"/>
                </m:rPr>
                <m:t>|</m:t>
              </m:r>
            </m:den>
          </m:f>
          <m:nary>
            <m:naryPr>
              <m:chr m:val="∑"/>
              <m:limLoc m:val="undOvr"/>
              <m:subHide m:val="off"/>
              <m:supHide m:val="on"/>
            </m:naryPr>
            <m:sub>
              <m:r>
                <m:t>j</m:t>
              </m:r>
              <m:r>
                <m:rPr>
                  <m:sty m:val="p"/>
                </m:rPr>
                <m:t>:</m:t>
              </m:r>
              <m:sSubSup>
                <m:e>
                  <m:r>
                    <m:t>y</m:t>
                  </m:r>
                </m:e>
                <m:sub>
                  <m:r>
                    <m:t>j</m:t>
                  </m:r>
                </m:sub>
                <m:sup>
                  <m:r>
                    <m:rPr>
                      <m:sty m:val="p"/>
                    </m:rPr>
                    <m:t>f</m:t>
                  </m:r>
                  <m:r>
                    <m:rPr>
                      <m:sty m:val="p"/>
                    </m:rPr>
                    <m:t>g</m:t>
                  </m:r>
                </m:sup>
              </m:sSubSup>
              <m:r>
                <m:rPr>
                  <m:sty m:val="p"/>
                </m:rPr>
                <m:t>=</m:t>
              </m:r>
              <m:r>
                <m:t>1</m:t>
              </m:r>
            </m:sub>
            <m:sup>
              <m:r>
                <m:t>​</m:t>
              </m:r>
            </m:sup>
            <m:e>
              <m:r>
                <m:rPr>
                  <m:sty m:val="p"/>
                </m:rPr>
                <m:t>log</m:t>
              </m:r>
            </m:e>
          </m:nary>
          <m:f>
            <m:fPr>
              <m:type m:val="bar"/>
            </m:fPr>
            <m:num>
              <m:r>
                <m:rPr>
                  <m:sty m:val="p"/>
                </m:rPr>
                <m:t>exp</m:t>
              </m:r>
              <m:r>
                <m:rPr>
                  <m:sty m:val="p"/>
                </m:rPr>
                <m:t>(</m:t>
              </m:r>
              <m:sSub>
                <m:e>
                  <m:r>
                    <m:t>s</m:t>
                  </m:r>
                </m:e>
                <m:sub>
                  <m:r>
                    <m:t>j</m:t>
                  </m:r>
                  <m:r>
                    <m:rPr>
                      <m:sty m:val="p"/>
                    </m:rPr>
                    <m:t>,</m:t>
                  </m:r>
                  <m:sSubSup>
                    <m:e>
                      <m:r>
                        <m:t>k</m:t>
                      </m:r>
                    </m:e>
                    <m:sub>
                      <m:r>
                        <m:t>j</m:t>
                      </m:r>
                    </m:sub>
                    <m:sup>
                      <m:r>
                        <m:rPr>
                          <m:sty m:val="p"/>
                        </m:rPr>
                        <m:t>*</m:t>
                      </m:r>
                    </m:sup>
                  </m:sSubSup>
                </m:sub>
              </m:sSub>
              <m:r>
                <m:rPr>
                  <m:sty m:val="p"/>
                </m:rPr>
                <m:t>)</m:t>
              </m:r>
            </m:num>
            <m:den>
              <m:nary>
                <m:naryPr>
                  <m:chr m:val="∑"/>
                  <m:limLoc m:val="undOvr"/>
                  <m:subHide m:val="off"/>
                  <m:supHide m:val="off"/>
                </m:naryPr>
                <m:sub>
                  <m:r>
                    <m:t>k</m:t>
                  </m:r>
                  <m:r>
                    <m:rPr>
                      <m:sty m:val="p"/>
                    </m:rPr>
                    <m:t>=</m:t>
                  </m:r>
                  <m:r>
                    <m:t>1</m:t>
                  </m:r>
                </m:sub>
                <m:sup>
                  <m:r>
                    <m:t>K</m:t>
                  </m:r>
                </m:sup>
                <m:e>
                  <m:r>
                    <m:rPr>
                      <m:sty m:val="p"/>
                    </m:rPr>
                    <m:t>exp</m:t>
                  </m:r>
                </m:e>
              </m:nary>
              <m:r>
                <m:rPr>
                  <m:sty m:val="p"/>
                </m:rPr>
                <m:t>(</m:t>
              </m:r>
              <m:sSub>
                <m:e>
                  <m:r>
                    <m:t>s</m:t>
                  </m:r>
                </m:e>
                <m:sub>
                  <m:r>
                    <m:t>j</m:t>
                  </m:r>
                  <m:r>
                    <m:rPr>
                      <m:sty m:val="p"/>
                    </m:rPr>
                    <m:t>,</m:t>
                  </m:r>
                  <m:r>
                    <m:t>k</m:t>
                  </m:r>
                </m:sub>
              </m:sSub>
              <m:r>
                <m:rPr>
                  <m:sty m:val="p"/>
                </m:rPr>
                <m:t>)</m:t>
              </m:r>
            </m:den>
          </m:f>
          <m:r>
            <m:rPr>
              <m:sty m:val="p"/>
            </m:rPr>
            <m:t>.</m:t>
          </m:r>
        </m:oMath>
      </m:oMathPara>
    </w:p>
    <w:p>
      <w:pPr>
        <w:pStyle w:val="FirstParagraph"/>
        <w:spacing w:line="480" w:lineRule="auto" w:after="120"/>
        <w:ind w:firstLine="480"/>
      </w:pPr>
      <w:r>
        <w:rPr>
          <w:rFonts w:ascii="Times New Roman" w:hAnsi="Times New Roman"/>
          <w:sz w:val="24"/>
        </w:rPr>
        <w:t xml:space="preserve">Background candidates contribute only to the foreground loss and are excluded from the identity loss. The total Match loss combines these terms with their respective weights: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M</m:t>
              </m:r>
              <m:r>
                <m:rPr>
                  <m:sty m:val="p"/>
                </m:rPr>
                <m:t>a</m:t>
              </m:r>
              <m:r>
                <m:rPr>
                  <m:sty m:val="p"/>
                </m:rPr>
                <m:t>t</m:t>
              </m:r>
              <m:r>
                <m:rPr>
                  <m:sty m:val="p"/>
                </m:rPr>
                <m:t>c</m:t>
              </m:r>
              <m:r>
                <m:rPr>
                  <m:sty m:val="p"/>
                </m:rPr>
                <m:t>h</m:t>
              </m:r>
            </m:sub>
          </m:sSub>
          <m:r>
            <m:rPr>
              <m:sty m:val="p"/>
            </m:rPr>
            <m:t>=</m:t>
          </m:r>
          <m:sSub>
            <m:e>
              <m:r>
                <m:t>λ</m:t>
              </m:r>
            </m:e>
            <m:sub>
              <m:r>
                <m:rPr>
                  <m:sty m:val="p"/>
                </m:rPr>
                <m:t>f</m:t>
              </m:r>
              <m:r>
                <m:rPr>
                  <m:sty m:val="p"/>
                </m:rPr>
                <m:t>g</m:t>
              </m:r>
            </m:sub>
          </m:sSub>
          <m:sSub>
            <m:e>
              <m:r>
                <m:rPr>
                  <m:scr m:val="script"/>
                  <m:sty m:val="p"/>
                </m:rPr>
                <m:t>L</m:t>
              </m:r>
            </m:e>
            <m:sub>
              <m:r>
                <m:rPr>
                  <m:sty m:val="p"/>
                </m:rPr>
                <m:t>f</m:t>
              </m:r>
              <m:r>
                <m:rPr>
                  <m:sty m:val="p"/>
                </m:rPr>
                <m:t>g</m:t>
              </m:r>
            </m:sub>
          </m:sSub>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oMath>
      </m:oMathPara>
    </w:p>
    <w:p>
      <w:pPr>
        <w:pStyle w:val="FirstParagraph"/>
        <w:spacing w:line="480" w:lineRule="auto" w:after="120"/>
        <w:ind w:firstLine="480"/>
      </w:pPr>
      <w:r>
        <w:rPr>
          <w:rFonts w:ascii="Times New Roman" w:hAnsi="Times New Roman"/>
          <w:sz w:val="24"/>
        </w:rPr>
        <w:t xml:space="preserve">We set the foreground and identity loss weights to</w:t>
      </w:r>
      <w:r>
        <w:rPr>
          <w:rFonts w:ascii="Times New Roman" w:hAnsi="Times New Roman"/>
          <w:sz w:val="24"/>
        </w:rPr>
        <w:t xml:space="preserve"> </w:t>
      </w:r>
      <m:oMath>
        <m:sSub>
          <m:e>
            <m:r>
              <m:t>λ</m:t>
            </m:r>
          </m:e>
          <m:sub>
            <m:r>
              <m:rPr>
                <m:sty m:val="p"/>
              </m:rPr>
              <m:t>f</m:t>
            </m:r>
            <m:r>
              <m:rPr>
                <m:sty m:val="p"/>
              </m:rPr>
              <m:t>g</m:t>
            </m:r>
          </m:sub>
        </m:sSub>
        <m:r>
          <m:rPr>
            <m:sty m:val="p"/>
          </m:rPr>
          <m:t>=</m:t>
        </m:r>
        <m:r>
          <m:t>0.3</m:t>
        </m:r>
      </m:oMath>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m:oMath>
        <m:sSub>
          <m:e>
            <m:r>
              <m:t>λ</m:t>
            </m:r>
          </m:e>
          <m:sub>
            <m:r>
              <m:rPr>
                <m:sty m:val="p"/>
              </m:rPr>
              <m:t>i</m:t>
            </m:r>
            <m:r>
              <m:rPr>
                <m:sty m:val="p"/>
              </m:rPr>
              <m:t>d</m:t>
            </m:r>
          </m:sub>
        </m:sSub>
        <m:r>
          <m:rPr>
            <m:sty m:val="p"/>
          </m:rPr>
          <m:t>=</m:t>
        </m:r>
        <m:r>
          <m:t>1.0</m:t>
        </m:r>
      </m:oMath>
      <w:r>
        <w:rPr>
          <w:rFonts w:ascii="Times New Roman" w:hAnsi="Times New Roman"/>
          <w:sz w:val="24"/>
        </w:rPr>
        <w:t xml:space="preserve">, respectively.</w:t>
      </w:r>
    </w:p>
    <w:bookmarkEnd w:id="89"/>
    <w:bookmarkEnd w:id="90"/>
    <w:bookmarkStart w:id="93" w:name="stage-3-build"/>
    <w:p>
      <w:pPr>
        <w:pStyle w:val="Heading2"/>
        <w:keepNext/>
        <w:spacing w:line="480" w:lineRule="auto"/>
        <w:ind w:firstLine="0"/>
      </w:pPr>
      <w:r>
        <w:rPr>
          <w:rFonts w:ascii="Times New Roman" w:hAnsi="Times New Roman"/>
          <w:sz w:val="24"/>
        </w:rPr>
        <w:t xml:space="preserve">Stage 3: Build</w:t>
      </w:r>
    </w:p>
    <w:bookmarkStart w:id="91" w:name="overview-2"/>
    <w:p>
      <w:pPr>
        <w:pStyle w:val="Heading3"/>
        <w:keepNext/>
        <w:spacing w:line="480" w:lineRule="auto"/>
        <w:ind w:firstLine="0"/>
      </w:pPr>
      <w:r>
        <w:rPr>
          <w:rFonts w:ascii="Times New Roman" w:hAnsi="Times New Roman"/>
          <w:sz w:val="24"/>
        </w:rPr>
        <w:t xml:space="preserve">Overview</w:t>
      </w:r>
    </w:p>
    <w:p>
      <w:pPr>
        <w:pStyle w:val="FirstParagraph"/>
        <w:spacing w:line="480" w:lineRule="auto" w:after="120"/>
        <w:ind w:firstLine="480"/>
      </w:pPr>
      <w:r>
        <w:rPr>
          <w:rFonts w:ascii="Times New Roman" w:hAnsi="Times New Roman"/>
          <w:sz w:val="24"/>
        </w:rPr>
        <w:t xml:space="preserve">Through spatial localisation by Find and identity assignment by Match, downstream docking tools receive both the target binding site and the ligand identity (SMILES). This allows Build to function as a modular, plug-and-play interface that can theoretically accommodate diverse downstream docking tools (such as Vina</w:t>
      </w:r>
      <w:r>
        <w:rPr>
          <w:rStyle w:val="MDCITE_eJyLdigpyi8pMTIwNCjLzEuMBQAwbgWn"/>
          <w:rFonts w:ascii="Times New Roman" w:hAnsi="Times New Roman"/>
          <w:sz w:val="24"/>
          <w:vertAlign w:val="superscript"/>
        </w:rPr>
        <w:t xml:space="preserve">30</w:t>
      </w:r>
      <w:r>
        <w:rPr>
          <w:rFonts w:ascii="Times New Roman" w:hAnsi="Times New Roman"/>
          <w:sz w:val="24"/>
        </w:rPr>
        <w:t xml:space="preserve">, DiffDock, or Emap2lig-Build) tailored to specific ligand classes.</w:t>
      </w:r>
    </w:p>
    <w:p>
      <w:pPr>
        <w:pStyle w:val="BodyText"/>
        <w:spacing w:line="480" w:lineRule="auto" w:after="120"/>
        <w:ind w:firstLine="480"/>
      </w:pPr>
      <w:r>
        <w:rPr>
          <w:rFonts w:ascii="Times New Roman" w:hAnsi="Times New Roman"/>
          <w:sz w:val="24"/>
        </w:rPr>
        <w:t xml:space="preserve">However, existing deep learning docking tools typically consider either the receptor environment alone or the experimental density alone, leaving a critical gap in joint modelling. To address this limitation and provide an effective out-of-the-box solution for organic small molecules, we developed PocketXMol-tuned as our default Build engine. Specifically, we extended PocketXMol</w:t>
      </w:r>
      <w:r>
        <w:rPr>
          <w:rStyle w:val="MDCITE_eJyLdijIT85OLanIzc-JBQAjrgU_"/>
          <w:rFonts w:ascii="Times New Roman" w:hAnsi="Times New Roman"/>
          <w:sz w:val="24"/>
          <w:vertAlign w:val="superscript"/>
        </w:rPr>
        <w:t xml:space="preserve">10</w:t>
      </w:r>
      <w:r>
        <w:rPr>
          <w:rFonts w:ascii="Times New Roman" w:hAnsi="Times New Roman"/>
          <w:sz w:val="24"/>
        </w:rPr>
        <w:t xml:space="preserve">, a unified generative model for small molecules, to incorporate local cryo-EM density as an explicit conditioning signal, initialising it with official weights and fine-tuning it on eligible small molecules.</w:t>
      </w:r>
    </w:p>
    <w:bookmarkEnd w:id="91"/>
    <w:bookmarkStart w:id="92" w:name="pocketxmol-fine-tuning-experiments"/>
    <w:p>
      <w:pPr>
        <w:pStyle w:val="Heading3"/>
        <w:keepNext/>
        <w:spacing w:line="480" w:lineRule="auto"/>
        <w:ind w:firstLine="0"/>
      </w:pPr>
      <w:r>
        <w:rPr>
          <w:rFonts w:ascii="Times New Roman" w:hAnsi="Times New Roman"/>
          <w:sz w:val="24"/>
        </w:rPr>
        <w:t xml:space="preserve">PocketXMol fine-tuning experiments</w:t>
      </w:r>
    </w:p>
    <w:p>
      <w:pPr>
        <w:pStyle w:val="FirstParagraph"/>
        <w:spacing w:line="480" w:lineRule="auto" w:after="120"/>
        <w:ind w:firstLine="480"/>
      </w:pPr>
      <w:r>
        <w:rPr>
          <w:rFonts w:ascii="Times New Roman" w:hAnsi="Times New Roman"/>
          <w:sz w:val="24"/>
        </w:rPr>
        <w:t xml:space="preserve">PocketXMol fine-tuning used the same training, validation and test partitions described above. From each PDB entry in these partitions, we included all eligible small molecules. The training, validation and test sets contained 65,290, 781 and 446 ligand instances, respectively. No probability or score threshold required calibration at this stage, so a calibration set was unnecessary.</w:t>
      </w:r>
    </w:p>
    <w:p>
      <w:pPr>
        <w:pStyle w:val="BodyText"/>
        <w:spacing w:line="480" w:lineRule="auto" w:after="120"/>
        <w:ind w:firstLine="480"/>
      </w:pPr>
      <w:r>
        <w:rPr>
          <w:rFonts w:ascii="Times New Roman" w:hAnsi="Times New Roman"/>
          <w:sz w:val="24"/>
        </w:rPr>
        <w:t xml:space="preserve">We introduced modifications to the PocketXMol network to incorporate cryo-EM density as an additional conditioning input. As described above, 56 density channels and 50 receptor-feature channels were constructed and concatenated into a 106-channel voxel representation. Before each atomic-coordinate update in the PocketXMol network, a 3D convolutional module with global average pooling (GAP) extracts density and receptor signals surrounding each atom. These extracted signals are then injected into the existing atom representations via Feature-wise Linear Modulation (FiLM)</w:t>
      </w:r>
      <w:r>
        <w:rPr>
          <w:rStyle w:val="MDCITE_eJyLdihILUqtMjIwtEjLzMmNBQAvOgWS"/>
          <w:rFonts w:ascii="Times New Roman" w:hAnsi="Times New Roman"/>
          <w:sz w:val="24"/>
          <w:vertAlign w:val="superscript"/>
        </w:rPr>
        <w:t xml:space="preserve">29</w:t>
      </w:r>
      <w:r>
        <w:rPr>
          <w:rFonts w:ascii="Times New Roman" w:hAnsi="Times New Roman"/>
          <w:sz w:val="24"/>
        </w:rPr>
        <w:t xml:space="preserve">.</w:t>
      </w:r>
    </w:p>
    <w:p>
      <w:pPr>
        <w:pStyle w:val="BodyText"/>
        <w:spacing w:line="480" w:lineRule="auto" w:after="120"/>
        <w:ind w:firstLine="480"/>
      </w:pPr>
      <w:r>
        <w:rPr>
          <w:rFonts w:ascii="Times New Roman" w:hAnsi="Times New Roman"/>
          <w:sz w:val="24"/>
        </w:rPr>
        <w:t xml:space="preserve">Because the original PocketXMol does not support nucleic acid atoms, we added a linear layer to encode them into the receptor representation. All other architectural components remain unchanged, including the backbone network, the original feature representations, and the diffusion noise-addition and denoising schedules. During fine-tuning, the newly introduced modules were randomly initialized, while all remaining parameters were initialized from the official pretrained PocketXMol checkpoint.</w:t>
      </w:r>
    </w:p>
    <w:bookmarkEnd w:id="92"/>
    <w:bookmarkEnd w:id="93"/>
    <w:bookmarkStart w:id="127" w:name="end-to-end-evaluation-process"/>
    <w:p>
      <w:pPr>
        <w:pStyle w:val="Heading2"/>
        <w:keepNext/>
        <w:spacing w:line="480" w:lineRule="auto"/>
        <w:ind w:firstLine="0"/>
      </w:pPr>
      <w:r>
        <w:rPr>
          <w:rFonts w:ascii="Times New Roman" w:hAnsi="Times New Roman"/>
          <w:sz w:val="24"/>
        </w:rPr>
        <w:t xml:space="preserve">End-to-end evaluation process</w:t>
      </w:r>
    </w:p>
    <w:p>
      <w:pPr>
        <w:pStyle w:val="CaptionedFigure"/>
        <w:keepNext/>
        <w:spacing w:line="240" w:lineRule="auto" w:before="0" w:after="0"/>
        <w:ind w:firstLine="0"/>
        <w:jc w:val="center"/>
      </w:pPr>
      <w:r>
        <w:rPr>
          <w:rFonts w:ascii="Times New Roman" w:hAnsi="Times New Roman"/>
          <w:sz w:val="24"/>
        </w:rPr>
        <w:drawing>
          <wp:inline>
            <wp:extent cx="5733415" cy="3828804"/>
            <wp:effectExtent b="0" l="0" r="0" t="0"/>
            <wp:docPr descr="Fig. 16 | Charging rules for two end-to-end evaluation settings. a, Ligand-region detection and identity matching across all ligand classes. b, Ligand-region detection, identity matching and pose reconstruction for eligible small molecules, defined as single-residue organic small molecules with no atoms missing relative to their templates. A “+1” indicates that the charged attempt increases by one; the algorithm stops once the attempt limit is reached or no further candidates are generated by the LigandSeek-Find. “Free skip” means skipping the current candidate without incurring an additional charge. Decision nodes involving ligand hits, ligand types and identity correctness are evaluation criteria based on the reference annotations and are not provided to the model as inputs." title="MDPPTFIG_eJztV0tvHEUQ_iutvWLveNcP7CVYipwYIZnISuDEIKu3p3a35ZnuVnfPrp0EKYdIwIEbQkLAgROcwgUJQST4LxEh_hl8NT273jxAEXlIlmJpPf2o-qq6u76urlsdJ-OkMxCdR1_df_jtH9nV_tWzn-_-df_Xs3s_nP3y29mPdx9-_k3XuXjSWREdT8GWUypYYW-Q5x8F8iHPe5s7vZ08v0LhOFqX52f3fv_768_Ovvzi0U9_5nlCzvP_hjayIoalPq1KpWxtojbjVV-XFFYLL0eRpZR0UVtzVEl_XDvIf9y5NBs4cVKVJgxm7-adSYxukGVBTaiSoWsdGUyOrK9kRNePs5n1hfNWUQiwUJVZf21tK6ukNnlnl9EOffO5EU9LErPBVJbAfb-SY9pL5lkum0uw7DGRO9CGQjO-1JsNgpMKZoBTYghA_Y21vNN2r2N1GJJ1tC1mK86a2hQQG2kf4kFSXWuFMJMcSJ6mf21735oYoCeD0ho6H-qKgrhGM3HdVtI0pieXTXjmXIOaIBhs2PSHTXMvra35ws2bi43pb8xdv5nUkyORz6RZDnvuEDnkpwTRfT3uit6WuC32JtKPeW-aQxY4IxFnVpApVqNdxUcQTNSSt1wEihwQocs2YrL0Shf_AksUr8vHV3JA8gLs8Io40GOJQPE05ugoKJJq4gSDQheE2yOeCnBeTTjCpPI2BCHLUpSNolClDIFCVwz_FWvlWUBQdTaQ8KSsCdHXySwHLwFaD3FnhIoNVbYkxZG9AsgRGFwIGQTfOSXBVtBFTQIXkjRaPakiZjpOhLFCRlsFUenmroLREmyYkohWxAlpEIYqhzFeyOULcG6vjRkv4OODO9-91Xtw5_sL4OpF2E4kK604QhGxMnLYCsUXP9MhcvhGoY3yJMFGMTwV1tA7jZQsx9aDBpUIeFUETChKE61aqSsN5QBaSKT7AmRiyoxqDykvFLiqi8ay9CTGZMijV7ARhkmsv0F0vLoPJ98klpdGn31PuASPtXvDopflY0XShGZPHSeChkW190hP53HeJA1bN3zCXEpXQhaF5hQly5Z3XXGFlA6ctYwt4LA2U7zqWbzNjRMdkbTaTjx1zKDltKosLKuIF26i1tIzTYGx5LUUQ_AZjDSNq55GBF_BX2mMjY1owmR1jAg8yKfAL9rMhkxYUMn5UhtXxydeffz03e18gnpgUQd0Nt9eX9_obZ6sb_e3t9c2bl9yWg3wa0sD-VylAeqM2VM1QYsArP-DAbVYe1rA-OcCsaORVnTFqrrCnieklPyxcRPtAkcPr9BMD7Xi2OGOujY99HhsBMVW9gZZU59lTXmWtdVZtlycZXyRYpmmhop28Wikx3A2HBV6Z9vMbp5maeBoDX-9ra4zYyxEF0Df2UKLiza0D-drxNEs_Dh3KTkoeQcPrDoOOHA8_c2YLntvZxOSRQBIj_HmE8EhvtIgMM9Vlwwk1OypTRiW2u3rsmSL3G70U0MO8GAjvOS4OYLMdVhp5h_rLISyx_G4F1BzieHsA4TnUuEmBycjX_EXBydOUqkmThclWzPO03QCvvJ8G66QUizWRm0rDKnmOwd1KAHfI1sJbkCayZfMyulBSLLnrbk0zxubXM_Om3JQGsGV8s5mfzOhPFOKz-VqU2guteUgSl3Oh5fbpWn3K7jFueC32_n0HymFvCY" id="95" name="Picture"/>
            <a:graphic>
              <a:graphicData uri="http://schemas.openxmlformats.org/drawingml/2006/picture">
                <pic:pic>
                  <pic:nvPicPr>
                    <pic:cNvPr descr="C:/Users/15919/Desktop/论文草稿/temp/manuscript_figures_di98nwzy/figure_000016.png" id="96" name="Picture"/>
                    <pic:cNvPicPr>
                      <a:picLocks noChangeArrowheads="1" noChangeAspect="1"/>
                    </pic:cNvPicPr>
                  </pic:nvPicPr>
                  <pic:blipFill>
                    <a:blip r:embed="rId94"/>
                    <a:stretch>
                      <a:fillRect/>
                    </a:stretch>
                  </pic:blipFill>
                  <pic:spPr bwMode="auto">
                    <a:xfrm>
                      <a:off x="0" y="0"/>
                      <a:ext cx="5733415" cy="382880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16 | Charging rules for two end-to-end evaluation settings.</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Ligand-region detection and identity matching across all ligand classes. b, Ligand-region detection, identity matching and pose reconstruction for eligible small molecules, defined as single-residue organic small molecules with no atoms missing relative to their templates. A</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indicates that the charged attempt increases by one; the algorithm stops once the attempt limit is reached or no further candidates are generated by the LigandSeek-Find.</w:t>
      </w:r>
      <w:r>
        <w:rPr>
          <w:rFonts w:ascii="Times New Roman" w:hAnsi="Times New Roman"/>
          <w:sz w:val="24"/>
        </w:rPr>
        <w:t xml:space="preserve"> </w:t>
      </w:r>
      <w:r>
        <w:rPr>
          <w:rFonts w:ascii="Times New Roman" w:hAnsi="Times New Roman"/>
          <w:sz w:val="24"/>
        </w:rPr>
        <w:t xml:space="preserve">“Free skip”</w:t>
      </w:r>
      <w:r>
        <w:rPr>
          <w:rFonts w:ascii="Times New Roman" w:hAnsi="Times New Roman"/>
          <w:sz w:val="24"/>
        </w:rPr>
        <w:t xml:space="preserve"> </w:t>
      </w:r>
      <w:r>
        <w:rPr>
          <w:rFonts w:ascii="Times New Roman" w:hAnsi="Times New Roman"/>
          <w:sz w:val="24"/>
        </w:rPr>
        <w:t xml:space="preserve">means skipping the current candidate without incurring an additional charge. Decision nodes involving ligand hits, ligand types and identity correctness are evaluation criteria based on the reference annotations and are not provided to the model as inputs.</w:t>
      </w:r>
    </w:p>
    <w:p>
      <w:pPr>
        <w:pStyle w:val="BodyText"/>
        <w:spacing w:line="480" w:lineRule="auto" w:after="120"/>
        <w:ind w:firstLine="480"/>
      </w:pPr>
      <w:r>
        <w:rPr>
          <w:rFonts w:ascii="Times New Roman" w:hAnsi="Times New Roman"/>
          <w:sz w:val="24"/>
        </w:rPr>
        <w:t xml:space="preserve">We evaluated two end-to-end tasks: region detection and identity matching across all ligand categories, and full pose reconstruction for eligible small molecules. The attempt-accounting rules are summarised in</w:t>
      </w:r>
      <w:r>
        <w:rPr>
          <w:rFonts w:ascii="Times New Roman" w:hAnsi="Times New Roman"/>
          <w:sz w:val="24"/>
        </w:rPr>
        <w:t xml:space="preserve"> </w:t>
      </w:r>
      <w:r>
        <w:rPr>
          <w:rStyle w:val="MDFIGREF_eJyrrk7LTC9KTbNKNUrVTUxOzi_NK8nMS9ctKs1JLdZNKUpMK6mtBQAQ2w6I"/>
          <w:rFonts w:ascii="Times New Roman" w:hAnsi="Times New Roman"/>
          <w:sz w:val="24"/>
        </w:rPr>
        <w:t xml:space="preserve">Fig. 16</w:t>
      </w:r>
      <w:r>
        <w:rPr>
          <w:rFonts w:ascii="Times New Roman" w:hAnsi="Times New Roman"/>
          <w:sz w:val="24"/>
        </w:rPr>
        <w:t xml:space="preserve"> </w:t>
      </w:r>
      <w:r>
        <w:rPr>
          <w:rFonts w:ascii="Times New Roman" w:hAnsi="Times New Roman"/>
          <w:sz w:val="24"/>
        </w:rPr>
        <w:t xml:space="preserve">and detailed below.</w:t>
      </w:r>
    </w:p>
    <w:p>
      <w:pPr>
        <w:pStyle w:val="BodyText"/>
        <w:spacing w:line="480" w:lineRule="auto" w:after="120"/>
        <w:ind w:firstLine="480"/>
      </w:pPr>
      <w:r>
        <w:rPr>
          <w:rFonts w:ascii="Times New Roman" w:hAnsi="Times New Roman"/>
          <w:sz w:val="24"/>
        </w:rPr>
        <w:t xml:space="preserve">For end-to-end region detection and identity matching across all ligand categories, we applied the following accounting rules. A false-positive candidate predicted by Find consumes one attempt, after which the pipeline examines the next candidate. If a candidate is not a false positive and shares at least 30% bidirectional coverage with a ground-truth ligand, Match assigns its ligand identity. Correct identity matching successfully processes that ground-truth ligand instance; incorrect matching consumes one attempt. The pipeline continues until the attempt budget is exhausted.</w:t>
      </w:r>
    </w:p>
    <w:p>
      <w:pPr>
        <w:pStyle w:val="BodyText"/>
        <w:spacing w:line="480" w:lineRule="auto" w:after="120"/>
        <w:ind w:firstLine="480"/>
      </w:pPr>
      <w:r>
        <w:rPr>
          <w:rFonts w:ascii="Times New Roman" w:hAnsi="Times New Roman"/>
          <w:sz w:val="24"/>
        </w:rPr>
        <w:t xml:space="preserve">For end-to-end modelling of eligible small molecules, false-positive candidates likewise consume one attempt before the next candidate is examined.</w:t>
      </w:r>
    </w:p>
    <w:p>
      <w:pPr>
        <w:pStyle w:val="BodyText"/>
        <w:spacing w:line="480" w:lineRule="auto" w:after="120"/>
        <w:ind w:firstLine="480"/>
      </w:pPr>
      <w:r>
        <w:rPr>
          <w:rFonts w:ascii="Times New Roman" w:hAnsi="Times New Roman"/>
          <w:sz w:val="24"/>
        </w:rPr>
        <w:t xml:space="preserve">If a candidate corresponds to a non-small-molecule ligand but Match assigns a small-molecule identity, the attempt is counted as a failure and consumes one attempt. Otherwise, the candidate is skipped without consuming the attempt budget.</w:t>
      </w:r>
    </w:p>
    <w:p>
      <w:pPr>
        <w:pStyle w:val="BodyText"/>
        <w:spacing w:line="480" w:lineRule="auto" w:after="120"/>
        <w:ind w:firstLine="480"/>
      </w:pPr>
      <w:r>
        <w:rPr>
          <w:rFonts w:ascii="Times New Roman" w:hAnsi="Times New Roman"/>
          <w:sz w:val="24"/>
        </w:rPr>
        <w:t xml:space="preserve">If a candidate corresponds to a small molecule with at least 30% bidirectional coverage, incorrect identity matching consumes one attempt. A correctly matched small molecule that fails the single-residue, no-missing-atom criteria is skipped without consuming an attempt. Otherwise, PocketXMol-tuned performs docking, and success is determined from the top-1 or best-of-50 pose and the corresponding RMSD threshold.</w:t>
      </w:r>
    </w:p>
    <w:p>
      <w:pPr>
        <w:pStyle w:val="BodyText"/>
        <w:spacing w:line="480" w:lineRule="auto" w:after="120"/>
        <w:ind w:firstLine="480"/>
      </w:pPr>
      <w:r>
        <w:rPr>
          <w:rFonts w:ascii="Times New Roman" w:hAnsi="Times New Roman"/>
          <w:sz w:val="24"/>
        </w:rPr>
        <w:t xml:space="preserve">According to the aforementioned rules, when a ligand outside the eligible small-molecule subset is correctly detected and matched, we still skip docking without consuming an attempt. This ensures that all evaluated docking tasks use the same downstream tool, PocketXMol-tuned. However, a region corresponding to a true non-small-molecule ligand consumes one attempt if it is misidentified as a small molecule. In this case, it is actually an unmatched distractor and counts as a failed attempt.</w:t>
      </w:r>
    </w:p>
    <w:p>
      <w:pPr>
        <w:pStyle w:val="BodyText"/>
        <w:spacing w:line="480" w:lineRule="auto" w:after="120"/>
        <w:ind w:firstLine="480"/>
      </w:pPr>
      <w:r>
        <w:rPr>
          <w:rFonts w:ascii="Times New Roman" w:hAnsi="Times New Roman"/>
          <w:sz w:val="24"/>
        </w:rPr>
        <w:t xml:space="preserve">These end-to-end evaluation rules are stricter than the requirements of practical use. A Find candidate that fails to meet the 30% bidirectional coverage requirement is classified as a false positive. This applies even if it still provides sufficient shape and position information for Match and Build to complete the subsequent steps correctly. Match can also classify a false-positive Find candidate as background, rejecting it at the second stage, but the candidate still counts as one failed attempt.</w:t>
      </w:r>
    </w:p>
    <w:p>
      <w:pPr>
        <w:pStyle w:val="MDConverterBibliography"/>
        <w:spacing w:line="480" w:lineRule="auto"/>
      </w:pPr>
      <w:r>
        <w:rPr>
          <w:rFonts w:ascii="Times New Roman" w:hAnsi="Times New Roman"/>
          <w:b/>
          <w:bCs/>
          <w:sz w:val="24"/>
        </w:rPr>
        <w:t xml:space="preserve">References</w:t>
      </w:r>
    </w:p>
    <w:p>
      <w:pPr>
        <w:pStyle w:val="MDConverterBibliography"/>
        <w:spacing w:line="480" w:lineRule="auto"/>
      </w:pPr>
      <w:r>
        <w:rPr>
          <w:rFonts w:ascii="Times New Roman" w:hAnsi="Times New Roman"/>
          <w:sz w:val="24"/>
        </w:rPr>
        <w:t xml:space="preserve">1. Callaway, E.</w:t>
      </w:r>
      <w:r>
        <w:rPr>
          <w:rFonts w:ascii="Times New Roman" w:hAnsi="Times New Roman"/>
          <w:sz w:val="24"/>
        </w:rPr>
        <w:t xml:space="preserve"> </w:t>
      </w:r>
      <w:r>
        <w:rPr>
          <w:rFonts w:ascii="Times New Roman" w:hAnsi="Times New Roman"/>
          <w:sz w:val="24"/>
        </w:rPr>
        <w:t xml:space="preserve">Revolutionary cryo-EM is taking over structural biology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b/>
          <w:bCs/>
          <w:sz w:val="24"/>
        </w:rPr>
        <w:t xml:space="preserve">578</w:t>
      </w:r>
      <w:r>
        <w:rPr>
          <w:rFonts w:ascii="Times New Roman" w:hAnsi="Times New Roman"/>
          <w:sz w:val="24"/>
        </w:rPr>
        <w:t xml:space="preserve">, 201 (2020). https://doi.org/</w:t>
      </w:r>
      <w:hyperlink r:id="rId97">
        <w:r>
          <w:rPr>
            <w:rStyle w:val="Hyperlink"/>
          </w:rPr>
          <w:t xml:space="preserve">10.1038/d41586-020-00341-9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 Bai, X., McMullan, G., &amp; Scheres, S. H. W.</w:t>
      </w:r>
      <w:r>
        <w:rPr>
          <w:rFonts w:ascii="Times New Roman" w:hAnsi="Times New Roman"/>
          <w:sz w:val="24"/>
        </w:rPr>
        <w:t xml:space="preserve"> </w:t>
      </w:r>
      <w:r>
        <w:rPr>
          <w:rFonts w:ascii="Times New Roman" w:hAnsi="Times New Roman"/>
          <w:sz w:val="24"/>
        </w:rPr>
        <w:t xml:space="preserve">How cryo-EM is revolutionizing structural biology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Trends in Biochemical Sciences</w:t>
      </w:r>
      <w:r>
        <w:rPr>
          <w:rFonts w:ascii="Times New Roman" w:hAnsi="Times New Roman"/>
          <w:sz w:val="24"/>
        </w:rPr>
        <w:t xml:space="preserve"> </w:t>
      </w:r>
      <w:r>
        <w:rPr>
          <w:rFonts w:ascii="Times New Roman" w:hAnsi="Times New Roman"/>
          <w:b/>
          <w:bCs/>
          <w:sz w:val="24"/>
        </w:rPr>
        <w:t xml:space="preserve">40</w:t>
      </w:r>
      <w:r>
        <w:rPr>
          <w:rFonts w:ascii="Times New Roman" w:hAnsi="Times New Roman"/>
          <w:sz w:val="24"/>
        </w:rPr>
        <w:t xml:space="preserve">, 49–57 (2015). https://doi.org/</w:t>
      </w:r>
      <w:hyperlink r:id="rId98">
        <w:r>
          <w:rPr>
            <w:rStyle w:val="Hyperlink"/>
          </w:rPr>
          <w:t xml:space="preserve">10.1016/j.tibs.2014.10.005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3. Jamali, K. et al.</w:t>
      </w:r>
      <w:r>
        <w:rPr>
          <w:rFonts w:ascii="Times New Roman" w:hAnsi="Times New Roman"/>
          <w:sz w:val="24"/>
        </w:rPr>
        <w:t xml:space="preserve"> </w:t>
      </w:r>
      <w:r>
        <w:rPr>
          <w:rFonts w:ascii="Times New Roman" w:hAnsi="Times New Roman"/>
          <w:sz w:val="24"/>
        </w:rPr>
        <w:t xml:space="preserve">Automated model building and protein identification in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b/>
          <w:bCs/>
          <w:sz w:val="24"/>
        </w:rPr>
        <w:t xml:space="preserve">628</w:t>
      </w:r>
      <w:r>
        <w:rPr>
          <w:rFonts w:ascii="Times New Roman" w:hAnsi="Times New Roman"/>
          <w:sz w:val="24"/>
        </w:rPr>
        <w:t xml:space="preserve">, 450–457 (2024). https://doi.org/</w:t>
      </w:r>
      <w:hyperlink r:id="rId99">
        <w:r>
          <w:rPr>
            <w:rStyle w:val="Hyperlink"/>
          </w:rPr>
          <w:t xml:space="preserve">10.1038/s41586-024-07215-4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4. Su, B. et al.</w:t>
      </w:r>
      <w:r>
        <w:rPr>
          <w:rFonts w:ascii="Times New Roman" w:hAnsi="Times New Roman"/>
          <w:sz w:val="24"/>
        </w:rPr>
        <w:t xml:space="preserve"> </w:t>
      </w:r>
      <w:r>
        <w:rPr>
          <w:rFonts w:ascii="Times New Roman" w:hAnsi="Times New Roman"/>
          <w:sz w:val="24"/>
        </w:rPr>
        <w:t xml:space="preserve">CryoAtom2: inverse folding-inspired deep learning enables accurate model building of protein-nucleic acid complexes in cryo-EM</w:t>
      </w:r>
      <w:r>
        <w:rPr>
          <w:rFonts w:ascii="Times New Roman" w:hAnsi="Times New Roman"/>
          <w:sz w:val="24"/>
        </w:rPr>
        <w:t xml:space="preserve">. (2026). https://doi.org/</w:t>
      </w:r>
      <w:hyperlink r:id="rId100">
        <w:r>
          <w:rPr>
            <w:rStyle w:val="Hyperlink"/>
          </w:rPr>
          <w:t xml:space="preserve">10.65215/LTSpreprints.2026.04.14.000185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5. Li, T., Chen, J., Li, H., Cao, H., &amp; Huang, S.-Y.</w:t>
      </w:r>
      <w:r>
        <w:rPr>
          <w:rFonts w:ascii="Times New Roman" w:hAnsi="Times New Roman"/>
          <w:sz w:val="24"/>
        </w:rPr>
        <w:t xml:space="preserve"> </w:t>
      </w:r>
      <w:r>
        <w:rPr>
          <w:rFonts w:ascii="Times New Roman" w:hAnsi="Times New Roman"/>
          <w:sz w:val="24"/>
        </w:rPr>
        <w:t xml:space="preserve">EMProt improves structure determination from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Structural &amp; Molecular Biology</w:t>
      </w:r>
      <w:r>
        <w:rPr>
          <w:rFonts w:ascii="Times New Roman" w:hAnsi="Times New Roman"/>
          <w:sz w:val="24"/>
        </w:rPr>
        <w:t xml:space="preserve"> </w:t>
      </w:r>
      <w:r>
        <w:rPr>
          <w:rFonts w:ascii="Times New Roman" w:hAnsi="Times New Roman"/>
          <w:b/>
          <w:bCs/>
          <w:sz w:val="24"/>
        </w:rPr>
        <w:t xml:space="preserve">33</w:t>
      </w:r>
      <w:r>
        <w:rPr>
          <w:rFonts w:ascii="Times New Roman" w:hAnsi="Times New Roman"/>
          <w:sz w:val="24"/>
        </w:rPr>
        <w:t xml:space="preserve">, 341–350 (2026). https://doi.org/</w:t>
      </w:r>
      <w:hyperlink r:id="rId101">
        <w:r>
          <w:rPr>
            <w:rStyle w:val="Hyperlink"/>
          </w:rPr>
          <w:t xml:space="preserve">10.1038/s41594-025-01723-1</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6. Cheng, Y.</w:t>
      </w:r>
      <w:r>
        <w:rPr>
          <w:rFonts w:ascii="Times New Roman" w:hAnsi="Times New Roman"/>
          <w:sz w:val="24"/>
        </w:rPr>
        <w:t xml:space="preserve"> </w:t>
      </w:r>
      <w:r>
        <w:rPr>
          <w:rFonts w:ascii="Times New Roman" w:hAnsi="Times New Roman"/>
          <w:sz w:val="24"/>
        </w:rPr>
        <w:t xml:space="preserve">Single-particle cryo-EM—How did it get here and where will it go</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w:t>
      </w:r>
      <w:r>
        <w:rPr>
          <w:rFonts w:ascii="Times New Roman" w:hAnsi="Times New Roman"/>
          <w:b/>
          <w:bCs/>
          <w:sz w:val="24"/>
        </w:rPr>
        <w:t xml:space="preserve">361</w:t>
      </w:r>
      <w:r>
        <w:rPr>
          <w:rFonts w:ascii="Times New Roman" w:hAnsi="Times New Roman"/>
          <w:sz w:val="24"/>
        </w:rPr>
        <w:t xml:space="preserve">, 876–880 (2018). https://doi.org/</w:t>
      </w:r>
      <w:hyperlink r:id="rId102">
        <w:r>
          <w:rPr>
            <w:rStyle w:val="Hyperlink"/>
          </w:rPr>
          <w:t xml:space="preserve">10.1126/science.aat4346</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7. Li, S., Jain, A., Kagaya, Y., Park, J. H., &amp; Kihara, D.</w:t>
      </w:r>
      <w:r>
        <w:rPr>
          <w:rFonts w:ascii="Times New Roman" w:hAnsi="Times New Roman"/>
          <w:sz w:val="24"/>
        </w:rPr>
        <w:t xml:space="preserve"> </w:t>
      </w:r>
      <w:r>
        <w:rPr>
          <w:rFonts w:ascii="Times New Roman" w:hAnsi="Times New Roman"/>
          <w:sz w:val="24"/>
        </w:rPr>
        <w:t xml:space="preserve">Direct Detection and Atomic Modeling of Ligands in Cryo-EM Maps Using Deep Learning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bioRxiv</w:t>
      </w:r>
      <w:r>
        <w:rPr>
          <w:rFonts w:ascii="Times New Roman" w:hAnsi="Times New Roman"/>
          <w:sz w:val="24"/>
        </w:rPr>
        <w:t xml:space="preserve"> </w:t>
      </w:r>
      <w:r>
        <w:rPr>
          <w:rFonts w:ascii="Times New Roman" w:hAnsi="Times New Roman"/>
          <w:sz w:val="24"/>
        </w:rPr>
        <w:t xml:space="preserve">(2026). https://doi.org/</w:t>
      </w:r>
      <w:hyperlink r:id="rId103">
        <w:r>
          <w:rPr>
            <w:rStyle w:val="Hyperlink"/>
          </w:rPr>
          <w:t xml:space="preserve">10.64898/2026.06.01.729423</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8. Muenks, A., Farrell, D. P., Zhou, G., &amp; DiMaio, F.</w:t>
      </w:r>
      <w:r>
        <w:rPr>
          <w:rFonts w:ascii="Times New Roman" w:hAnsi="Times New Roman"/>
          <w:sz w:val="24"/>
        </w:rPr>
        <w:t xml:space="preserve"> </w:t>
      </w:r>
      <w:r>
        <w:rPr>
          <w:rFonts w:ascii="Times New Roman" w:hAnsi="Times New Roman"/>
          <w:sz w:val="24"/>
        </w:rPr>
        <w:t xml:space="preserve">Automated identification of small molecules in cryoelectron microscopy data with density- and energy-guided evaluation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Structure</w:t>
      </w:r>
      <w:r>
        <w:rPr>
          <w:rFonts w:ascii="Times New Roman" w:hAnsi="Times New Roman"/>
          <w:sz w:val="24"/>
        </w:rPr>
        <w:t xml:space="preserve"> </w:t>
      </w:r>
      <w:r>
        <w:rPr>
          <w:rFonts w:ascii="Times New Roman" w:hAnsi="Times New Roman"/>
          <w:b/>
          <w:bCs/>
          <w:sz w:val="24"/>
        </w:rPr>
        <w:t xml:space="preserve">33</w:t>
      </w:r>
      <w:r>
        <w:rPr>
          <w:rFonts w:ascii="Times New Roman" w:hAnsi="Times New Roman"/>
          <w:sz w:val="24"/>
        </w:rPr>
        <w:t xml:space="preserve">, 1760–1770.e5 (2025). https://doi.org/</w:t>
      </w:r>
      <w:hyperlink r:id="rId104">
        <w:r>
          <w:rPr>
            <w:rStyle w:val="Hyperlink"/>
          </w:rPr>
          <w:t xml:space="preserve">10.1016/j.str.2025.07.002</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9. Corso, G., Stärk, H., Jing, B., Barzilay, R., &amp; Jaakkola, T.</w:t>
      </w:r>
      <w:r>
        <w:rPr>
          <w:rFonts w:ascii="Times New Roman" w:hAnsi="Times New Roman"/>
          <w:sz w:val="24"/>
        </w:rPr>
        <w:t xml:space="preserve"> </w:t>
      </w:r>
      <w:hyperlink r:id="rId105">
        <w:r>
          <w:rPr>
            <w:rStyle w:val="Hyperlink"/>
          </w:rPr>
          <w:t xml:space="preserve">DiffDock: Diffusion Steps, Twists, and Turns for Molecular Docking</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conference on learning representations (ICLR)</w:t>
      </w:r>
      <w:r>
        <w:rPr>
          <w:rFonts w:ascii="Times New Roman" w:hAnsi="Times New Roman"/>
          <w:sz w:val="24"/>
        </w:rPr>
        <w:t xml:space="preserve"> </w:t>
      </w:r>
      <w:r>
        <w:rPr>
          <w:rFonts w:ascii="Times New Roman" w:hAnsi="Times New Roman"/>
          <w:sz w:val="24"/>
        </w:rPr>
        <w:t xml:space="preserve">(2023).</w:t>
      </w:r>
    </w:p>
    <w:p>
      <w:pPr>
        <w:pStyle w:val="MDConverterBibliography"/>
        <w:spacing w:line="480" w:lineRule="auto"/>
      </w:pPr>
      <w:r>
        <w:rPr>
          <w:rFonts w:ascii="Times New Roman" w:hAnsi="Times New Roman"/>
          <w:sz w:val="24"/>
        </w:rPr>
        <w:t xml:space="preserve">10. Peng, X. et al.</w:t>
      </w:r>
      <w:r>
        <w:rPr>
          <w:rFonts w:ascii="Times New Roman" w:hAnsi="Times New Roman"/>
          <w:sz w:val="24"/>
        </w:rPr>
        <w:t xml:space="preserve"> </w:t>
      </w:r>
      <w:r>
        <w:rPr>
          <w:rFonts w:ascii="Times New Roman" w:hAnsi="Times New Roman"/>
          <w:sz w:val="24"/>
        </w:rPr>
        <w:t xml:space="preserve">Unified modeling of 3D molecular generation via atomic interactions with PocketXMol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Cell</w:t>
      </w:r>
      <w:r>
        <w:rPr>
          <w:rFonts w:ascii="Times New Roman" w:hAnsi="Times New Roman"/>
          <w:sz w:val="24"/>
        </w:rPr>
        <w:t xml:space="preserve"> </w:t>
      </w:r>
      <w:r>
        <w:rPr>
          <w:rFonts w:ascii="Times New Roman" w:hAnsi="Times New Roman"/>
          <w:b/>
          <w:bCs/>
          <w:sz w:val="24"/>
        </w:rPr>
        <w:t xml:space="preserve">189</w:t>
      </w:r>
      <w:r>
        <w:rPr>
          <w:rFonts w:ascii="Times New Roman" w:hAnsi="Times New Roman"/>
          <w:sz w:val="24"/>
        </w:rPr>
        <w:t xml:space="preserve">, 1904–1922.e28 (2026). https://doi.org/</w:t>
      </w:r>
      <w:hyperlink r:id="rId106">
        <w:r>
          <w:rPr>
            <w:rStyle w:val="Hyperlink"/>
          </w:rPr>
          <w:t xml:space="preserve">10.1016/j.cell.2026.01.003</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11. Muenks, A., Zepeda, S., Zhou, G., Veesler, D., &amp; DiMaio, F.</w:t>
      </w:r>
      <w:r>
        <w:rPr>
          <w:rFonts w:ascii="Times New Roman" w:hAnsi="Times New Roman"/>
          <w:sz w:val="24"/>
        </w:rPr>
        <w:t xml:space="preserve"> </w:t>
      </w:r>
      <w:r>
        <w:rPr>
          <w:rFonts w:ascii="Times New Roman" w:hAnsi="Times New Roman"/>
          <w:sz w:val="24"/>
        </w:rPr>
        <w:t xml:space="preserve">Automatic and accurate ligand structure determination guided by cryo-electron microscopy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w:t>
      </w:r>
      <w:r>
        <w:rPr>
          <w:rFonts w:ascii="Times New Roman" w:hAnsi="Times New Roman"/>
          <w:b/>
          <w:bCs/>
          <w:sz w:val="24"/>
        </w:rPr>
        <w:t xml:space="preserve">14</w:t>
      </w:r>
      <w:r>
        <w:rPr>
          <w:rFonts w:ascii="Times New Roman" w:hAnsi="Times New Roman"/>
          <w:sz w:val="24"/>
        </w:rPr>
        <w:t xml:space="preserve">, 1164 (2023). https://doi.org/</w:t>
      </w:r>
      <w:hyperlink r:id="rId107">
        <w:r>
          <w:rPr>
            <w:rStyle w:val="Hyperlink"/>
          </w:rPr>
          <w:t xml:space="preserve">10.1038/s41467-023-36732-5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12. Robertson, M. J., Zundert, G. C. P. van, Borrelli, K., &amp; Skiniotis, G.</w:t>
      </w:r>
      <w:r>
        <w:rPr>
          <w:rFonts w:ascii="Times New Roman" w:hAnsi="Times New Roman"/>
          <w:sz w:val="24"/>
        </w:rPr>
        <w:t xml:space="preserve"> </w:t>
      </w:r>
      <w:r>
        <w:rPr>
          <w:rFonts w:ascii="Times New Roman" w:hAnsi="Times New Roman"/>
          <w:sz w:val="24"/>
        </w:rPr>
        <w:t xml:space="preserve">GemSpot: A Pipeline for Robust Modeling of Ligands into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Structure</w:t>
      </w:r>
      <w:r>
        <w:rPr>
          <w:rFonts w:ascii="Times New Roman" w:hAnsi="Times New Roman"/>
          <w:sz w:val="24"/>
        </w:rPr>
        <w:t xml:space="preserve"> </w:t>
      </w:r>
      <w:r>
        <w:rPr>
          <w:rFonts w:ascii="Times New Roman" w:hAnsi="Times New Roman"/>
          <w:b/>
          <w:bCs/>
          <w:sz w:val="24"/>
        </w:rPr>
        <w:t xml:space="preserve">28</w:t>
      </w:r>
      <w:r>
        <w:rPr>
          <w:rFonts w:ascii="Times New Roman" w:hAnsi="Times New Roman"/>
          <w:sz w:val="24"/>
        </w:rPr>
        <w:t xml:space="preserve">, 707–716.e3 (2020). https://doi.org/</w:t>
      </w:r>
      <w:hyperlink r:id="rId108">
        <w:r>
          <w:rPr>
            <w:rStyle w:val="Hyperlink"/>
          </w:rPr>
          <w:t xml:space="preserve">10.1016/j.str.2020.04.018</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13. Sweeney, A., Mulvaney, T., Maiorca, M., &amp; Topf, M.</w:t>
      </w:r>
      <w:r>
        <w:rPr>
          <w:rFonts w:ascii="Times New Roman" w:hAnsi="Times New Roman"/>
          <w:sz w:val="24"/>
        </w:rPr>
        <w:t xml:space="preserve"> </w:t>
      </w:r>
      <w:r>
        <w:rPr>
          <w:rFonts w:ascii="Times New Roman" w:hAnsi="Times New Roman"/>
          <w:sz w:val="24"/>
        </w:rPr>
        <w:t xml:space="preserve">ChemEM: Flexible Docking of Small Molecules in Cryo-EM Structures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Medicinal Chemistry</w:t>
      </w:r>
      <w:r>
        <w:rPr>
          <w:rFonts w:ascii="Times New Roman" w:hAnsi="Times New Roman"/>
          <w:sz w:val="24"/>
        </w:rPr>
        <w:t xml:space="preserve"> </w:t>
      </w:r>
      <w:r>
        <w:rPr>
          <w:rFonts w:ascii="Times New Roman" w:hAnsi="Times New Roman"/>
          <w:b/>
          <w:bCs/>
          <w:sz w:val="24"/>
        </w:rPr>
        <w:t xml:space="preserve">67</w:t>
      </w:r>
      <w:r>
        <w:rPr>
          <w:rFonts w:ascii="Times New Roman" w:hAnsi="Times New Roman"/>
          <w:sz w:val="24"/>
        </w:rPr>
        <w:t xml:space="preserve">, 199–212 (2024). https://doi.org/</w:t>
      </w:r>
      <w:hyperlink r:id="rId109">
        <w:r>
          <w:rPr>
            <w:rStyle w:val="Hyperlink"/>
          </w:rPr>
          <w:t xml:space="preserve">10.1021/acs.jmedchem.3c01134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14. Weininger, D.</w:t>
      </w:r>
      <w:r>
        <w:rPr>
          <w:rFonts w:ascii="Times New Roman" w:hAnsi="Times New Roman"/>
          <w:sz w:val="24"/>
        </w:rPr>
        <w:t xml:space="preserve"> </w:t>
      </w:r>
      <w:r>
        <w:rPr>
          <w:rFonts w:ascii="Times New Roman" w:hAnsi="Times New Roman"/>
          <w:sz w:val="24"/>
        </w:rPr>
        <w:t xml:space="preserve">SMILES, a chemical language and information system. 1. Introduction to methodology and encoding rules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Chemical Information and Computer Sciences</w:t>
      </w:r>
      <w:r>
        <w:rPr>
          <w:rFonts w:ascii="Times New Roman" w:hAnsi="Times New Roman"/>
          <w:sz w:val="24"/>
        </w:rPr>
        <w:t xml:space="preserve"> </w:t>
      </w:r>
      <w:r>
        <w:rPr>
          <w:rFonts w:ascii="Times New Roman" w:hAnsi="Times New Roman"/>
          <w:b/>
          <w:bCs/>
          <w:sz w:val="24"/>
        </w:rPr>
        <w:t xml:space="preserve">28</w:t>
      </w:r>
      <w:r>
        <w:rPr>
          <w:rFonts w:ascii="Times New Roman" w:hAnsi="Times New Roman"/>
          <w:sz w:val="24"/>
        </w:rPr>
        <w:t xml:space="preserve">, 31–36 (1988). https://doi.org/</w:t>
      </w:r>
      <w:hyperlink r:id="rId110">
        <w:r>
          <w:rPr>
            <w:rStyle w:val="Hyperlink"/>
          </w:rPr>
          <w:t xml:space="preserve">10.1021/ci00057a005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15. Kuhn, H. W.</w:t>
      </w:r>
      <w:r>
        <w:rPr>
          <w:rFonts w:ascii="Times New Roman" w:hAnsi="Times New Roman"/>
          <w:sz w:val="24"/>
        </w:rPr>
        <w:t xml:space="preserve"> </w:t>
      </w:r>
      <w:r>
        <w:rPr>
          <w:rFonts w:ascii="Times New Roman" w:hAnsi="Times New Roman"/>
          <w:sz w:val="24"/>
        </w:rPr>
        <w:t xml:space="preserve">The Hungarian method for the assignment problem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Naval Research Logistics Quarterly</w:t>
      </w:r>
      <w:r>
        <w:rPr>
          <w:rFonts w:ascii="Times New Roman" w:hAnsi="Times New Roman"/>
          <w:sz w:val="24"/>
        </w:rPr>
        <w:t xml:space="preserve"> </w:t>
      </w:r>
      <w:r>
        <w:rPr>
          <w:rFonts w:ascii="Times New Roman" w:hAnsi="Times New Roman"/>
          <w:b/>
          <w:bCs/>
          <w:sz w:val="24"/>
        </w:rPr>
        <w:t xml:space="preserve">2</w:t>
      </w:r>
      <w:r>
        <w:rPr>
          <w:rFonts w:ascii="Times New Roman" w:hAnsi="Times New Roman"/>
          <w:sz w:val="24"/>
        </w:rPr>
        <w:t xml:space="preserve">, 83–97 (1955). https://doi.org/</w:t>
      </w:r>
      <w:hyperlink r:id="rId111">
        <w:r>
          <w:rPr>
            <w:rStyle w:val="Hyperlink"/>
          </w:rPr>
          <w:t xml:space="preserve">10.1002/nav.3800020109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16. The wwPDB Consortium.</w:t>
      </w:r>
      <w:r>
        <w:rPr>
          <w:rFonts w:ascii="Times New Roman" w:hAnsi="Times New Roman"/>
          <w:sz w:val="24"/>
        </w:rPr>
        <w:t xml:space="preserve"> </w:t>
      </w:r>
      <w:r>
        <w:rPr>
          <w:rFonts w:ascii="Times New Roman" w:hAnsi="Times New Roman"/>
          <w:sz w:val="24"/>
        </w:rPr>
        <w:t xml:space="preserve">EMDB—the Electron Microscopy Data Bank</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Nucleic Acids Research</w:t>
      </w:r>
      <w:r>
        <w:rPr>
          <w:rFonts w:ascii="Times New Roman" w:hAnsi="Times New Roman"/>
          <w:sz w:val="24"/>
        </w:rPr>
        <w:t xml:space="preserve"> </w:t>
      </w:r>
      <w:r>
        <w:rPr>
          <w:rFonts w:ascii="Times New Roman" w:hAnsi="Times New Roman"/>
          <w:b/>
          <w:bCs/>
          <w:sz w:val="24"/>
        </w:rPr>
        <w:t xml:space="preserve">52</w:t>
      </w:r>
      <w:r>
        <w:rPr>
          <w:rFonts w:ascii="Times New Roman" w:hAnsi="Times New Roman"/>
          <w:sz w:val="24"/>
        </w:rPr>
        <w:t xml:space="preserve">, D456–D465 (2024). https://doi.org/</w:t>
      </w:r>
      <w:hyperlink r:id="rId112">
        <w:r>
          <w:rPr>
            <w:rStyle w:val="Hyperlink"/>
          </w:rPr>
          <w:t xml:space="preserve">10.1093/nar/gkad1019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17. Berman, H. M. et al.</w:t>
      </w:r>
      <w:r>
        <w:rPr>
          <w:rFonts w:ascii="Times New Roman" w:hAnsi="Times New Roman"/>
          <w:sz w:val="24"/>
        </w:rPr>
        <w:t xml:space="preserve"> </w:t>
      </w:r>
      <w:r>
        <w:rPr>
          <w:rFonts w:ascii="Times New Roman" w:hAnsi="Times New Roman"/>
          <w:sz w:val="24"/>
        </w:rPr>
        <w:t xml:space="preserve">The Protein Data Bank</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Nucleic Acids Research</w:t>
      </w:r>
      <w:r>
        <w:rPr>
          <w:rFonts w:ascii="Times New Roman" w:hAnsi="Times New Roman"/>
          <w:sz w:val="24"/>
        </w:rPr>
        <w:t xml:space="preserve"> </w:t>
      </w:r>
      <w:r>
        <w:rPr>
          <w:rFonts w:ascii="Times New Roman" w:hAnsi="Times New Roman"/>
          <w:b/>
          <w:bCs/>
          <w:sz w:val="24"/>
        </w:rPr>
        <w:t xml:space="preserve">28</w:t>
      </w:r>
      <w:r>
        <w:rPr>
          <w:rFonts w:ascii="Times New Roman" w:hAnsi="Times New Roman"/>
          <w:sz w:val="24"/>
        </w:rPr>
        <w:t xml:space="preserve">, 235–242 (2000). https://doi.org/</w:t>
      </w:r>
      <w:hyperlink r:id="rId113">
        <w:r>
          <w:rPr>
            <w:rStyle w:val="Hyperlink"/>
          </w:rPr>
          <w:t xml:space="preserve">10.1093/nar/28.1.235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18. Steinegger, M. &amp; Söding, J.</w:t>
      </w:r>
      <w:r>
        <w:rPr>
          <w:rFonts w:ascii="Times New Roman" w:hAnsi="Times New Roman"/>
          <w:sz w:val="24"/>
        </w:rPr>
        <w:t xml:space="preserve"> </w:t>
      </w:r>
      <w:r>
        <w:rPr>
          <w:rFonts w:ascii="Times New Roman" w:hAnsi="Times New Roman"/>
          <w:sz w:val="24"/>
        </w:rPr>
        <w:t xml:space="preserve">MMseqs2 enables sensitive protein sequence searching for the analysis of massive data sets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Biotechnology</w:t>
      </w:r>
      <w:r>
        <w:rPr>
          <w:rFonts w:ascii="Times New Roman" w:hAnsi="Times New Roman"/>
          <w:sz w:val="24"/>
        </w:rPr>
        <w:t xml:space="preserve"> </w:t>
      </w:r>
      <w:r>
        <w:rPr>
          <w:rFonts w:ascii="Times New Roman" w:hAnsi="Times New Roman"/>
          <w:b/>
          <w:bCs/>
          <w:sz w:val="24"/>
        </w:rPr>
        <w:t xml:space="preserve">35</w:t>
      </w:r>
      <w:r>
        <w:rPr>
          <w:rFonts w:ascii="Times New Roman" w:hAnsi="Times New Roman"/>
          <w:sz w:val="24"/>
        </w:rPr>
        <w:t xml:space="preserve">, 1026–1028 (2017). https://doi.org/</w:t>
      </w:r>
      <w:hyperlink r:id="rId114">
        <w:r>
          <w:rPr>
            <w:rStyle w:val="Hyperlink"/>
          </w:rPr>
          <w:t xml:space="preserve">10.1038/nbt.3988</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19. Pettersen, E. F. et al.</w:t>
      </w:r>
      <w:r>
        <w:rPr>
          <w:rFonts w:ascii="Times New Roman" w:hAnsi="Times New Roman"/>
          <w:sz w:val="24"/>
        </w:rPr>
        <w:t xml:space="preserve"> </w:t>
      </w:r>
      <w:r>
        <w:rPr>
          <w:rFonts w:ascii="Times New Roman" w:hAnsi="Times New Roman"/>
          <w:sz w:val="24"/>
        </w:rPr>
        <w:t xml:space="preserve">UCSF Chimera—a visualization system for exploratory research and analysis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Computational Chemistry</w:t>
      </w:r>
      <w:r>
        <w:rPr>
          <w:rFonts w:ascii="Times New Roman" w:hAnsi="Times New Roman"/>
          <w:sz w:val="24"/>
        </w:rPr>
        <w:t xml:space="preserve"> </w:t>
      </w:r>
      <w:r>
        <w:rPr>
          <w:rFonts w:ascii="Times New Roman" w:hAnsi="Times New Roman"/>
          <w:b/>
          <w:bCs/>
          <w:sz w:val="24"/>
        </w:rPr>
        <w:t xml:space="preserve">25</w:t>
      </w:r>
      <w:r>
        <w:rPr>
          <w:rFonts w:ascii="Times New Roman" w:hAnsi="Times New Roman"/>
          <w:sz w:val="24"/>
        </w:rPr>
        <w:t xml:space="preserve">, 1605–1612 (2004). https://doi.org/</w:t>
      </w:r>
      <w:hyperlink r:id="rId115">
        <w:r>
          <w:rPr>
            <w:rStyle w:val="Hyperlink"/>
          </w:rPr>
          <w:t xml:space="preserve">10.1002/jcc.20084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20. Park, C., Jeong, Y., Cho, M., &amp; Park, J.</w:t>
      </w:r>
      <w:r>
        <w:rPr>
          <w:rFonts w:ascii="Times New Roman" w:hAnsi="Times New Roman"/>
          <w:sz w:val="24"/>
        </w:rPr>
        <w:t xml:space="preserve"> </w:t>
      </w:r>
      <w:r>
        <w:rPr>
          <w:rFonts w:ascii="Times New Roman" w:hAnsi="Times New Roman"/>
          <w:sz w:val="24"/>
        </w:rPr>
        <w:t xml:space="preserve">Fast Point Transformer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2022 IEEE/CVF conference on computer vision and pattern recognition (CVPR)</w:t>
      </w:r>
      <w:r>
        <w:rPr>
          <w:rFonts w:ascii="Times New Roman" w:hAnsi="Times New Roman"/>
          <w:sz w:val="24"/>
        </w:rPr>
        <w:t xml:space="preserve"> </w:t>
      </w:r>
      <w:r>
        <w:rPr>
          <w:rFonts w:ascii="Times New Roman" w:hAnsi="Times New Roman"/>
          <w:sz w:val="24"/>
        </w:rPr>
        <w:t xml:space="preserve">16928–16937 (2022). https://doi.org/</w:t>
      </w:r>
      <w:hyperlink r:id="rId116">
        <w:r>
          <w:rPr>
            <w:rStyle w:val="Hyperlink"/>
          </w:rPr>
          <w:t xml:space="preserve">10.1109/cvpr52688.2022.01644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21. Çiçek, Ö., Abdulkadir, A., Lienkamp, S. S., Brox, T., &amp; Ronneberger, O.</w:t>
      </w:r>
      <w:r>
        <w:rPr>
          <w:rFonts w:ascii="Times New Roman" w:hAnsi="Times New Roman"/>
          <w:sz w:val="24"/>
        </w:rPr>
        <w:t xml:space="preserve"> </w:t>
      </w:r>
      <w:r>
        <w:rPr>
          <w:rFonts w:ascii="Times New Roman" w:hAnsi="Times New Roman"/>
          <w:sz w:val="24"/>
        </w:rPr>
        <w:t xml:space="preserve">3D U-Net: Learning Dense Volumetric Segmentation from Sparse Annotation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Medical image computing and computer-assisted intervention – MICCAI 2016</w:t>
      </w:r>
      <w:r>
        <w:rPr>
          <w:rFonts w:ascii="Times New Roman" w:hAnsi="Times New Roman"/>
          <w:sz w:val="24"/>
        </w:rPr>
        <w:t xml:space="preserve"> </w:t>
      </w:r>
      <w:r>
        <w:rPr>
          <w:rFonts w:ascii="Times New Roman" w:hAnsi="Times New Roman"/>
          <w:sz w:val="24"/>
        </w:rPr>
        <w:t xml:space="preserve">424–432 (2016). https://doi.org/</w:t>
      </w:r>
      <w:hyperlink r:id="rId117">
        <w:r>
          <w:rPr>
            <w:rStyle w:val="Hyperlink"/>
          </w:rPr>
          <w:t xml:space="preserve">10.1007/978-3-319-46723-8_49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22. Wu, X. et al.</w:t>
      </w:r>
      <w:r>
        <w:rPr>
          <w:rFonts w:ascii="Times New Roman" w:hAnsi="Times New Roman"/>
          <w:sz w:val="24"/>
        </w:rPr>
        <w:t xml:space="preserve"> </w:t>
      </w:r>
      <w:r>
        <w:rPr>
          <w:rFonts w:ascii="Times New Roman" w:hAnsi="Times New Roman"/>
          <w:sz w:val="24"/>
        </w:rPr>
        <w:t xml:space="preserve">Point Transformer V3: Simpler, Faster, Stronger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2024 IEEE/CVF conference on computer vision and pattern recognition (CVPR)</w:t>
      </w:r>
      <w:r>
        <w:rPr>
          <w:rFonts w:ascii="Times New Roman" w:hAnsi="Times New Roman"/>
          <w:sz w:val="24"/>
        </w:rPr>
        <w:t xml:space="preserve"> </w:t>
      </w:r>
      <w:r>
        <w:rPr>
          <w:rFonts w:ascii="Times New Roman" w:hAnsi="Times New Roman"/>
          <w:sz w:val="24"/>
        </w:rPr>
        <w:t xml:space="preserve">4840–4851 (2024). https://doi.org/</w:t>
      </w:r>
      <w:hyperlink r:id="rId118">
        <w:r>
          <w:rPr>
            <w:rStyle w:val="Hyperlink"/>
          </w:rPr>
          <w:t xml:space="preserve">10.1109/cvpr52733.2024.00463</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23. Abramson, J. et al.</w:t>
      </w:r>
      <w:r>
        <w:rPr>
          <w:rFonts w:ascii="Times New Roman" w:hAnsi="Times New Roman"/>
          <w:sz w:val="24"/>
        </w:rPr>
        <w:t xml:space="preserve"> </w:t>
      </w:r>
      <w:r>
        <w:rPr>
          <w:rFonts w:ascii="Times New Roman" w:hAnsi="Times New Roman"/>
          <w:sz w:val="24"/>
        </w:rPr>
        <w:t xml:space="preserve">Accurate structure prediction of biomolecular interactions with AlphaFold 3</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b/>
          <w:bCs/>
          <w:sz w:val="24"/>
        </w:rPr>
        <w:t xml:space="preserve">630</w:t>
      </w:r>
      <w:r>
        <w:rPr>
          <w:rFonts w:ascii="Times New Roman" w:hAnsi="Times New Roman"/>
          <w:sz w:val="24"/>
        </w:rPr>
        <w:t xml:space="preserve">, 493–500 (2024). https://doi.org/</w:t>
      </w:r>
      <w:hyperlink r:id="rId119">
        <w:r>
          <w:rPr>
            <w:rStyle w:val="Hyperlink"/>
          </w:rPr>
          <w:t xml:space="preserve">10.1038/s41586-024-07487-w</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24. Lin, T.-Y., Goyal, P., Girshick, R., He, K., &amp; Dollár, P.</w:t>
      </w:r>
      <w:r>
        <w:rPr>
          <w:rFonts w:ascii="Times New Roman" w:hAnsi="Times New Roman"/>
          <w:sz w:val="24"/>
        </w:rPr>
        <w:t xml:space="preserve"> </w:t>
      </w:r>
      <w:r>
        <w:rPr>
          <w:rFonts w:ascii="Times New Roman" w:hAnsi="Times New Roman"/>
          <w:sz w:val="24"/>
        </w:rPr>
        <w:t xml:space="preserve">Focal Loss for Dense Object Detection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2017 IEEE international conference on computer vision (ICCV)</w:t>
      </w:r>
      <w:r>
        <w:rPr>
          <w:rFonts w:ascii="Times New Roman" w:hAnsi="Times New Roman"/>
          <w:sz w:val="24"/>
        </w:rPr>
        <w:t xml:space="preserve"> </w:t>
      </w:r>
      <w:r>
        <w:rPr>
          <w:rFonts w:ascii="Times New Roman" w:hAnsi="Times New Roman"/>
          <w:sz w:val="24"/>
        </w:rPr>
        <w:t xml:space="preserve">2999–3007 (2017). https://doi.org/</w:t>
      </w:r>
      <w:hyperlink r:id="rId120">
        <w:r>
          <w:rPr>
            <w:rStyle w:val="Hyperlink"/>
          </w:rPr>
          <w:t xml:space="preserve">10.1109/iccv.2017.324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25. Milletari, F., Navab, N., &amp; Ahmadi, S.-A.</w:t>
      </w:r>
      <w:r>
        <w:rPr>
          <w:rFonts w:ascii="Times New Roman" w:hAnsi="Times New Roman"/>
          <w:sz w:val="24"/>
        </w:rPr>
        <w:t xml:space="preserve"> </w:t>
      </w:r>
      <w:r>
        <w:rPr>
          <w:rFonts w:ascii="Times New Roman" w:hAnsi="Times New Roman"/>
          <w:sz w:val="24"/>
        </w:rPr>
        <w:t xml:space="preserve">V-Net: Fully Convolutional Neural Networks for Volumetric Medical Image Segmentation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2016 fourth international conference on 3D vision (3DV)</w:t>
      </w:r>
      <w:r>
        <w:rPr>
          <w:rFonts w:ascii="Times New Roman" w:hAnsi="Times New Roman"/>
          <w:sz w:val="24"/>
        </w:rPr>
        <w:t xml:space="preserve"> </w:t>
      </w:r>
      <w:r>
        <w:rPr>
          <w:rFonts w:ascii="Times New Roman" w:hAnsi="Times New Roman"/>
          <w:sz w:val="24"/>
        </w:rPr>
        <w:t xml:space="preserve">565–571 (2016). https://doi.org/</w:t>
      </w:r>
      <w:hyperlink r:id="rId121">
        <w:r>
          <w:rPr>
            <w:rStyle w:val="Hyperlink"/>
          </w:rPr>
          <w:t xml:space="preserve">10.1109/3dv.2016.79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26. Isensee, F., Jaeger, P. F., Kohl, S. A. A., Petersen, J., &amp; Maier-Hein, K. H.</w:t>
      </w:r>
      <w:r>
        <w:rPr>
          <w:rFonts w:ascii="Times New Roman" w:hAnsi="Times New Roman"/>
          <w:sz w:val="24"/>
        </w:rPr>
        <w:t xml:space="preserve"> </w:t>
      </w:r>
      <w:r>
        <w:rPr>
          <w:rFonts w:ascii="Times New Roman" w:hAnsi="Times New Roman"/>
          <w:sz w:val="24"/>
        </w:rPr>
        <w:t xml:space="preserve">nnU-Net: a self-configuring method for deep learning-based biomedical image segmentation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Methods</w:t>
      </w:r>
      <w:r>
        <w:rPr>
          <w:rFonts w:ascii="Times New Roman" w:hAnsi="Times New Roman"/>
          <w:sz w:val="24"/>
        </w:rPr>
        <w:t xml:space="preserve"> </w:t>
      </w:r>
      <w:r>
        <w:rPr>
          <w:rFonts w:ascii="Times New Roman" w:hAnsi="Times New Roman"/>
          <w:b/>
          <w:bCs/>
          <w:sz w:val="24"/>
        </w:rPr>
        <w:t xml:space="preserve">18</w:t>
      </w:r>
      <w:r>
        <w:rPr>
          <w:rFonts w:ascii="Times New Roman" w:hAnsi="Times New Roman"/>
          <w:sz w:val="24"/>
        </w:rPr>
        <w:t xml:space="preserve">, 203–211 (2021). https://doi.org/</w:t>
      </w:r>
      <w:hyperlink r:id="rId122">
        <w:r>
          <w:rPr>
            <w:rStyle w:val="Hyperlink"/>
          </w:rPr>
          <w:t xml:space="preserve">10.1038/s41592-020-01008-z</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27. Soares, E. et al.</w:t>
      </w:r>
      <w:r>
        <w:rPr>
          <w:rFonts w:ascii="Times New Roman" w:hAnsi="Times New Roman"/>
          <w:sz w:val="24"/>
        </w:rPr>
        <w:t xml:space="preserve"> </w:t>
      </w:r>
      <w:r>
        <w:rPr>
          <w:rFonts w:ascii="Times New Roman" w:hAnsi="Times New Roman"/>
          <w:sz w:val="24"/>
        </w:rPr>
        <w:t xml:space="preserve">An open-source family of large encoder-decoder foundation models for chemistry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Communications Chemistry</w:t>
      </w:r>
      <w:r>
        <w:rPr>
          <w:rFonts w:ascii="Times New Roman" w:hAnsi="Times New Roman"/>
          <w:sz w:val="24"/>
        </w:rPr>
        <w:t xml:space="preserve"> </w:t>
      </w:r>
      <w:r>
        <w:rPr>
          <w:rFonts w:ascii="Times New Roman" w:hAnsi="Times New Roman"/>
          <w:b/>
          <w:bCs/>
          <w:sz w:val="24"/>
        </w:rPr>
        <w:t xml:space="preserve">8</w:t>
      </w:r>
      <w:r>
        <w:rPr>
          <w:rFonts w:ascii="Times New Roman" w:hAnsi="Times New Roman"/>
          <w:sz w:val="24"/>
        </w:rPr>
        <w:t xml:space="preserve">, 193 (2025). https://doi.org/</w:t>
      </w:r>
      <w:hyperlink r:id="rId123">
        <w:r>
          <w:rPr>
            <w:rStyle w:val="Hyperlink"/>
          </w:rPr>
          <w:t xml:space="preserve">10.1038/s42004-025-01585-0</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28. Vaswani, A. et al.</w:t>
      </w:r>
      <w:r>
        <w:rPr>
          <w:rFonts w:ascii="Times New Roman" w:hAnsi="Times New Roman"/>
          <w:sz w:val="24"/>
        </w:rPr>
        <w:t xml:space="preserve"> </w:t>
      </w:r>
      <w:hyperlink r:id="rId124">
        <w:r>
          <w:rPr>
            <w:rStyle w:val="Hyperlink"/>
          </w:rPr>
          <w:t xml:space="preserve">Attention Is All You Need</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w:t>
      </w:r>
      <w:r>
        <w:rPr>
          <w:rFonts w:ascii="Times New Roman" w:hAnsi="Times New Roman"/>
          <w:b/>
          <w:bCs/>
          <w:sz w:val="24"/>
        </w:rPr>
        <w:t xml:space="preserve">30</w:t>
      </w:r>
      <w:r>
        <w:rPr>
          <w:rFonts w:ascii="Times New Roman" w:hAnsi="Times New Roman"/>
          <w:sz w:val="24"/>
        </w:rPr>
        <w:t xml:space="preserve">, (2017).</w:t>
      </w:r>
    </w:p>
    <w:p>
      <w:pPr>
        <w:pStyle w:val="MDConverterBibliography"/>
        <w:spacing w:line="480" w:lineRule="auto"/>
      </w:pPr>
      <w:r>
        <w:rPr>
          <w:rFonts w:ascii="Times New Roman" w:hAnsi="Times New Roman"/>
          <w:sz w:val="24"/>
        </w:rPr>
        <w:t xml:space="preserve">29. Perez, E., Strub, F., Vries, H. de, Dumoulin, V., &amp; Courville, A.</w:t>
      </w:r>
      <w:r>
        <w:rPr>
          <w:rFonts w:ascii="Times New Roman" w:hAnsi="Times New Roman"/>
          <w:sz w:val="24"/>
        </w:rPr>
        <w:t xml:space="preserve"> </w:t>
      </w:r>
      <w:r>
        <w:rPr>
          <w:rFonts w:ascii="Times New Roman" w:hAnsi="Times New Roman"/>
          <w:sz w:val="24"/>
        </w:rPr>
        <w:t xml:space="preserve">FiLM: Visual Reasoning with a General Conditioning Layer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Proceedings of the AAAI conference on artificial intelligence</w:t>
      </w:r>
      <w:r>
        <w:rPr>
          <w:rFonts w:ascii="Times New Roman" w:hAnsi="Times New Roman"/>
          <w:sz w:val="24"/>
        </w:rPr>
        <w:t xml:space="preserve"> </w:t>
      </w:r>
      <w:r>
        <w:rPr>
          <w:rFonts w:ascii="Times New Roman" w:hAnsi="Times New Roman"/>
          <w:b/>
          <w:bCs/>
          <w:sz w:val="24"/>
        </w:rPr>
        <w:t xml:space="preserve">32</w:t>
      </w:r>
      <w:r>
        <w:rPr>
          <w:rFonts w:ascii="Times New Roman" w:hAnsi="Times New Roman"/>
          <w:sz w:val="24"/>
        </w:rPr>
        <w:t xml:space="preserve">, (2018). https://doi.org/</w:t>
      </w:r>
      <w:hyperlink r:id="rId125">
        <w:r>
          <w:rPr>
            <w:rStyle w:val="Hyperlink"/>
          </w:rPr>
          <w:t xml:space="preserve">10.1609/aaai.v32i1.11671</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30. Trott, O. &amp; Olson, A. J.</w:t>
      </w:r>
      <w:r>
        <w:rPr>
          <w:rFonts w:ascii="Times New Roman" w:hAnsi="Times New Roman"/>
          <w:sz w:val="24"/>
        </w:rPr>
        <w:t xml:space="preserve"> </w:t>
      </w:r>
      <w:r>
        <w:rPr>
          <w:rFonts w:ascii="Times New Roman" w:hAnsi="Times New Roman"/>
          <w:sz w:val="24"/>
        </w:rPr>
        <w:t xml:space="preserve">AutoDock Vina: Improving the speed and accuracy of docking with a new scoring function, efficient optimization, and multithreading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Computational Chemistry</w:t>
      </w:r>
      <w:r>
        <w:rPr>
          <w:rFonts w:ascii="Times New Roman" w:hAnsi="Times New Roman"/>
          <w:sz w:val="24"/>
        </w:rPr>
        <w:t xml:space="preserve"> </w:t>
      </w:r>
      <w:r>
        <w:rPr>
          <w:rFonts w:ascii="Times New Roman" w:hAnsi="Times New Roman"/>
          <w:b/>
          <w:bCs/>
          <w:sz w:val="24"/>
        </w:rPr>
        <w:t xml:space="preserve">31</w:t>
      </w:r>
      <w:r>
        <w:rPr>
          <w:rFonts w:ascii="Times New Roman" w:hAnsi="Times New Roman"/>
          <w:sz w:val="24"/>
        </w:rPr>
        <w:t xml:space="preserve">, 455–461 (2010). https://doi.org/</w:t>
      </w:r>
      <w:hyperlink r:id="rId126">
        <w:r>
          <w:rPr>
            <w:rStyle w:val="Hyperlink"/>
          </w:rPr>
          <w:t xml:space="preserve">10.1002/jcc.21334</w:t>
        </w:r>
      </w:hyperlink>
      <w:r>
        <w:rPr>
          <w:rFonts w:ascii="Times New Roman" w:hAnsi="Times New Roman"/>
          <w:sz w:val="24"/>
        </w:rPr>
        <w:t xml:space="preserve">.</w:t>
      </w:r>
    </w:p>
    <w:bookmarkEnd w:id="127"/>
    <w:bookmarkEnd w:id="128"/>
    <w:sectPr>
      <w:footnotePr>
        <w:numRestart w:val="eachSect"/>
      </w:footnotePr>
      <w:pgSz w:w="11909" w:h="16834"/>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120"/>
    </w:pPr>
    <w:rPr>
      <w:rFonts w:ascii="Times New Roman" w:hAnsi="Times New Roman"/>
      <w:color w:val="000000"/>
      <w:sz w:val="24"/>
    </w:rPr>
  </w:style>
  <w:style w:styleId="BodyText" w:type="paragraph">
    <w:name w:val="Body Text"/>
    <w:basedOn w:val="Normal"/>
    <w:link w:val="BodyTextChar"/>
    <w:qFormat/>
    <w:pPr>
      <w:spacing w:after="120" w:before="0" w:line="480" w:lineRule="auto"/>
    </w:pPr>
    <w:rPr>
      <w:rFonts w:ascii="Times New Roman" w:hAnsi="Times New Roman"/>
      <w:color w:val="000000"/>
      <w:sz w:val="24"/>
    </w:rPr>
  </w:style>
  <w:style w:customStyle="1" w:styleId="FirstParagraph" w:type="paragraph">
    <w:name w:val="First Paragraph"/>
    <w:basedOn w:val="BodyText"/>
    <w:next w:val="BodyText"/>
    <w:qFormat/>
    <w:pPr>
      <w:spacing w:line="480" w:lineRule="auto" w:before="0" w:after="120"/>
    </w:pPr>
    <w:rPr>
      <w:rFonts w:ascii="Times New Roman" w:hAnsi="Times New Roman"/>
      <w:color w:val="000000"/>
      <w:sz w:val="24"/>
    </w:rPr>
  </w:style>
  <w:style w:customStyle="1" w:styleId="Compact" w:type="paragraph">
    <w:name w:val="Compact"/>
    <w:basedOn w:val="BodyText"/>
    <w:qFormat/>
    <w:pPr>
      <w:spacing w:after="120" w:before="0" w:line="48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heme="majorHAnsi" w:cstheme="majorBidi" w:eastAsiaTheme="majorEastAsia" w:hAnsiTheme="majorHAnsi" w:ascii="Times New Roman" w:hAnsi="Times New Roman"/>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pPr>
    <w:rPr>
      <w:rFonts w:cstheme="majorBidi" w:eastAsiaTheme="majorEastAsia" w:ascii="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before="0" w:after="120"/>
    </w:pPr>
    <w:rPr>
      <w:rFonts w:ascii="Times New Roman" w:hAnsi="Times New Roman"/>
      <w:color w:val="000000"/>
      <w:sz w:val="24"/>
      <w:szCs w:val="24"/>
    </w:rPr>
  </w:style>
  <w:style w:styleId="Date" w:type="paragraph">
    <w:name w:val="Date"/>
    <w:basedOn w:val="Title"/>
    <w:next w:val="BodyText"/>
    <w:qFormat/>
    <w:pPr>
      <w:keepNext/>
      <w:keepLines/>
      <w:spacing w:line="480" w:lineRule="auto" w:before="0" w:after="120"/>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120" w:before="0" w:line="480" w:lineRule="auto"/>
      <w:jc w:val="center"/>
    </w:pPr>
    <w:rPr>
      <w:rFonts w:ascii="Times New Roman" w:hAnsi="Times New Roman"/>
      <w:b/>
      <w:color w:val="000000"/>
      <w:sz w:val="24"/>
      <w:szCs w:val="20"/>
    </w:rPr>
  </w:style>
  <w:style w:customStyle="1" w:styleId="Abstract" w:type="paragraph">
    <w:name w:val="Abstract"/>
    <w:basedOn w:val="Normal"/>
    <w:next w:val="BodyText"/>
    <w:qFormat/>
    <w:pPr>
      <w:keepNext/>
      <w:keepLines/>
      <w:spacing w:after="120" w:before="0" w:line="480" w:lineRule="auto"/>
    </w:pPr>
    <w:rPr>
      <w:rFonts w:ascii="Times New Roman" w:hAnsi="Times New Roman"/>
      <w:color w:val="000000"/>
      <w:sz w:val="24"/>
      <w:szCs w:val="20"/>
    </w:rPr>
  </w:style>
  <w:style w:styleId="Bibliography" w:type="paragraph">
    <w:name w:val="Bibliography"/>
    <w:basedOn w:val="Normal"/>
    <w:next w:val="Bibliography"/>
    <w:qFormat/>
    <w:pPr>
      <w:spacing w:line="480" w:lineRule="auto" w:before="0" w:after="120"/>
    </w:pPr>
    <w:rPr>
      <w:rFonts w:ascii="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80" w:line="480" w:lineRule="auto"/>
      <w:outlineLvl w:val="2"/>
    </w:pPr>
    <w:rPr>
      <w:rFonts w:cstheme="majorBidi" w:eastAsiaTheme="majorEastAsia" w:ascii="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180" w:line="480" w:lineRule="auto"/>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180" w:line="480" w:lineRule="auto"/>
      <w:outlineLvl w:val="4"/>
    </w:pPr>
    <w:rPr>
      <w:rFonts w:cstheme="majorBidi" w:eastAsiaTheme="majorEastAsia" w:ascii="Times New Roman" w:hAnsi="Times New Roman"/>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180" w:line="480" w:lineRule="auto"/>
      <w:outlineLvl w:val="5"/>
    </w:pPr>
    <w:rPr>
      <w:rFonts w:cstheme="majorBidi" w:eastAsiaTheme="majorEastAsia" w:ascii="Times New Roman" w:hAnsi="Times New Roman"/>
      <w:b w:val="0"/>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0" w:line="480" w:lineRule="auto"/>
      <w:outlineLvl w:val="6"/>
    </w:pPr>
    <w:rPr>
      <w:rFonts w:cstheme="majorBidi" w:eastAsiaTheme="majorEastAsia" w:ascii="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480" w:lineRule="auto" w:before="0"/>
      <w:outlineLvl w:val="7"/>
    </w:pPr>
    <w:rPr>
      <w:rFonts w:cstheme="majorBidi" w:eastAsiaTheme="majorEastAsia" w:ascii="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480" w:lineRule="auto" w:before="0"/>
      <w:outlineLvl w:val="8"/>
    </w:pPr>
    <w:rPr>
      <w:rFonts w:cstheme="majorBidi" w:eastAsiaTheme="majorEastAsia" w:ascii="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480"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line="480" w:lineRule="auto" w:before="0" w:after="120"/>
    </w:pPr>
    <w:rPr>
      <w:rFonts w:ascii="Times New Roman" w:hAnsi="Times New Roman"/>
      <w:color w:val="000000"/>
      <w:sz w:val="24"/>
    </w:rPr>
  </w:style>
  <w:style w:styleId="FootnoteBlockText" w:type="paragraph">
    <w:name w:val="Footnote Block Text"/>
    <w:basedOn w:val="FootnoteText"/>
    <w:next w:val="FootnoteText"/>
    <w:uiPriority w:val="9"/>
    <w:unhideWhenUsed/>
    <w:qFormat/>
    <w:pPr>
      <w:spacing w:after="120" w:before="0" w:line="480" w:lineRule="auto"/>
      <w:ind w:firstLine="0" w:left="480" w:right="480"/>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480" w:lineRule="auto" w:before="0"/>
    </w:pPr>
    <w:rPr>
      <w:rFonts w:ascii="Times New Roman" w:hAnsi="Times New Roman"/>
      <w:b/>
      <w:color w:val="000000"/>
      <w:sz w:val="24"/>
    </w:rPr>
  </w:style>
  <w:style w:customStyle="1" w:styleId="Definition" w:type="paragraph">
    <w:name w:val="Definition"/>
    <w:basedOn w:val="Normal"/>
    <w:pPr>
      <w:spacing w:line="480" w:lineRule="auto" w:before="0" w:after="120"/>
    </w:pPr>
    <w:rPr>
      <w:rFonts w:ascii="Times New Roman" w:hAnsi="Times New Roman"/>
      <w:color w:val="000000"/>
      <w:sz w:val="24"/>
    </w:rPr>
  </w:style>
  <w:style w:styleId="Caption" w:type="paragraph">
    <w:name w:val="Caption"/>
    <w:basedOn w:val="Normal"/>
    <w:link w:val="BodyTextChar"/>
    <w:pPr>
      <w:spacing w:after="120" w:before="0" w:line="480" w:lineRule="auto"/>
    </w:pPr>
    <w:rPr>
      <w:rFonts w:ascii="Times New Roman" w:hAnsi="Times New Roman"/>
      <w:i/>
      <w:color w:val="000000"/>
      <w:sz w:val="24"/>
    </w:rPr>
  </w:style>
  <w:style w:customStyle="1" w:styleId="TableCaption" w:type="paragraph">
    <w:name w:val="Table Caption"/>
    <w:basedOn w:val="Caption"/>
    <w:pPr>
      <w:keepNext/>
      <w:spacing w:line="480" w:lineRule="auto" w:before="0" w:after="120"/>
    </w:pPr>
    <w:rPr>
      <w:rFonts w:ascii="Times New Roman" w:hAnsi="Times New Roman"/>
      <w:color w:val="000000"/>
      <w:sz w:val="24"/>
    </w:rPr>
  </w:style>
  <w:style w:customStyle="1" w:styleId="ImageCaption" w:type="paragraph">
    <w:name w:val="Image Caption"/>
    <w:basedOn w:val="Caption"/>
    <w:pPr>
      <w:spacing w:line="480" w:lineRule="auto" w:before="0" w:after="120"/>
    </w:pPr>
    <w:rPr>
      <w:rFonts w:ascii="Times New Roman" w:hAnsi="Times New Roman"/>
      <w:i w:val="0"/>
      <w:color w:val="000000"/>
      <w:sz w:val="24"/>
    </w:rPr>
  </w:style>
  <w:style w:customStyle="1" w:styleId="Figure" w:type="paragraph">
    <w:name w:val="Figure"/>
    <w:basedOn w:val="Normal"/>
    <w:pPr>
      <w:spacing w:line="480" w:lineRule="auto" w:before="0" w:after="120"/>
    </w:pPr>
    <w:rPr>
      <w:rFonts w:ascii="Times New Roman" w:hAnsi="Times New Roman"/>
      <w:color w:val="000000"/>
      <w:sz w:val="24"/>
    </w:rPr>
  </w:style>
  <w:style w:customStyle="1" w:styleId="CaptionedFigure" w:type="paragraph">
    <w:name w:val="Captioned Figure"/>
    <w:basedOn w:val="Figure"/>
    <w:pPr>
      <w:keepNext/>
      <w:spacing w:line="480" w:lineRule="auto" w:before="0" w:after="120"/>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480"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MDConverterBibliography">
    <w:name w:val="MDConverterBibliography"/>
    <w:basedOn w:val="BodyText"/>
    <w:qFormat/>
    <w:pPr>
      <w:spacing w:line="480" w:lineRule="auto" w:before="0" w:after="120"/>
    </w:pPr>
    <w:rPr>
      <w:rFonts w:ascii="Times New Roman" w:hAnsi="Times New Roman"/>
      <w:color w:val="000000"/>
      <w:sz w:val="24"/>
    </w:rPr>
  </w:style>
  <w:style w:type="character" w:customStyle="1" w:styleId="MDCITE_eJyLdigpyi8pMTIwNCjLzEuMBQAwbgWn">
    <w:name w:val="MDCITE_eJyLdigpyi8pMTIwNCjLzEuMBQAwbgWn"/>
    <w:basedOn w:val="BodyTextChar"/>
  </w:style>
  <w:style w:type="character" w:customStyle="1" w:styleId="MDCITE_eJyLdiguSc3MS01PTy0yMjA0z80tTi0sNooFAG7cCLg">
    <w:name w:val="MDCITE_eJyLdiguSc3MS01PTy0yMjA0z80tTi0sNooFAG7cCLg"/>
    <w:basedOn w:val="BodyTextChar"/>
  </w:style>
  <w:style w:type="character" w:customStyle="1" w:styleId="MDCITE_eJyLdigvL0hJMjIwMknNTUmKBQAvPwV9">
    <w:name w:val="MDCITE_eJyLdigvL0hJMjIwMknNTUmKBQAvPwV9"/>
    <w:basedOn w:val="BodyTextChar"/>
  </w:style>
  <w:style w:type="character" w:customStyle="1" w:styleId="MDCITE_eJyLdigvNTIwMikoKTOOBQAdWAQ6">
    <w:name w:val="MDCITE_eJyLdigvNTIwMikoKTOOBQAdWAQ6"/>
    <w:basedOn w:val="BodyTextChar"/>
  </w:style>
  <w:style w:type="character" w:customStyle="1" w:styleId="MDCITE_eJyLdihILMo2MjAySkssLinIz8wrKSlKzCtOyy_KTS2KBQC1agv4">
    <w:name w:val="MDCITE_eJyLdihILMo2MjAySkssLinIz8wrKSlKzCtOyy_KTS2KBQC1agv4"/>
    <w:basedOn w:val="BodyTextChar"/>
  </w:style>
  <w:style w:type="character" w:customStyle="1" w:styleId="MDCITE_eJyLdihILSlJLSpOzTMyMDBJzsjMTS1KjAUAZfYIcg">
    <w:name w:val="MDCITE_eJyLdihILSlJLSpOzTMyMDBJzsjMTS1KjAUAZfYIcg"/>
    <w:basedOn w:val="BodyTextChar"/>
  </w:style>
  <w:style w:type="character" w:customStyle="1" w:styleId="MDCITE_eJyLdihILUqtMjIwtEjLzMmNBQAvOgWS">
    <w:name w:val="MDCITE_eJyLdihILUqtMjIwtEjLzMmNBQAvOgWS"/>
    <w:basedOn w:val="BodyTextChar"/>
  </w:style>
  <w:style w:type="character" w:customStyle="1" w:styleId="MDCITE_eJyLdihLLC5PzMs0MjA0TywpSc0ryczPiwUAZH0Ikg">
    <w:name w:val="MDCITE_eJyLdihLLC5PzMs0MjA0TywpSc0ryczPiwUAZH0Ikg"/>
    <w:basedOn w:val="BodyTextChar"/>
  </w:style>
  <w:style w:type="character" w:customStyle="1" w:styleId="MDCITE_eJyLdihPzczLzEtPLTK0tLAozs3MSS2OBQBdrwgo">
    <w:name w:val="MDCITE_eJyLdihPzczLzEtPLTK0tLAozs3MSS2OBQBdrwgo"/>
    <w:basedOn w:val="BodyTextChar"/>
  </w:style>
  <w:style w:type="character" w:customStyle="1" w:styleId="MDCITE_eJyLdijIT85OLanIzc-JBQAjrgU_">
    <w:name w:val="MDCITE_eJyLdijIT85OLanIzc-JBQAjrgU_"/>
    <w:basedOn w:val="BodyTextChar"/>
  </w:style>
  <w:style w:type="character" w:customStyle="1" w:styleId="MDCITE_eJyLdijNTSwwyslMjwUAGFAEGg">
    <w:name w:val="MDCITE_eJyLdijNTSwwyslMjwUAGFAEGg"/>
    <w:basedOn w:val="BodyTextChar"/>
  </w:style>
  <w:style w:type="character" w:customStyle="1" w:styleId="MDCITE_eJyLdijOTyxKLTYyMDItzs0sSU2JBQBDqwbV">
    <w:name w:val="MDCITE_eJyLdijOTyxKLTYyMDItzs0sSU2JBQBDqwbV"/>
    <w:basedOn w:val="BodyTextChar"/>
  </w:style>
  <w:style w:type="character" w:customStyle="1" w:styleId="MDCITE_eJyLdkguqsxPLMnPNYo3MjAyjQUAOC8FwQ">
    <w:name w:val="MDCITE_eJyLdkguqsxPLMnPNYo3MjAyjQUAOC8FwQ"/>
    <w:basedOn w:val="BodyTextChar"/>
  </w:style>
  <w:style w:type="character" w:customStyle="1" w:styleId="MDCITE_eJyLdkhKLcpNzDMyMDAoSEmKBQAuqQVm">
    <w:name w:val="MDCITE_eJyLdkhKLcpNzDMyMDAoSEmKBQAuqQVm"/>
    <w:basedOn w:val="BodyTextChar"/>
  </w:style>
  <w:style w:type="character" w:customStyle="1" w:styleId="MDCITE_eJyLdkhMKkrMLc7PMzIwMknMKchITMvPSTGOBQB0aQjy">
    <w:name w:val="MDCITE_eJyLdkhMKkrMLc7PMzIwMknMKchITMvPSTGOBQB0aQjy"/>
    <w:basedOn w:val="BodyTextChar"/>
  </w:style>
  <w:style w:type="character" w:customStyle="1" w:styleId="MDCITE_eJyLdkhOzMlJLE-sNDIwMihKLcvPKS3JzM-zVnBISsw0MjA0TS6qzI8FABWBDa4">
    <w:name w:val="MDCITE_eJyLdkhOzMlJLE-sNDIwMihKLcvPKS3JzM-zVnBISsw0MjA0TS6qzI8FABWBDa4"/>
    <w:basedOn w:val="BodyTextChar"/>
  </w:style>
  <w:style w:type="character" w:customStyle="1" w:styleId="MDCITE_eJyLdkjNLSjKLzEyMDKJBQAgmwRY">
    <w:name w:val="MDCITE_eJyLdkjNLSjKLzEyMDKJBQAgmwRY"/>
    <w:basedOn w:val="BodyTextChar"/>
  </w:style>
  <w:style w:type="character" w:customStyle="1" w:styleId="MDCITE_eJyLdkjNTS1KzEmJz0yJBQAiYQT_">
    <w:name w:val="MDCITE_eJyLdkjNTS1KzEmJz0yJBQAiYQT_"/>
    <w:basedOn w:val="BodyTextChar"/>
  </w:style>
  <w:style w:type="character" w:customStyle="1" w:styleId="MDCITE_eJyLdkjOLyrONzIwMk7JTEtLyU_OjgUASSgHIA">
    <w:name w:val="MDCITE_eJyLdkjOLyrONzIwMk7JTEtLyU_OjgUASSgHIA"/>
    <w:basedOn w:val="BodyTextChar"/>
  </w:style>
  <w:style w:type="character" w:customStyle="1" w:styleId="MDCITE_eJyLdkjOSM1LNzIwtEguqsyPBQAt9AWG">
    <w:name w:val="MDCITE_eJyLdkjOSM1LNzIwtEguqsyPBQAt9AWG"/>
    <w:basedOn w:val="BodyTextChar"/>
  </w:style>
  <w:style w:type="character" w:customStyle="1" w:styleId="MDCITE_eJyLdkjOTE7NNjIwNDNOKc1LLYkFADg_BhQ">
    <w:name w:val="MDCITE_eJyLdkjOTE7NNjIwNDNOKc1LLYkFADg_BhQ"/>
    <w:basedOn w:val="BodyTextChar"/>
  </w:style>
  <w:style w:type="character" w:customStyle="1" w:styleId="MDCITE_eJyLdsgsTs0rTk01MjAyzMsrzUstiQUASzkHQg">
    <w:name w:val="MDCITE_eJyLdsgsTs0rTk01MjAyzMsrzUstiQUASzkHQg"/>
    <w:basedOn w:val="BodyTextChar"/>
  </w:style>
  <w:style w:type="character" w:customStyle="1" w:styleId="MDCITE_eJyLdsgtTc3LLjYyMDJOzU0tSsxJsVZwKMpPSi0qKc7PAwobpKfmFhfklwCFi8tTU_NSK4GCJskZQNW5sQDGEBY7">
    <w:name w:val="MDCITE_eJyLdsgtTc3LLjYyMDJOzU0tSsxJsVZwKMpPSi0qKc7PAwobpKfmFhfklwCFi8tTU_NSK4GCJskZQNW5sQDGEBY7"/>
    <w:basedOn w:val="BodyTextChar"/>
  </w:style>
  <w:style w:type="character" w:customStyle="1" w:styleId="MDCITE_eJyLdsguzcgztDQ1zSjNS08sykzMiwUASXEHQA">
    <w:name w:val="MDCITE_eJyLdsguzcgztDQ1zSjNS08sykzMiwUASXEHQA"/>
    <w:basedOn w:val="BodyTextChar"/>
  </w:style>
  <w:style w:type="character" w:customStyle="1" w:styleId="MDCITE_eJyLdshKzE3MyTQyMDLJzU9JzUnMS0_NyY8FAGkQCLY">
    <w:name w:val="MDCITE_eJyLdshKzE3MyTQyMDLJzU9JzUnMS0_NyY8FAGkQCLY"/>
    <w:basedOn w:val="BodyTextChar"/>
  </w:style>
  <w:style w:type="character" w:customStyle="1" w:styleId="MDCITE_eJyLdsjJzDMyMDRPy09OzIkFACcmBQs">
    <w:name w:val="MDCITE_eJyLdsjJzDMyMDRPy09OzIkFACcmBQs"/>
    <w:basedOn w:val="BodyTextChar"/>
  </w:style>
  <w:style w:type="character" w:customStyle="1" w:styleId="MDCITE_eJyLdsjNzMlJLUksyjQyMDQry0stiQUATPQHQg">
    <w:name w:val="MDCITE_eJyLdsjNzMlJLUksyjQyMDQry0stiQUATPQHQg"/>
    <w:basedOn w:val="BodyTextChar"/>
  </w:style>
  <w:style w:type="character" w:customStyle="1" w:styleId="MDFIGREF_eJyrrk7LTC9KTbMCUrq5qSUZ-Sm6ZRa1tQB3TQld">
    <w:name w:val="MDFIGREF_eJyrrk7LTC9KTbMCUrq5qSUZ-Sm6ZRa1tQB3TQld"/>
    <w:basedOn w:val="BodyTextChar"/>
  </w:style>
  <w:style w:type="character" w:customStyle="1" w:styleId="MDFIGREF_eJyrrk7LTC9KTbMCUrq5qSUZ-Sm6ZRY1ibW1AIsmCjo">
    <w:name w:val="MDFIGREF_eJyrrk7LTC9KTbMCUrq5qSUZ-Sm6ZRY1ibW1AIsmCjo"/>
    <w:basedOn w:val="BodyTextChar"/>
  </w:style>
  <w:style w:type="character" w:customStyle="1" w:styleId="MDFIGREF_eJyrrk7LTC9KTbMCUrq5qSUZ-Sm6ZRY1SbW1AIspCjs">
    <w:name w:val="MDFIGREF_eJyrrk7LTC9KTbMCUrq5qSUZ-Sm6ZRY1SbW1AIspCjs"/>
    <w:basedOn w:val="BodyTextChar"/>
  </w:style>
  <w:style w:type="character" w:customStyle="1" w:styleId="MDFIGREF_eJyrrk7LTC9KTbMCUrq5qSUZ-Sm6ZRY1ybW1AIssCjw">
    <w:name w:val="MDFIGREF_eJyrrk7LTC9KTbMCUrq5qSUZ-Sm6ZRY1ybW1AIssCjw"/>
    <w:basedOn w:val="BodyTextChar"/>
  </w:style>
  <w:style w:type="character" w:customStyle="1" w:styleId="MDFIGREF_eJyrrk7LTC9KTbMCUrr5ZalFZZmp5fFlRjogfm5qSUZ-im6ZRW0tAEG5D2o">
    <w:name w:val="MDFIGREF_eJyrrk7LTC9KTbMCUrr5ZalFZZmp5fFlRjogfm5qSUZ-im6ZRW0tAEG5D2o"/>
    <w:basedOn w:val="BodyTextChar"/>
  </w:style>
  <w:style w:type="character" w:customStyle="1" w:styleId="MDFIGREF_eJyrrk7LTC9KTbMCUrr5ZalFZZmp5fFlRrW1AI3eCn8">
    <w:name w:val="MDFIGREF_eJyrrk7LTC9KTbMCUrr5ZalFZZmp5fFlRrW1AI3eCn8"/>
    <w:basedOn w:val="BodyTextChar"/>
  </w:style>
  <w:style w:type="character" w:customStyle="1" w:styleId="MDFIGREF_eJyrrk7LTC9KTbMqLi0o0E01StVNzs8tyEktyczP003MyamtBQDpjA1c">
    <w:name w:val="MDFIGREF_eJyrrk7LTC9KTbMqLi0o0E01StVNzs8tyEktyczP003MyamtBQDpjA1c"/>
    <w:basedOn w:val="BodyTextChar"/>
  </w:style>
  <w:style w:type="character" w:customStyle="1" w:styleId="MDFIGREF_eJyrrk7LTC9KTbMqLi0o0E01StVNzs8tyEktyczP0y3OTczJqa0FAAWgDjw">
    <w:name w:val="MDFIGREF_eJyrrk7LTC9KTbMqLi0o0E01StVNzs8tyEktyczP0y3OTczJqa0FAAWgDjw"/>
    <w:basedOn w:val="BodyTextChar"/>
  </w:style>
  <w:style w:type="character" w:customStyle="1" w:styleId="MDFIGREF_eJyrrk7LTC9KTbMqLklMTzXSLS4pys9LTy0u0S1IzCyqSdRJqq0FAAjSDj4">
    <w:name w:val="MDFIGREF_eJyrrk7LTC9KTbMqLklMTzXSLS4pys9LTy0u0S1IzCyqSdRJqq0FAAjSDj4"/>
    <w:basedOn w:val="BodyTextChar"/>
  </w:style>
  <w:style w:type="character" w:customStyle="1" w:styleId="MDFIGREF_eJyrrk7LTC9KTbMqLklMTzXSLUpMSSzSLUjMLKpJqq0FALbBC9I">
    <w:name w:val="MDFIGREF_eJyrrk7LTC9KTbMqLklMTzXSLUpMSSzSLUjMLKpJqq0FALbBC9I"/>
    <w:basedOn w:val="BodyTextChar"/>
  </w:style>
  <w:style w:type="character" w:customStyle="1" w:styleId="MDFIGREF_eJyrrk7LTC9KTbMqLklMTzXSLUpMSSzSLUjMLKpJrK0FALa-C9E">
    <w:name w:val="MDFIGREF_eJyrrk7LTC9KTbMqLklMTzXSLUpMSSzSLUjMLKpJrK0FALa-C9E"/>
    <w:basedOn w:val="BodyTextChar"/>
  </w:style>
  <w:style w:type="character" w:customStyle="1" w:styleId="MDFIGREF_eJyrrk7LTC9KTbMqLklMTzXULckoSk1NTixO1c1NzMyrSa6tBQDqfw11">
    <w:name w:val="MDFIGREF_eJyrrk7LTC9KTbMqLklMTzXULckoSk1NTixO1c1NzMyrSa6tBQDqfw11"/>
    <w:basedOn w:val="BodyTextChar"/>
  </w:style>
  <w:style w:type="character" w:customStyle="1" w:styleId="MDFIGREF_eJyrrk7LTC9KTbMqLklMTzXULckoSk1NTixO1c1NzMyrSaqtBQDqfA10">
    <w:name w:val="MDFIGREF_eJyrrk7LTC9KTbMqLklMTzXULckoSk1NTixO1c1NzMyrSaqtBQDqfA10"/>
    <w:basedOn w:val="BodyTextChar"/>
  </w:style>
  <w:style w:type="character" w:customStyle="1" w:styleId="MDFIGREF_eJyrrk7LTC9KTbMqLklMTzXULckoSk1NTixO1c1NzMyrSaytBQDqeQ1z">
    <w:name w:val="MDFIGREF_eJyrrk7LTC9KTbMqLklMTzXULckoSk1NTixO1c1NzMyrSaytBQDqeQ1z"/>
    <w:basedOn w:val="BodyTextChar"/>
  </w:style>
  <w:style w:type="character" w:customStyle="1" w:styleId="MDFIGREF_eJyrrk7LTC9KTbMqLklMTzXULckoSk1NTixO1c1NzMyrSXzUMDm5thYAJ60Pyw">
    <w:name w:val="MDFIGREF_eJyrrk7LTC9KTbMqLklMTzXULckoSk1NTixO1c1NzMyrSXzUMDm5thYAJ60Pyw"/>
    <w:basedOn w:val="BodyTextChar"/>
  </w:style>
  <w:style w:type="character" w:customStyle="1" w:styleId="MDFIGREF_eJyrrk7LTC9KTbMqLklMTzXULckoSk1NTixO1c1NzMyrSXzUMDmpthYAJ6oPyg">
    <w:name w:val="MDFIGREF_eJyrrk7LTC9KTbMqLklMTzXULckoSk1NTixO1c1NzMyrSXzUMDmpthYAJ6oPyg"/>
    <w:basedOn w:val="BodyTextChar"/>
  </w:style>
  <w:style w:type="character" w:customStyle="1" w:styleId="MDFIGREF_eJyrrk7LTC9KTbMqLklMTzXUzU3MzNMtzqwoSMxLzalJ1EmqrQUA9wANsQ">
    <w:name w:val="MDFIGREF_eJyrrk7LTC9KTbMqLklMTzXUzU3MzNMtzqwoSMxLzalJ1EmqrQUA9wANsQ"/>
    <w:basedOn w:val="BodyTextChar"/>
  </w:style>
  <w:style w:type="character" w:customStyle="1" w:styleId="MDFIGREF_eJyrrk7LTC9KTbMqLklMTzXUzU3MzNMtzqwoSMxLzalJ1kmprQUA9xANtQ">
    <w:name w:val="MDFIGREF_eJyrrk7LTC9KTbMqLklMTzXUzU3MzNMtzqwoSMxLzalJ1kmprQUA9xANtQ"/>
    <w:basedOn w:val="BodyTextChar"/>
  </w:style>
  <w:style w:type="character" w:customStyle="1" w:styleId="MDFIGREF_eJyrrk7LTC9KTbMqLklMTzXUzU3MzNMtzqwoSMxLzalJ1UmrrQUA9yANuQ">
    <w:name w:val="MDFIGREF_eJyrrk7LTC9KTbMqLklMTzXUzU3MzNMtzqwoSMxLzalJ1UmrrQUA9yANuQ"/>
    <w:basedOn w:val="BodyTextChar"/>
  </w:style>
  <w:style w:type="character" w:customStyle="1" w:styleId="MDFIGREF_eJyrrk7LTC9KTbMqLklMTzXUzU3MzNMtzqwoSMxLzalJrK0FANzYDSM">
    <w:name w:val="MDFIGREF_eJyrrk7LTC9KTbMqLklMTzXUzU3MzNMtzqwoSMxLzalJrK0FANzYDSM"/>
    <w:basedOn w:val="BodyTextChar"/>
  </w:style>
  <w:style w:type="character" w:customStyle="1" w:styleId="MDFIGREF_eJyrrk7LTC9KTbMqLklMTzXUzU3MzNMtzqwoSMxLzalJrq0FANzeDSU">
    <w:name w:val="MDFIGREF_eJyrrk7LTC9KTbMqLklMTzXUzU3MzNMtzqwoSMxLzalJrq0FANzeDSU"/>
    <w:basedOn w:val="BodyTextChar"/>
  </w:style>
  <w:style w:type="character" w:customStyle="1" w:styleId="MDFIGREF_eJyrrk7LTC9KTbMqLklMTzXUzU3MzNMtzqwoSMxLzamtBQDDLQxG">
    <w:name w:val="MDFIGREF_eJyrrk7LTC9KTbMqLklMTzXUzU3MzNMtzqwoSMxLzamtBQDDLQxG"/>
    <w:basedOn w:val="BodyTextChar"/>
  </w:style>
  <w:style w:type="character" w:customStyle="1" w:styleId="MDFIGREF_eJyrrk7LTC9KTbMqLklMTzXWLShKTclMLklN0S1KTc_Mz9PNSE1M0S3JB9O1tQC1BBIF">
    <w:name w:val="MDFIGREF_eJyrrk7LTC9KTbMqLklMTzXWLShKTclMLklN0S1KTc_Mz9PNSE1M0S3JB9O1tQC1BBIF"/>
    <w:basedOn w:val="BodyTextChar"/>
  </w:style>
  <w:style w:type="character" w:customStyle="1" w:styleId="MDFIGREF_eJyrrk7LTC9KTbMqLklMTzXWTU4sTi3WzU3MzKtJedQwOa22FgDtcQ4u">
    <w:name w:val="MDFIGREF_eJyrrk7LTC9KTbMqLklMTzXWTU4sTi3WzU3MzKtJedQwOa22FgDtcQ4u"/>
    <w:basedOn w:val="BodyTextChar"/>
  </w:style>
  <w:style w:type="character" w:customStyle="1" w:styleId="MDFIGREF_eJyrrk7LTC9KTbMqLklMTzXWTU4sTi3WzU3MzKtJfNQwObm2FgDtUw4o">
    <w:name w:val="MDFIGREF_eJyrrk7LTC9KTbMqLklMTzXWTU4sTi3WzU3MzKtJfNQwObm2FgDtUw4o"/>
    <w:basedOn w:val="BodyTextChar"/>
  </w:style>
  <w:style w:type="character" w:customStyle="1" w:styleId="MDFIGREF_eJyrrk7LTC9KTbMqLklMTzXWTU4sTi3WzU3MzKutBQCftQrz">
    <w:name w:val="MDFIGREF_eJyrrk7LTC9KTbMqLklMTzXWTU4sTi3WzU3MzKutBQCftQrz"/>
    <w:basedOn w:val="BodyTextChar"/>
  </w:style>
  <w:style w:type="character" w:customStyle="1" w:styleId="MDFIGREF_eJyrrk7LTC9KTbMqLklMTzXWzU9Ly0zOTMzRLSnNS02prQUAz88MnA">
    <w:name w:val="MDFIGREF_eJyrrk7LTC9KTbMqLklMTzXWzU9Ly0zOTMzRLSnNS02prQUAz88MnA"/>
    <w:basedOn w:val="BodyTextChar"/>
  </w:style>
  <w:style w:type="character" w:customStyle="1" w:styleId="MDFIGREF_eJyrrk7LTC9KTbNKNUrVTcvJL9c1NkhPrK0FAHHACNc">
    <w:name w:val="MDFIGREF_eJyrrk7LTC9KTbNKNUrVTcvJL9c1NkhPrK0FAHHACNc"/>
    <w:basedOn w:val="BodyTextChar"/>
  </w:style>
  <w:style w:type="character" w:customStyle="1" w:styleId="MDFIGREF_eJyrrk7LTC9KTbNKNUrVTcvJL9e1zMlJ14HzjA3SE2trAQ6KDYk">
    <w:name w:val="MDFIGREF_eJyrrk7LTC9KTbNKNUrVTcvJL9e1zMlJ14HzjA3SE2trAQ6KDYk"/>
    <w:basedOn w:val="BodyTextChar"/>
  </w:style>
  <w:style w:type="character" w:customStyle="1" w:styleId="MDFIGREF_eJyrrk7LTC9KTbNKNUrVTcvJL9e1zMlJr60FAHM2CSQ">
    <w:name w:val="MDFIGREF_eJyrrk7LTC9KTbNKNUrVTcvJL9e1zMlJr60FAHM2CSQ"/>
    <w:basedOn w:val="BodyTextChar"/>
  </w:style>
  <w:style w:type="character" w:customStyle="1" w:styleId="MDFIGREF_eJyrrk7LTC9KTbNKNUrVTcvMS9FNKs3MSdFNySxKTS7RTc7PLUgsyizOz6utBQBnQxC1">
    <w:name w:val="MDFIGREF_eJyrrk7LTC9KTbNKNUrVTcvMS9FNKs3MSdFNySxKTS7RTc7PLUgsyizOz6utBQBnQxC1"/>
    <w:basedOn w:val="BodyTextChar"/>
  </w:style>
  <w:style w:type="character" w:customStyle="1" w:styleId="MDFIGREF_eJyrrk7LTC9KTbNKNUrVTUxOzi_NK8nMS9ctKs1JLdZNKUpMK6mtBQAQ2w6I">
    <w:name w:val="MDFIGREF_eJyrrk7LTC9KTbNKNUrVTUxOzi_NK8nMS9ctKs1JLdZNKUpMK6mtBQAQ2w6I"/>
    <w:basedOn w:val="BodyTextChar"/>
  </w:style>
  <w:style w:type="character" w:customStyle="1" w:styleId="MDFIGREF_eJyrrk7LTC9KTbNKy8xL0c3Py6nUzcwrLknMS07VTc7PLchJLcnMz6utBQBF4BAX">
    <w:name w:val="MDFIGREF_eJyrrk7LTC9KTbNKy8xL0c3Py6nUzcwrLknMS07VTc7PLchJLcnMz6utBQBF4BAX"/>
    <w:basedOn w:val="BodyTextChar"/>
  </w:style>
  <w:style w:type="paragraph" w:customStyle="1" w:styleId="SourceCode">
    <w:name w:val="Source Code"/>
    <w:basedOn w:val="Normal"/>
    <w:link w:val="VerbatimChar"/>
    <w:pPr>
      <w:wordWrap w:val="off"/>
      <w:spacing w:line="480" w:lineRule="auto" w:before="0" w:after="120"/>
    </w:pPr>
    <w:rPr>
      <w:rFonts w:ascii="Times New Roman" w:hAnsi="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4" Type="http://schemas.openxmlformats.org/officeDocument/2006/relationships/image" Target="media/rId14.png"/><Relationship Id="rId19" Type="http://schemas.openxmlformats.org/officeDocument/2006/relationships/image" Target="media/rId19.png"/><Relationship Id="rId22" Type="http://schemas.openxmlformats.org/officeDocument/2006/relationships/image" Target="media/rId22.png"/><Relationship Id="rId26" Type="http://schemas.openxmlformats.org/officeDocument/2006/relationships/image" Target="media/rId26.png"/><Relationship Id="rId32" Type="http://schemas.openxmlformats.org/officeDocument/2006/relationships/image" Target="media/rId32.png"/><Relationship Id="rId35" Type="http://schemas.openxmlformats.org/officeDocument/2006/relationships/image" Target="media/rId35.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69" Type="http://schemas.openxmlformats.org/officeDocument/2006/relationships/image" Target="media/rId69.png"/><Relationship Id="rId94" Type="http://schemas.openxmlformats.org/officeDocument/2006/relationships/image" Target="media/rId94.png"/><Relationship Id="rId115" Type="http://schemas.openxmlformats.org/officeDocument/2006/relationships/hyperlink" Target="https://doi.org/10.1002/jcc.20084" TargetMode="External"/><Relationship Id="rId126" Type="http://schemas.openxmlformats.org/officeDocument/2006/relationships/hyperlink" Target="https://doi.org/10.1002/jcc.21334" TargetMode="External"/><Relationship Id="rId111" Type="http://schemas.openxmlformats.org/officeDocument/2006/relationships/hyperlink" Target="https://doi.org/10.1002/nav.3800020109" TargetMode="External"/><Relationship Id="rId117" Type="http://schemas.openxmlformats.org/officeDocument/2006/relationships/hyperlink" Target="https://doi.org/10.1007/978-3-319-46723-8_49" TargetMode="External"/><Relationship Id="rId106" Type="http://schemas.openxmlformats.org/officeDocument/2006/relationships/hyperlink" Target="https://doi.org/10.1016/j.cell.2026.01.003" TargetMode="External"/><Relationship Id="rId108" Type="http://schemas.openxmlformats.org/officeDocument/2006/relationships/hyperlink" Target="https://doi.org/10.1016/j.str.2020.04.018" TargetMode="External"/><Relationship Id="rId104" Type="http://schemas.openxmlformats.org/officeDocument/2006/relationships/hyperlink" Target="https://doi.org/10.1016/j.str.2025.07.002" TargetMode="External"/><Relationship Id="rId98" Type="http://schemas.openxmlformats.org/officeDocument/2006/relationships/hyperlink" Target="https://doi.org/10.1016/j.tibs.2014.10.005" TargetMode="External"/><Relationship Id="rId109" Type="http://schemas.openxmlformats.org/officeDocument/2006/relationships/hyperlink" Target="https://doi.org/10.1021/acs.jmedchem.3c01134" TargetMode="External"/><Relationship Id="rId110" Type="http://schemas.openxmlformats.org/officeDocument/2006/relationships/hyperlink" Target="https://doi.org/10.1021/ci00057a005" TargetMode="External"/><Relationship Id="rId97" Type="http://schemas.openxmlformats.org/officeDocument/2006/relationships/hyperlink" Target="https://doi.org/10.1038/d41586-020-00341-9" TargetMode="External"/><Relationship Id="rId114" Type="http://schemas.openxmlformats.org/officeDocument/2006/relationships/hyperlink" Target="https://doi.org/10.1038/nbt.3988" TargetMode="External"/><Relationship Id="rId107" Type="http://schemas.openxmlformats.org/officeDocument/2006/relationships/hyperlink" Target="https://doi.org/10.1038/s41467-023-36732-5" TargetMode="External"/><Relationship Id="rId99" Type="http://schemas.openxmlformats.org/officeDocument/2006/relationships/hyperlink" Target="https://doi.org/10.1038/s41586-024-07215-4" TargetMode="External"/><Relationship Id="rId119" Type="http://schemas.openxmlformats.org/officeDocument/2006/relationships/hyperlink" Target="https://doi.org/10.1038/s41586-024-07487-w" TargetMode="External"/><Relationship Id="rId122" Type="http://schemas.openxmlformats.org/officeDocument/2006/relationships/hyperlink" Target="https://doi.org/10.1038/s41592-020-01008-z" TargetMode="External"/><Relationship Id="rId101" Type="http://schemas.openxmlformats.org/officeDocument/2006/relationships/hyperlink" Target="https://doi.org/10.1038/s41594-025-01723-1" TargetMode="External"/><Relationship Id="rId123" Type="http://schemas.openxmlformats.org/officeDocument/2006/relationships/hyperlink" Target="https://doi.org/10.1038/s42004-025-01585-0" TargetMode="External"/><Relationship Id="rId113" Type="http://schemas.openxmlformats.org/officeDocument/2006/relationships/hyperlink" Target="https://doi.org/10.1093/nar/28.1.235" TargetMode="External"/><Relationship Id="rId112" Type="http://schemas.openxmlformats.org/officeDocument/2006/relationships/hyperlink" Target="https://doi.org/10.1093/nar/gkad1019" TargetMode="External"/><Relationship Id="rId121" Type="http://schemas.openxmlformats.org/officeDocument/2006/relationships/hyperlink" Target="https://doi.org/10.1109/3dv.2016.79" TargetMode="External"/><Relationship Id="rId116" Type="http://schemas.openxmlformats.org/officeDocument/2006/relationships/hyperlink" Target="https://doi.org/10.1109/cvpr52688.2022.01644" TargetMode="External"/><Relationship Id="rId118" Type="http://schemas.openxmlformats.org/officeDocument/2006/relationships/hyperlink" Target="https://doi.org/10.1109/cvpr52733.2024.00463" TargetMode="External"/><Relationship Id="rId120" Type="http://schemas.openxmlformats.org/officeDocument/2006/relationships/hyperlink" Target="https://doi.org/10.1109/iccv.2017.324" TargetMode="External"/><Relationship Id="rId102" Type="http://schemas.openxmlformats.org/officeDocument/2006/relationships/hyperlink" Target="https://doi.org/10.1126/science.aat4346" TargetMode="External"/><Relationship Id="rId125" Type="http://schemas.openxmlformats.org/officeDocument/2006/relationships/hyperlink" Target="https://doi.org/10.1609/aaai.v32i1.11671" TargetMode="External"/><Relationship Id="rId103" Type="http://schemas.openxmlformats.org/officeDocument/2006/relationships/hyperlink" Target="https://doi.org/10.64898/2026.06.01.729423" TargetMode="External"/><Relationship Id="rId100" Type="http://schemas.openxmlformats.org/officeDocument/2006/relationships/hyperlink" Target="https://doi.org/10.65215/LTSpreprints.2026.04.14.000185" TargetMode="External"/><Relationship Id="rId105" Type="http://schemas.openxmlformats.org/officeDocument/2006/relationships/hyperlink" Target="https://openreview.net/forum?id=kKF8_K-mBbS" TargetMode="External"/><Relationship Id="rId124" Type="http://schemas.openxmlformats.org/officeDocument/2006/relationships/hyperlink" Target="https://proceedings.neurips.cc/paper_files/paper/2017/hash/3f5ee243547dee91fbd053c1c4a845aa-Abstract.html" TargetMode="External"/></Relationships>
</file>

<file path=word/_rels/footnotes.xml.rels><?xml version='1.0' encoding='UTF-8' standalone='yes'?>
<Relationships xmlns="http://schemas.openxmlformats.org/package/2006/relationships"><Relationship Id="rId115" Type="http://schemas.openxmlformats.org/officeDocument/2006/relationships/hyperlink" Target="https://doi.org/10.1002/jcc.20084" TargetMode="External"/><Relationship Id="rId126" Type="http://schemas.openxmlformats.org/officeDocument/2006/relationships/hyperlink" Target="https://doi.org/10.1002/jcc.21334" TargetMode="External"/><Relationship Id="rId111" Type="http://schemas.openxmlformats.org/officeDocument/2006/relationships/hyperlink" Target="https://doi.org/10.1002/nav.3800020109" TargetMode="External"/><Relationship Id="rId117" Type="http://schemas.openxmlformats.org/officeDocument/2006/relationships/hyperlink" Target="https://doi.org/10.1007/978-3-319-46723-8_49" TargetMode="External"/><Relationship Id="rId106" Type="http://schemas.openxmlformats.org/officeDocument/2006/relationships/hyperlink" Target="https://doi.org/10.1016/j.cell.2026.01.003" TargetMode="External"/><Relationship Id="rId108" Type="http://schemas.openxmlformats.org/officeDocument/2006/relationships/hyperlink" Target="https://doi.org/10.1016/j.str.2020.04.018" TargetMode="External"/><Relationship Id="rId104" Type="http://schemas.openxmlformats.org/officeDocument/2006/relationships/hyperlink" Target="https://doi.org/10.1016/j.str.2025.07.002" TargetMode="External"/><Relationship Id="rId98" Type="http://schemas.openxmlformats.org/officeDocument/2006/relationships/hyperlink" Target="https://doi.org/10.1016/j.tibs.2014.10.005" TargetMode="External"/><Relationship Id="rId109" Type="http://schemas.openxmlformats.org/officeDocument/2006/relationships/hyperlink" Target="https://doi.org/10.1021/acs.jmedchem.3c01134" TargetMode="External"/><Relationship Id="rId110" Type="http://schemas.openxmlformats.org/officeDocument/2006/relationships/hyperlink" Target="https://doi.org/10.1021/ci00057a005" TargetMode="External"/><Relationship Id="rId97" Type="http://schemas.openxmlformats.org/officeDocument/2006/relationships/hyperlink" Target="https://doi.org/10.1038/d41586-020-00341-9" TargetMode="External"/><Relationship Id="rId114" Type="http://schemas.openxmlformats.org/officeDocument/2006/relationships/hyperlink" Target="https://doi.org/10.1038/nbt.3988" TargetMode="External"/><Relationship Id="rId107" Type="http://schemas.openxmlformats.org/officeDocument/2006/relationships/hyperlink" Target="https://doi.org/10.1038/s41467-023-36732-5" TargetMode="External"/><Relationship Id="rId99" Type="http://schemas.openxmlformats.org/officeDocument/2006/relationships/hyperlink" Target="https://doi.org/10.1038/s41586-024-07215-4" TargetMode="External"/><Relationship Id="rId119" Type="http://schemas.openxmlformats.org/officeDocument/2006/relationships/hyperlink" Target="https://doi.org/10.1038/s41586-024-07487-w" TargetMode="External"/><Relationship Id="rId122" Type="http://schemas.openxmlformats.org/officeDocument/2006/relationships/hyperlink" Target="https://doi.org/10.1038/s41592-020-01008-z" TargetMode="External"/><Relationship Id="rId101" Type="http://schemas.openxmlformats.org/officeDocument/2006/relationships/hyperlink" Target="https://doi.org/10.1038/s41594-025-01723-1" TargetMode="External"/><Relationship Id="rId123" Type="http://schemas.openxmlformats.org/officeDocument/2006/relationships/hyperlink" Target="https://doi.org/10.1038/s42004-025-01585-0" TargetMode="External"/><Relationship Id="rId113" Type="http://schemas.openxmlformats.org/officeDocument/2006/relationships/hyperlink" Target="https://doi.org/10.1093/nar/28.1.235" TargetMode="External"/><Relationship Id="rId112" Type="http://schemas.openxmlformats.org/officeDocument/2006/relationships/hyperlink" Target="https://doi.org/10.1093/nar/gkad1019" TargetMode="External"/><Relationship Id="rId121" Type="http://schemas.openxmlformats.org/officeDocument/2006/relationships/hyperlink" Target="https://doi.org/10.1109/3dv.2016.79" TargetMode="External"/><Relationship Id="rId116" Type="http://schemas.openxmlformats.org/officeDocument/2006/relationships/hyperlink" Target="https://doi.org/10.1109/cvpr52688.2022.01644" TargetMode="External"/><Relationship Id="rId118" Type="http://schemas.openxmlformats.org/officeDocument/2006/relationships/hyperlink" Target="https://doi.org/10.1109/cvpr52733.2024.00463" TargetMode="External"/><Relationship Id="rId120" Type="http://schemas.openxmlformats.org/officeDocument/2006/relationships/hyperlink" Target="https://doi.org/10.1109/iccv.2017.324" TargetMode="External"/><Relationship Id="rId102" Type="http://schemas.openxmlformats.org/officeDocument/2006/relationships/hyperlink" Target="https://doi.org/10.1126/science.aat4346" TargetMode="External"/><Relationship Id="rId125" Type="http://schemas.openxmlformats.org/officeDocument/2006/relationships/hyperlink" Target="https://doi.org/10.1609/aaai.v32i1.11671" TargetMode="External"/><Relationship Id="rId103" Type="http://schemas.openxmlformats.org/officeDocument/2006/relationships/hyperlink" Target="https://doi.org/10.64898/2026.06.01.729423" TargetMode="External"/><Relationship Id="rId100" Type="http://schemas.openxmlformats.org/officeDocument/2006/relationships/hyperlink" Target="https://doi.org/10.65215/LTSpreprints.2026.04.14.000185" TargetMode="External"/><Relationship Id="rId105" Type="http://schemas.openxmlformats.org/officeDocument/2006/relationships/hyperlink" Target="https://openreview.net/forum?id=kKF8_K-mBbS" TargetMode="External"/><Relationship Id="rId124" Type="http://schemas.openxmlformats.org/officeDocument/2006/relationships/hyperlink" Target="https://proceedings.neurips.cc/paper_files/paper/2017/hash/3f5ee243547dee91fbd053c1c4a845a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2026-10-24T08:31:07Z</dcterms:created>
  <dcterms:modified xsi:type="dcterms:W3CDTF">2026-10-24T08:31:07Z</dcterms:modified>
</cp:coreProperties>
</file>

<file path=docProps/custom.xml><?xml version="1.0" encoding="utf-8"?>
<Properties xmlns="http://schemas.openxmlformats.org/officeDocument/2006/custom-properties" xmlns:vt="http://schemas.openxmlformats.org/officeDocument/2006/docPropsVTypes"/>
</file>