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upplementary-information"/>
    <w:p>
      <w:pPr>
        <w:pStyle w:val="1"/>
        <w:keepNext/>
        <w:ind w:firstLine="0"/>
      </w:pPr>
      <w:r>
        <w:t xml:space="preserve">Supplementary Information</w:t>
      </w:r>
    </w:p>
    <w:bookmarkStart w:id="33" w:name="stage-1-ablation-of-ligandseek-find"/>
    <w:p>
      <w:pPr>
        <w:pStyle w:val="2"/>
        <w:keepNext/>
        <w:ind w:firstLine="0"/>
      </w:pPr>
      <w:r>
        <w:t xml:space="preserve">Stage 1: Ablation of LigandSeek-Find</w:t>
      </w:r>
    </w:p>
    <w:p>
      <w:pPr>
        <w:pStyle w:val="FirstParagraph"/>
        <w:spacing w:line="360" w:lineRule="auto" w:after="120"/>
        <w:ind w:firstLine="420"/>
      </w:pPr>
      <w: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pPr>
        <w:pStyle w:val="BodyText"/>
        <w:spacing w:line="360" w:lineRule="auto" w:after="120"/>
        <w:ind w:firstLine="420"/>
      </w:pPr>
      <w: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360" w:lineRule="auto" w:after="120"/>
        <w:ind w:firstLine="420"/>
      </w:pPr>
      <w: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pPr>
        <w:pStyle w:val="TableCaption"/>
        <w:keepNext/>
        <w:keepLines/>
        <w:spacing w:line="240" w:lineRule="auto" w:after="120"/>
        <w:ind w:firstLine="0"/>
      </w:pPr>
      <w:r>
        <w:rPr>
          <w:rFonts w:ascii="华文仿宋" w:hAnsi="华文仿宋" w:eastAsia="华文仿宋"/>
          <w:sz w:val="18"/>
        </w:rPr>
        <w:t xml:space="preserve">Table 4 | Internal ablation of LigandSeek-Find on the full test set.</w:t>
      </w:r>
    </w:p>
    <w:tbl>
      <w:tblPr>
        <w:tblW w:type="pct" w:w="5000"/>
        <w:tblLayout w:type="fixed"/>
        <w:tblCaption w:val="Table 4 | Internal ablation of LigandSeek-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7"/>
        <w:gridCol w:w="1083"/>
        <w:gridCol w:w="1083"/>
        <w:gridCol w:w="1083"/>
        <w:gridCol w:w="1083"/>
        <w:gridCol w:w="1083"/>
        <w:gridCol w:w="1083"/>
      </w:tblGrid>
      <w:tr>
        <w:trPr>
          <w:tblHeader w:val="on"/>
          <w:cantSplit/>
        </w:trPr>
        <w:tc>
          <w:tcPr>
            <w:tcW w:type="dxa" w:w="2527"/>
            <w:vMerge w:val="restart"/>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b w:val="0"/>
                <w:sz w:val="20"/>
              </w:rPr>
              <w:t xml:space="preserve">Model</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CA2 receptors</w:t>
            </w:r>
          </w:p>
        </w:tc>
        <w:tc>
          <w:tcPr>
            <w:tcW w:type="dxa" w:w="3249"/>
            <w:gridSpan w:val="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Deposited receptors</w:t>
            </w:r>
          </w:p>
        </w:tc>
      </w:tr>
      <w:tr>
        <w:trPr>
          <w:tblHeader w:val="on"/>
          <w:cantSplit/>
        </w:trPr>
        <w:tc>
          <w:tcPr>
            <w:tcW w:type="dxa" w:w="2527"/>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after="0" w:before="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0.342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0.452</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0.561</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0.554</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rPr>
              <w:t xml:space="preserve">0.539</w:t>
            </w:r>
          </w:p>
        </w:tc>
      </w:tr>
      <w:tr>
        <w:trPr>
          <w:cantSplit/>
        </w:trPr>
        <w:tc>
          <w:tcPr>
            <w:tcW w:type="dxa" w:w="2527"/>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after="0" w:before="0"/>
              <w:ind w:firstLine="0"/>
              <w:jc w:val="center"/>
            </w:pPr>
            <w:r>
              <w:rPr>
                <w:rFonts w:ascii="Times New Roman" w:hAnsi="Times New Roman"/>
                <w:sz w:val="20"/>
                <w:u w:val="single"/>
              </w:rPr>
              <w:t xml:space="preserve">0.558</w:t>
            </w:r>
          </w:p>
        </w:tc>
      </w:tr>
    </w:tbl>
    <w:p>
      <w:pPr>
        <w:pStyle w:val="MDTableNote"/>
        <w:keepNext w:val="0"/>
        <w:keepLines/>
        <w:pageBreakBefore w:val="0"/>
        <w:spacing w:line="240" w:lineRule="auto" w:before="80" w:after="12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33"/>
    <w:bookmarkStart w:id="43" w:name="stage-3-end-to-end-top-k-success"/>
    <w:p>
      <w:pPr>
        <w:pStyle w:val="2"/>
        <w:keepNext/>
        <w:ind w:firstLine="0"/>
      </w:pPr>
      <w:r>
        <w:t xml:space="preserve">Stage 3: End-to-end top-k success</w:t>
      </w:r>
    </w:p>
    <w:bookmarkStart w:id="34" w:name="evaluation-protocol-top-k-success"/>
    <w:p>
      <w:pPr>
        <w:pStyle w:val="3"/>
        <w:keepNext/>
        <w:ind w:firstLine="0"/>
      </w:pPr>
      <w:r>
        <w:t xml:space="preserve">Evaluation protocol (top-k success)</w:t>
      </w:r>
    </w:p>
    <w:p>
      <w:pPr>
        <w:pStyle w:val="FirstParagraph"/>
        <w:spacing w:line="360" w:lineRule="auto" w:after="120"/>
        <w:ind w:firstLine="420"/>
      </w:pPr>
      <w:r>
        <w:t xml:space="preserve">Top-k success measures whether an end-to-end pipeline successfully processes at least one ligand instance in a complex within a specified attempt budget.</w:t>
      </w:r>
    </w:p>
    <w:p>
      <w:pPr>
        <w:pStyle w:val="BodyText"/>
        <w:spacing w:line="360" w:lineRule="auto" w:after="120"/>
        <w:ind w:firstLine="420"/>
      </w:pPr>
      <w:r>
        <w:t xml:space="preserve">Find ranks candidate ligand regions by descending mean probability, yielding Rank 1, Rank 2 and subsequent candidates. For each PDB entry, the pipeline examines these candidates in order for up to</w:t>
      </w:r>
      <w:r>
        <w:t xml:space="preserve"> </w:t>
      </w:r>
      <m:oMath>
        <m:r>
          <m:t>K</m:t>
        </m:r>
      </m:oMath>
      <w:r>
        <w:t xml:space="preserve"> </w:t>
      </w:r>
      <w:r>
        <w:t xml:space="preserve">attempts. A PDB entry is classified as successful if any attempt within this budget succeeds.</w:t>
      </w:r>
    </w:p>
    <w:p>
      <w:pPr>
        <w:pStyle w:val="BodyText"/>
        <w:spacing w:line="360" w:lineRule="auto" w:after="120"/>
        <w:ind w:firstLine="420"/>
      </w:pPr>
      <w:r>
        <w:t xml:space="preserve">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bookmarkEnd w:id="34"/>
    <w:bookmarkStart w:id="38" w:name="X5f64bd45b404ca02f1e597fd6c2fd1f17bc94df"/>
    <w:p>
      <w:pPr>
        <w:pStyle w:val="3"/>
        <w:keepNext/>
        <w:ind w:firstLine="0"/>
      </w:pPr>
      <w:r>
        <w:t xml:space="preserve">End-to-end region detection and identity matching across ligand categories</w:t>
      </w:r>
    </w:p>
    <w:p>
      <w:pPr>
        <w:pStyle w:val="CaptionedFigure"/>
        <w:keepNext/>
        <w:spacing w:line="240" w:lineRule="auto" w:before="0" w:after="0"/>
        <w:ind w:firstLine="0"/>
        <w:jc w:val="center"/>
      </w:pPr>
      <w:r>
        <w:drawing>
          <wp:inline>
            <wp:extent cx="5731510" cy="3060245"/>
            <wp:effectExtent b="0" l="0" r="0" t="0"/>
            <wp:docPr descr="Fig. 1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hzF9cIR4Mp2UNQuhCQ9dQuD4o60hHeXLMnVT5oCvRVFkV5S9NKi557yADXQvEtRx3mMzpArWa4dIEgOhQ3YOxx-880PyfF8E2nu8ihh0eXP5xe__hUf9g4vz1-8_v23ttZuEW2xyIBVxQwyAg2TNP3CgrFp2u3vdnfT9ADsmVM6Td-8_PP1L9-_ef7D5R-v0jSwpelNuoqXQFTQgxYvitZEVlmr5E7ktCu4dlJVpyU3Z7VG3JfR3jzRbFEWlU3mD9Iod04ncWxFDiW3baWhws2JMsiBSzON58pk2igB1spqWhZxr9O5H5dcVmk0ILaR8Z_HblkAmyczXiDvpyWfwjC4J1y8QhD2DEAfywqs12-s5onVXKAb5ClQhUS9e500apaP6oJUvHaq4WzgZImJI2wijXXHwbTTgHAnBBAiDX8a-UhVzqIdt0JKtLl4_hPW_Z_zVxcvf_R-gVu3byW_bS_fr-xNI-8rEJOLsV-PvTgMGfsvBv90Xa7ux6uEngbzEJ6jk_JJUj4a7w6YGSD0SE7brMuesUM8bqdagMkXcspxZWCKNWcZOBBUfYZKJjOonHRL5q8GVqxNXlzw9T8U5QNSZ3c28ic5MFGjbJnN1Zw5XGswAo8GHwtTE6_p7uwyB9ax0cEnDLeMRPxcupzZWtArnNQFQ9ZM-uMNe5KOmXHnoNSOjetsCg4J72yprh9ymagT7KtN2yrfqW2pyUQKOFCiLrGIq6blcoqjDKRu8NleXHo3jSb8GfmPpdfShK999F4XwKOG4MFtBG7Q_VDev7978RbmzjV93JTmbp1umx1hT_7ohHrR6kUY-LqWBvDGrxuaUMZgD2O3drTQ7W42ti02z8Fgdt6Hhx6WXPcQ3_Ka__hTVbF8q6f2FUkIFr0pB-zYO38McNZaAzZ0HruFbFYTzwyKZZs9fNJYW_xqZaWDDCECtFOGWWdq4Wo02fJsw_3eGj40S7XvVNnD3i7wxXvo7cbX2zr9zxtEX-EgsB4Aov7Odrff7Sy2O_c7vXv9Z3taigR_m8fF3-lxZYbPbwwDDQNyvQ8HmlEGaxrz3q_cQMF9Z8yltnQxKcNqNpKCriUtxOezkcHyWkFehknsh7DYz2BxM4LFmxNYTH0V06xqNJHanU7klMp9WkKnO-lPx3FQnHbop9vW1RQTkRmyb--gRFMayqNVjng06ziuQgoBcqrgsRJnllVqmPNqCvvGKLzVPLP02IhvteEvWFAi55XphoPAGt8owriQ-kgWBXkk2dsHgWNDMoB3mMQJYh6hF79_bbEGxdf5aGVx2GLj-YnKNic2niwmpqQvHhxbhBmNLdezmtfTNiwcE7TfXFdECYI1t7YBI8p_V6QaZ7-HoEpGAqLpTQe3fHZsA_ZKWqFpv1Ih9PhK5ElRMRqRd_u9fmC5FUXncugnzA2ZJ47LYqXelIuqqZfV63PB30H07b9H0nx_" id="36" name="Picture"/>
            <a:graphic>
              <a:graphicData uri="http://schemas.openxmlformats.org/drawingml/2006/picture">
                <pic:pic>
                  <pic:nvPicPr>
                    <pic:cNvPr descr="C:/Users/15919/Desktop/论文草稿/temp/manuscript_figures_me01f5gb/figure_000001.png" id="37" name="Picture"/>
                    <pic:cNvPicPr>
                      <a:picLocks noChangeArrowheads="1" noChangeAspect="1"/>
                    </pic:cNvPicPr>
                  </pic:nvPicPr>
                  <pic:blipFill>
                    <a:blip r:embed="rId35"/>
                    <a:stretch>
                      <a:fillRect/>
                    </a:stretch>
                  </pic:blipFill>
                  <pic:spPr bwMode="auto">
                    <a:xfrm>
                      <a:off x="0" y="0"/>
                      <a:ext cx="5731510" cy="306024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End-to-end ligand-region detection and identity matching.</w:t>
      </w:r>
      <w:r>
        <w:rPr>
          <w:rFonts w:ascii="华文仿宋" w:hAnsi="华文仿宋" w:eastAsia="华文仿宋"/>
          <w:sz w:val="18"/>
        </w:rPr>
        <w:t xml:space="preserve"> </w:t>
      </w:r>
      <w:r>
        <w:rPr>
          <w:rFonts w:ascii="华文仿宋" w:hAnsi="华文仿宋" w:eastAsia="华文仿宋"/>
          <w:sz w:val="18"/>
        </w:rPr>
        <w:t xml:space="preserve">The curves show the percentage of the 179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pPr>
        <w:pStyle w:val="BodyText"/>
        <w:spacing w:line="360" w:lineRule="auto" w:after="120"/>
        <w:ind w:firstLine="420"/>
      </w:pPr>
      <w:r>
        <w:t xml:space="preserve">We first evaluated end-to-end ligand-region detection and identity matching in 179 independent test PDB entries</w:t>
      </w:r>
      <w:r>
        <w:t xml:space="preserve"> </w:t>
      </w:r>
      <w:r>
        <w:t xml:space="preserve">(</w:t>
      </w:r>
      <w:r>
        <w:rPr>
          <w:rStyle w:val="MDFIGREF_eJyrrk7LTC9KTbNKNUrVTczJ0U3LzEvRzU0sSc6orQUApM0LCA"/>
        </w:rPr>
        <w:t xml:space="preserve">Fig. 1</w:t>
      </w:r>
      <w:r>
        <w:t xml:space="preserve">).</w:t>
      </w:r>
      <w:r>
        <w:t xml:space="preserve"> </w:t>
      </w:r>
      <w:r>
        <w:t xml:space="preserve">These entries contained coexisting ligand categories, including small molecules, ions and sugars. Under the strictest single-attempt condition (</w:t>
      </w:r>
      <m:oMath>
        <m:r>
          <m:t>K</m:t>
        </m:r>
        <m:r>
          <m:rPr>
            <m:sty m:val="p"/>
          </m:rPr>
          <m:t>=</m:t>
        </m:r>
        <m: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71 entries (39.7%) at</w:t>
      </w:r>
      <w:r>
        <w:t xml:space="preserve"> </w:t>
      </w:r>
      <m:oMath>
        <m:r>
          <m:t>K</m:t>
        </m:r>
        <m:r>
          <m:rPr>
            <m:sty m:val="p"/>
          </m:rPr>
          <m:t>=</m:t>
        </m:r>
        <m:r>
          <m:t>1</m:t>
        </m:r>
      </m:oMath>
      <w:r>
        <w:t xml:space="preserve"> </w:t>
      </w:r>
      <w:r>
        <w:t xml:space="preserve">and 93 entries (52.0%) within</w:t>
      </w:r>
      <w:r>
        <w:t xml:space="preserve"> </w:t>
      </w:r>
      <m:oMath>
        <m:r>
          <m:t>K</m:t>
        </m:r>
        <m:r>
          <m:rPr>
            <m:sty m:val="p"/>
          </m:rPr>
          <m:t>≤</m:t>
        </m:r>
        <m:r>
          <m:t>10</m:t>
        </m:r>
      </m:oMath>
      <w:r>
        <w:t xml:space="preserve">.</w:t>
      </w:r>
    </w:p>
    <w:bookmarkEnd w:id="38"/>
    <w:bookmarkStart w:id="42" w:name="X6e1b63a4e35e6bf9431f623eff6c1e348a6971c"/>
    <w:p>
      <w:pPr>
        <w:pStyle w:val="3"/>
        <w:keepNext/>
        <w:ind w:firstLine="0"/>
      </w:pPr>
      <w:r>
        <w:t xml:space="preserve">End-to-end reconstruction of all-atom small-molecule poses</w:t>
      </w:r>
    </w:p>
    <w:p>
      <w:pPr>
        <w:pStyle w:val="CaptionedFigure"/>
        <w:keepNext/>
        <w:spacing w:line="240" w:lineRule="auto" w:before="0" w:after="0"/>
        <w:ind w:firstLine="0"/>
        <w:jc w:val="center"/>
      </w:pPr>
      <w:r>
        <w:drawing>
          <wp:inline>
            <wp:extent cx="5731510" cy="3497158"/>
            <wp:effectExtent b="0" l="0" r="0" t="0"/>
            <wp:docPr descr="Fig. 2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PocketXMol-tuned using deposited (GT, b) and CryoAtom2-reconstructed (CA2, c) receptor structures across charged attempts K. Success requires RMSD below 2 Å or 3 Å. Solid lines denote top-1 poses selected by model score; dashed lines denote best-of-50 poses." title="MDPPTFIG_eJztWF-PGzUQ_ypWnqhIsknacL3QnnTk7irEHYp6RUJi0cnxThLrvGtje5NLKRIvCCFUXop4AfHMUz8AlegD3wTRPx-DGXuTy_0pqtqHkoqqubVnxr8Ze2bssb-sGe4ntR6rPfvx0ZOf_0h2O7vPHj14-usvTWP8Sa3OahacVlPISKjfS9NPHFiXpu3uZnszTXfAHXtt0vT5w9-f_vTt8_vfPfvtcZpGtDS9CFfwHAgKOtBwOVeqYaQBJQsgruDGS10c5dwelwblPqvdmPUMO8lV4Xqzm2lt4r3pJYkTE8i5a2oDBTJH2ubcY9eOk5m2mbFagHOyGOcq6bRa7yU5l0Va2yK0gQ2fQz9XwGa9KVeI-2HOx9CP6kkuWUiQ7DGA2UcTXaCv9GY9Z7hANYhDc0CgzrVWWqu6t0tFJF56XWFW4jRSFhmKjaR1fj8ObVVCyIkGREvjn6q9pwvvcBx3Qkoc8-T-D7jufz96_OTh90EvcOe3neSX8Sbbhbs4KOiKwKRiGPrD0OzHGYcvGn93uVzt64sJ3Y3Do3mePBUmSfMxGDtgp4Cie3LcZB12j-0WWcPrBuDkc52BUrR4esRCLCBJgcBFc00C9RH6DazBa8yUra3lu0qO5RBz4pwvGLdIQz8paKC0zEpgmGi8kOKC6Ez6CSs0417njuUy5CCzoLiXU2BeMz8BaZmH3CANHc36Jap3zE30jJjMgBVQeExHiguibGygvPNssPMBQ46VC0WuFJTmo1IxnEcmBWVv5MmCcfzvSZFnwzIbg0e8tXXO2bDKe_oAN-5qX8xfal_Uo5EUsKNFmeMiLnZFPyE78gjqtz66keRBTUWJfwbh4_yc5ZX5JlgfaFF4UAHcvAzAb7VfF_evrx-8ALl1hp5US7Ne3m2yPToOOP7QeDFhGRTaA9uXmGbZIcBxYymwQguydUwvZ0BQgql5k926E8T6250FSgZGO-khju_bud7G9OxgMgtMF29LQTzsgfHaskgpEfUc9FuSPG_HicrX1hv1EOzvxkAXcfe38EUp8ZiB0_JAaIsh6ZE1xl0dg9hD2N9DEKuQBExihHtJ-weB4VFTZ7MJWJzdaULt5tx0UD5m0Dl9ulDzF2r6P-D_SwE_XFtv1NfW8rcxjsTaeqPODmPByyyVzgyru9UNEw95YCtnOu1loUweaHEM_tMDrRq-LPCoL0NVfloWvHPrTp0Nr_xrefAOFhR1Jq5cVicwLqxGs8SE2zGVGbHsdmu70m-k2l7X0nUZlPFMdez2weEOG4LCC12H_fkNXhbZVfyipFaSzu4Chara1GvTaIfQxSsg4DWSYm04j48DzOHRDO-zjLsJnBs4xBthQ48a3VYcffawpteTrdrndVZbPiXVuhtX29126-Tqtc2Ndvf6vRtGih7-Kr_yl_JrZvnswrNShYBYr4KBwyiLljD2lQMs3rMxaSfSOHIjzbCYDqQgJ1JHfDwdWFxCJ0hLv5eE57wkvOYl1WNesvqWl1Am4zSLEodI449Gckwpf5RDqz3qjodJJBy16F-naYoxTkRmiH6tjS1678P2YDFHdM3SjlOTooGcVnAfNyvHCt2f8GIM29ZqrOh45ig0CW_BCPeSSETM06ErCiJqcmERhkqaPakUaaR2GB8bHG-eFrCWpOYIZW6jlsA_01kKJWfxqOcMrvBwdoABvPL2x3snI5vTFx3HTuJrH5svX_0Cndhw4pkgfhWuKCVIrIraShilwncBaqzzt0DnjBooTfVsVMun-y7KnrYW0sQvdDQ9OW3ynsKTA1E2u51uRLlUivyyG94qV9q857lUC_JqWxXVejmz9Av-tmpf_QOkxYFM" id="40" name="Picture"/>
            <a:graphic>
              <a:graphicData uri="http://schemas.openxmlformats.org/drawingml/2006/picture">
                <pic:pic>
                  <pic:nvPicPr>
                    <pic:cNvPr descr="C:/Users/15919/Desktop/论文草稿/temp/manuscript_figures_me01f5gb/figure_000002.png" id="41" name="Picture"/>
                    <pic:cNvPicPr>
                      <a:picLocks noChangeArrowheads="1" noChangeAspect="1"/>
                    </pic:cNvPicPr>
                  </pic:nvPicPr>
                  <pic:blipFill>
                    <a:blip r:embed="rId39"/>
                    <a:stretch>
                      <a:fillRect/>
                    </a:stretch>
                  </pic:blipFill>
                  <pic:spPr bwMode="auto">
                    <a:xfrm>
                      <a:off x="0" y="0"/>
                      <a:ext cx="5731510" cy="349715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End-to-end modelling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Curves show the percentage of the 77 test PDB entries with successful predictions within an attempt budget of</w:t>
      </w:r>
      <w:r>
        <w:rPr>
          <w:rFonts w:ascii="华文仿宋" w:hAnsi="华文仿宋" w:eastAsia="华文仿宋"/>
          <w:sz w:val="18"/>
        </w:rPr>
        <w:t xml:space="preserve"> </w:t>
      </w:r>
      <m:oMath>
        <m:r>
          <m:t>K</m:t>
        </m:r>
        <m:r>
          <m:rPr>
            <m:sty m:val="p"/>
          </m:rPr>
          <m:t>=</m:t>
        </m:r>
        <m:r>
          <m:t>1</m:t>
        </m:r>
        <m:r>
          <m:rPr>
            <m:sty m:val="p"/>
          </m:rPr>
          <m:t>–</m:t>
        </m:r>
        <m:r>
          <m:t>10</m:t>
        </m:r>
      </m:oMath>
      <w:r>
        <w:rPr>
          <w:rFonts w:ascii="华文仿宋" w:hAnsi="华文仿宋" w:eastAsia="华文仿宋"/>
          <w:sz w:val="18"/>
        </w:rPr>
        <w:t xml:space="preserve">. Find and Match denote LigandSeek-Find and LigandSeek-Match, respectively. GT and CA2 denote deposited and CryoAtom2-reconstructed receptor structures, respectively.</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Find+Match curves require end-to-end correct region detection and ligand identity matching, whereas Find and Emap2lig-Find curves require only correct region detection.</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Success rates for end-to-end pose reconstruction with PocketXMol-tuned using deposited (GT, b) and CryoAtom2-reconstructed (CA2, c) receptor structures across charged attempts</w:t>
      </w:r>
      <w:r>
        <w:rPr>
          <w:rFonts w:ascii="华文仿宋" w:hAnsi="华文仿宋" w:eastAsia="华文仿宋"/>
          <w:sz w:val="18"/>
        </w:rPr>
        <w:t xml:space="preserve"> </w:t>
      </w:r>
      <m:oMath>
        <m:r>
          <m:t>K</m:t>
        </m:r>
      </m:oMath>
      <w:r>
        <w:rPr>
          <w:rFonts w:ascii="华文仿宋" w:hAnsi="华文仿宋" w:eastAsia="华文仿宋"/>
          <w:sz w:val="18"/>
        </w:rPr>
        <w:t xml:space="preserve">. Success requires RMSD below 2 Å or 3 Å. Solid lines denote top-1 poses selected by model score; dashed lines denote best-of-50 poses.</w:t>
      </w:r>
    </w:p>
    <w:p>
      <w:pPr>
        <w:pStyle w:val="BodyText"/>
        <w:spacing w:line="360" w:lineRule="auto" w:after="120"/>
        <w:ind w:firstLine="420"/>
      </w:pPr>
      <w:r>
        <w:t xml:space="preserve">We evaluated the full end-to-end reconstruction pipeline (detection, matching, and pose reconstruction) for eligible small molecules across 77 PDB entries which contain at least one of them</w:t>
      </w:r>
      <w:r>
        <w:t xml:space="preserve"> </w:t>
      </w:r>
      <w:r>
        <w:t xml:space="preserve">(</w:t>
      </w:r>
      <w:r>
        <w:rPr>
          <w:rStyle w:val="MDFIGREF_eJyrrk7LTC9KTbNKNUrVLc5NzMnRLcgsSM3JzEutSdJJrq0FANjnDNA"/>
        </w:rPr>
        <w:t xml:space="preserve">Fig. 2b, c</w:t>
      </w:r>
      <w:r>
        <w:t xml:space="preserve">).</w:t>
      </w:r>
      <w:r>
        <w:t xml:space="preserve"> </w:t>
      </w:r>
      <w:r>
        <w:t xml:space="preserve">In all evaluations, PocketXMol-tuned used the centroid of the ligand region predicted by Find to define the binding site and pocket, without relying on ground-truth ligand coordinates. We tested the pipeline using both deposited receptors</w:t>
      </w:r>
      <w:r>
        <w:t xml:space="preserve"> </w:t>
      </w:r>
      <w:r>
        <w:t xml:space="preserve">(</w:t>
      </w:r>
      <w:r>
        <w:rPr>
          <w:rStyle w:val="MDFIGREF_eJyrrk7LTC9KTbNKNUrVLc5NzMnRLcgsSM3JzEutSaqtBQDAgAxB"/>
        </w:rPr>
        <w:t xml:space="preserve">Fig. 2b</w:t>
      </w:r>
      <w:r>
        <w:t xml:space="preserve">)</w:t>
      </w:r>
      <w:r>
        <w:t xml:space="preserve"> </w:t>
      </w:r>
      <w:r>
        <w:t xml:space="preserve">and CryoAtom2-reconstructed receptors</w:t>
      </w:r>
      <w:r>
        <w:t xml:space="preserve"> </w:t>
      </w:r>
      <w:r>
        <w:t xml:space="preserve">(</w:t>
      </w:r>
      <w:r>
        <w:rPr>
          <w:rStyle w:val="MDFIGREF_eJyrrk7LTC9KTbNKNUrVLc5NzMnRLcgsSM3JzEutSa6tBQDAgwxC"/>
        </w:rPr>
        <w:t xml:space="preserve">Fig. 2c</w:t>
      </w:r>
      <w:r>
        <w:t xml:space="preserve">),</w:t>
      </w:r>
      <w:r>
        <w:t xml:space="preserve"> </w:t>
      </w:r>
      <w:r>
        <w:t xml:space="preserve">where in the latter, no deposited structural information was used at any stage of the pipeline.</w:t>
      </w:r>
    </w:p>
    <w:p>
      <w:pPr>
        <w:pStyle w:val="BodyText"/>
        <w:spacing w:line="360" w:lineRule="auto" w:after="120"/>
        <w:ind w:firstLine="420"/>
      </w:pPr>
      <w:r>
        <w:t xml:space="preserve">The strictest evaluation allowed one attempt (</w:t>
      </w:r>
      <m:oMath>
        <m:r>
          <m:t>K</m:t>
        </m:r>
        <m:r>
          <m:rPr>
            <m:sty m:val="p"/>
          </m:rPr>
          <m:t>=</m:t>
        </m:r>
        <m:r>
          <m:t>1</m:t>
        </m:r>
      </m:oMath>
      <w:r>
        <w:t xml:space="preserve">),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m:t>K</m:t>
        </m:r>
        <m:r>
          <m:rPr>
            <m:sty m:val="p"/>
          </m:rPr>
          <m:t>≤</m:t>
        </m:r>
        <m:r>
          <m:t>10</m:t>
        </m:r>
      </m:oMath>
      <w:r>
        <w:t xml:space="preserve">) increased top-1 success with CryoAtom2-reconstructed receptors to 46/77 entries (59.7%) at RMSD &lt; 2 Å and 52/77 (67.5%) at RMSD &lt; 3 Å. With deposited receptors, 51/77 entries (66.2%) and 55/77 (71.4%) achieved success at RMSD &lt; 2 Å and &lt; 3 Å, respectively.</w:t>
      </w:r>
    </w:p>
    <w:p>
      <w:pPr>
        <w:pStyle w:val="BodyText"/>
        <w:spacing w:line="360" w:lineRule="auto" w:after="120"/>
        <w:ind w:firstLine="420"/>
      </w:pPr>
      <w:r>
        <w:t xml:space="preserve">For best-of-50 poses within</w:t>
      </w:r>
      <w:r>
        <w:t xml:space="preserve"> </w:t>
      </w:r>
      <m:oMath>
        <m:r>
          <m:t>K</m:t>
        </m:r>
        <m:r>
          <m:rPr>
            <m:sty m:val="p"/>
          </m:rPr>
          <m:t>≤</m:t>
        </m:r>
        <m:r>
          <m:t>10</m:t>
        </m:r>
      </m:oMath>
      <w:r>
        <w:t xml:space="preserve">, success at RMSD &lt; 2 Å reached 67.5% and 75.3% with CryoAtom2-reconstructed and deposited receptors, respectively. At RMSD &lt; 3 Å, the corresponding success rates were 75.3% and 76.6%.</w:t>
      </w:r>
    </w:p>
    <w:p>
      <w:pPr>
        <w:pStyle w:val="BodyText"/>
        <w:spacing w:line="360" w:lineRule="auto" w:after="120"/>
        <w:ind w:firstLine="420"/>
      </w:pPr>
      <w:r>
        <w:rPr>
          <w:rStyle w:val="MDFIGREF_eJyrrk7LTC9KTbNKNUrVLc5NzMnRLcgsSM3JzEutSaytBQDAfQxA"/>
        </w:rPr>
        <w:t xml:space="preserve">Fig. 2a</w:t>
      </w:r>
      <w:r>
        <w:t xml:space="preserve"> </w:t>
      </w:r>
      <w:r>
        <w:t xml:space="preserve">further separates the success rates of individual pipeline stages. Within the first 10 charged attempts (</w:t>
      </w:r>
      <m:oMath>
        <m:r>
          <m:t>K</m:t>
        </m:r>
        <m:r>
          <m:rPr>
            <m:sty m:val="p"/>
          </m:rPr>
          <m:t>≤</m:t>
        </m:r>
        <m:r>
          <m:t>10</m:t>
        </m:r>
      </m:oMath>
      <w:r>
        <w:t xml:space="preserve">), Find alone succeeded in 88.3% and 89.6% of entries with CryoAtom2-reconstructed and deposited receptors, respectively. Both exceeded Emap2lig-Find’s success rate of 70.1% in this subset. Requiring both Find and Match to succeed yielded rates of 81.8% and 83.1%, respectively.</w:t>
      </w:r>
    </w:p>
    <w:bookmarkEnd w:id="42"/>
    <w:bookmarkEnd w:id="43"/>
    <w:bookmarkStart w:id="47" w:name="X9c1e71af165d87e9c7616a17e64efc2f5522419"/>
    <w:p>
      <w:pPr>
        <w:pStyle w:val="2"/>
        <w:keepNext/>
        <w:ind w:firstLine="0"/>
      </w:pPr>
      <w:r>
        <w:t xml:space="preserve">Find–Build comparison with correct ligand identities</w:t>
      </w:r>
    </w:p>
    <w:p>
      <w:pPr>
        <w:pStyle w:val="FirstParagraph"/>
        <w:spacing w:line="360" w:lineRule="auto" w:after="120"/>
        <w:ind w:firstLine="420"/>
      </w:pPr>
      <w:r>
        <w:t xml:space="preserve">Full completion curves and per-PDB distributions for the Find–Build comparison with correct ligand identities are shown in</w:t>
      </w:r>
      <w:r>
        <w:t xml:space="preserve"> </w:t>
      </w:r>
      <w:r>
        <w:rPr>
          <w:rStyle w:val="MDFIGREF_eJyrrk7LTC9KTbMqLi0o0E3LzEvRTc4vKkpNLtHNTSxJztBNKs3MSamtBQBErw_K"/>
        </w:rPr>
        <w:t xml:space="preserve">Fig. 3</w:t>
      </w:r>
      <w:r>
        <w:t xml:space="preserve">.</w:t>
      </w:r>
    </w:p>
    <w:p>
      <w:pPr>
        <w:pStyle w:val="CaptionedFigure"/>
        <w:keepNext/>
        <w:spacing w:line="240" w:lineRule="auto" w:before="0" w:after="0"/>
        <w:ind w:firstLine="0"/>
        <w:jc w:val="center"/>
      </w:pPr>
      <w:r>
        <w:drawing>
          <wp:inline>
            <wp:extent cx="5029200" cy="6218691"/>
            <wp:effectExtent b="0" l="0" r="0" t="0"/>
            <wp:docPr descr="Fig. 3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l9vWzUU_ypWJHhKctOs6dawVeq6dkJqp2rVBBJBleN7kmvV1za2b9KMIY0HhMaAlyFeQDzzxAdgEjzwAfgOE2N8DM65vknTtWywSYyMVErje_75nOOfc04cf1izPGS1Lqs9-erh429-Srbb208ePvj9u2-b1objWp3VHHijRpCS0Fa317vlwfleb6WzvrLe610DfxSM7fX--OHH37_-9I8v7j35_udeL1rr9c6a0zwHMuULaxsDqdOGMM6BCI2cB5E1-oVUKQmm0lvFJ4djmUYPO82O1MQR3AZp9GHO3VFhkfVe7fK4a9lxrrTvjq_0alkItpskXmSQc980FjQyB8bhHPjohsnYuNQ6I8B7qYe5Stqt1lqSc6l7tQ2ytu_Kt4MwUcDG3RFXaPftnA9hK05PcslUgmSPAOwNOA4z6VYlMmVMhXalBj_jVE_jrrdcoC-orpCE-u1VtFA93iwUkXgRTGW1EidNzCKKDaTzYTeqTqdGTvQyhhP_VeMdo4NHPe6FlKjz-IsvcQV_e_jz4x_ul_MC92HTS34eL9vU_qxSOVc0TFP0y-d-OdyKEZfv6PztWZZWLk0Duh3Vo3uBlrMMkuKxiEJwI0DRHTlssgvsDtvB4B7dfXCVAMOEya0CWhdmBsznXCmWGwUC8-brjHtf5JTcCmxMySHHrMkUdJBBgm_S3CF68ApS9RIJYQvr-Tauguzj_npqvRh3SMPlUtBAaZkWwHDTci3FGdGxDBnThvFgcs9yWe5n5kDxIEfAgmEhA-lYAAQID7jQbHsEbsIs16AQDzrgpvckxTx-NrGLF9n-tavoA8JjdXWNITNwLUiRI9zSOtvOuW0rgiEgIauz3RJMBwBH0Z0tNzGb6E8b_RBgg3GoLFFWnZVNwRovA6Tzsu8gR2oGXGRs6Exh6xiILV3qm4CWmTNjz3xmxsRorEQW-NAwg0anxdAm-LeYgkEoWU4Os4DBqiLHWB18UEhMcQZ8NGlQ5tjNvYNrzAcnRVCThQXU6a2Qd80eVreqLuR_qy6YwUAKuGZEkeMnw7QqhIz8yKPR0om868OE5ZWftnSzpJXvlUjYeFOFt4gQInlmI2y0zyc_unvvPMY_mfOXT05ZSKo0LPJKLpLnuN0W1vcF2j8XlvvnWSs5rXJ9Zfqx6fHW6JRqI5ZEjrXl_NpbViEsnLEgTrulg723d7cPmvPFq8ACM63RFtsrtm_EEYR394xqhEJjPRMIACwyKdJRrM7GGThMyax8RhMSc6hjrR4WsnSQfG6yq1wcUe2jwoaE2BSIjLshYA2momaKstx5gThkCEI4I-6PpLWQNtktnULASNAt0hxwqXA4K-0YNbX-SCjDxqbQYLeIhdE12Y5xy_38rP0cNm68BhtmcQtOoC0R5sBswVELWz_pgvtFiiILG-G_BONfP17i-FU2Tkrhl5qFdf8_1zs9-vyz83ukp3D-Fx_jLzTj_eUOeoWeV90R44FOOxBVbOvkWEzGlk4XeR_rgxmwVPogNXZ3vhB0Djoo1FwRSeVIpmirvzwN-B90P0123QFoRkfN8ehLSCfofC2eMSFwsKNowAcFx-8KwHXswPuqgDmdVPIcv2TMKeWANF1anzBrJKWAJEfSKDp1KwXRcglGJ_sFQRVFlr3Kc0DXab3sh_UbrwFs60uYPBsmK60lTpY4eT5O2kucLHbrtzx1fi7GLywxvtgYj6dYT_1Sj__tRu39OqvNroPUOq32OmLgeK29cmltfeXOZStFF18VpvjfwlTq-PjM1ZDKAtp6ERuoFgoHMzPuhcEdT_awVc6k9ZRFilCP9qWgHNKDuDHadywFL2iWrW5S3ttJyms7SXVrJ5m_tJPQd0YMUxeoIm04HMghOusPc2itDDrDfhIJhy36u9C0eoiByBStr67hiC724Hh_GiMuzcyPE5eig5wyuGvEkWfabGVcD2HTOTPOgKeekEH2pgxvQYRIRJsnqnMTRKvJmST0lbQ7Uimakcalfhxw3N0OgshoOECZmzhLyT_1MBNKTtujJ28xw_3xnknnr-bw7vHA5fSOC8eOr5SXcdjkyvRSTkknNl0VEsSv4IpSgsQq1FbC5b2h5MSodT5cB5MzGqA0_T4Tp-WjXR9lT0ZTaeJrE11PToa8qzSjC1PrnXYnWjlXitZlu7xKNDfm3cClmpLnx0pX-fJ2ti742qh99CfNpYWe" id="45" name="Picture"/>
            <a:graphic>
              <a:graphicData uri="http://schemas.openxmlformats.org/drawingml/2006/picture">
                <pic:pic>
                  <pic:nvPicPr>
                    <pic:cNvPr descr="C:/Users/15919/Desktop/论文草稿/temp/manuscript_figures_me01f5gb/figure_000003.png" id="46" name="Picture"/>
                    <pic:cNvPicPr>
                      <a:picLocks noChangeArrowheads="1" noChangeAspect="1"/>
                    </pic:cNvPicPr>
                  </pic:nvPicPr>
                  <pic:blipFill>
                    <a:blip r:embed="rId44"/>
                    <a:stretch>
                      <a:fillRect/>
                    </a:stretch>
                  </pic:blipFill>
                  <pic:spPr bwMode="auto">
                    <a:xfrm>
                      <a:off x="0" y="0"/>
                      <a:ext cx="5029200" cy="6218691"/>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华文仿宋" w:hAnsi="华文仿宋" w:eastAsia="华文仿宋"/>
          <w:b/>
          <w:bCs/>
          <w:sz w:val="18"/>
        </w:rPr>
        <w:t xml:space="preserve">Fig. 3 | Find–Build completion of small molecules, assuming correct ligand identities.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华文仿宋" w:hAnsi="华文仿宋" w:eastAsia="华文仿宋"/>
          <w:sz w:val="18"/>
        </w:rPr>
        <w:t xml:space="preserve"> </w:t>
      </w:r>
      <m:oMath>
        <m:r>
          <m:rPr>
            <m:sty m:val="p"/>
          </m:rPr>
          <m:t>&lt;</m:t>
        </m:r>
        <m:r>
          <m:t>2</m:t>
        </m:r>
        <m:r>
          <m:t> </m:t>
        </m:r>
        <m:r>
          <m:rPr>
            <m:sty m:val="p"/>
          </m:rPr>
          <m:t>Å</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rPr>
            <m:sty m:val="p"/>
          </m:rPr>
          <m:t>&lt;</m:t>
        </m:r>
        <m:r>
          <m:t>3</m:t>
        </m:r>
        <m:r>
          <m:t> </m:t>
        </m:r>
        <m:r>
          <m:rPr>
            <m:sty m:val="p"/>
          </m:rPr>
          <m:t>Å</m:t>
        </m:r>
      </m:oMath>
      <w:r>
        <w:rPr>
          <w:rFonts w:ascii="华文仿宋" w:hAnsi="华文仿宋" w:eastAsia="华文仿宋"/>
          <w:sz w:val="18"/>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per PDB,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distinct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 and circles show the PDB-equal mean, and blue lines and diamonds show the median. Grey points and violins show PDB distributions at</w:t>
      </w:r>
      <w:r>
        <w:rPr>
          <w:rFonts w:ascii="华文仿宋" w:hAnsi="华文仿宋" w:eastAsia="华文仿宋"/>
          <w:sz w:val="18"/>
        </w:rPr>
        <w:t xml:space="preserve"> </w:t>
      </w:r>
      <m:oMath>
        <m:r>
          <m:t>50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100</m:t>
        </m:r>
        <m:r>
          <m:rPr>
            <m:sty m:val="p"/>
          </m:rPr>
          <m:t>%</m:t>
        </m:r>
      </m:oMath>
      <w:r>
        <w:rPr>
          <w:rFonts w:ascii="华文仿宋" w:hAnsi="华文仿宋" w:eastAsia="华文仿宋"/>
          <w:sz w:val="18"/>
        </w:rPr>
        <w:t xml:space="preserve">,</w:t>
      </w:r>
      <w:r>
        <w:rPr>
          <w:rFonts w:ascii="华文仿宋" w:hAnsi="华文仿宋" w:eastAsia="华文仿宋"/>
          <w:sz w:val="18"/>
        </w:rPr>
        <w:t xml:space="preserve"> </w:t>
      </w:r>
      <m:oMath>
        <m:r>
          <m:t>200</m:t>
        </m:r>
        <m:r>
          <m:rPr>
            <m:sty m:val="p"/>
          </m:rPr>
          <m:t>%</m:t>
        </m:r>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r>
          <m:t>300</m:t>
        </m:r>
        <m:r>
          <m:rPr>
            <m:sty m:val="p"/>
          </m:rPr>
          <m:t>%</m:t>
        </m:r>
      </m:oMath>
      <w:r>
        <w:rPr>
          <w:rFonts w:ascii="华文仿宋" w:hAnsi="华文仿宋" w:eastAsia="华文仿宋"/>
          <w:sz w:val="18"/>
        </w:rPr>
        <w:t xml:space="preserve"> </w:t>
      </w:r>
      <w:r>
        <w:rPr>
          <w:rFonts w:ascii="华文仿宋" w:hAnsi="华文仿宋" w:eastAsia="华文仿宋"/>
          <w:sz w:val="18"/>
        </w:rPr>
        <w:t xml:space="preserve">budgets.</w:t>
      </w:r>
    </w:p>
    <w:bookmarkEnd w:id="47"/>
    <w:bookmarkEnd w:id="48"/>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TableNote">
    <w:name w:val="MDTableNote"/>
    <w:basedOn w:val="BodyText"/>
    <w:qFormat/>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9" Type="http://schemas.openxmlformats.org/officeDocument/2006/relationships/image" Target="media/rId39.png"/><Relationship Id="rId44" Type="http://schemas.openxmlformats.org/officeDocument/2006/relationships/image" Target="media/rId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2026-10-24T08:29:56Z</dcterms:created>
  <dcterms:modified xsi:type="dcterms:W3CDTF">2026-10-24T08:29:56Z</dcterms:modified>
</cp:coreProperties>
</file>

<file path=docProps/custom.xml><?xml version="1.0" encoding="utf-8"?>
<Properties xmlns="http://schemas.openxmlformats.org/officeDocument/2006/custom-properties" xmlns:vt="http://schemas.openxmlformats.org/officeDocument/2006/docPropsVTypes"/>
</file>