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30"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 title="MDPPTFIG_eJydUs2O0zAQfpUoZ6ibdku30VIJdYHLgiokbpYqb-I0VhPbsp00y4_EjeXADXHhAeDEA7ASPA27fQxm4vRntRwQkSJ_nvn8zcxnvw41c3kYB-HNp6vfX36S63dXm6-XgHpauya8F4SGW1XUPEXSLKb0peXGUhqNJtGE0lNuV05pSjfff1x_fr_5-OHm2y9KvRqld-UkKzlKZWJ5X9Xc1IKvF_UAUyUzq0pjcjQeDo-iURNNjqLj8fGbEy2SGP6gKQtpY_aQhrlzOibEJjkvme0pzSUkM2VK5mBrliQ1bC3ksizIoN9_QEomJA07BdD6Hw045irDdzLmn0RUlomEn6qkKrl0XsnwgjmhpM2FtjScthPKei6SufGb5Hk9N0HKbYJVZjFpjSet76SznRy6ThwvNYwpKzgitFuAxdCsXXAzflWxyQXxgUUfv6in5RIGESmoR0NAeDOA59sZpydk18e-Jd8gQwfPVLKygVSznMklf2SMWuecpRYFUW-bsJonzgdBc3_0oIBXJXdMOC-EfiKKAisibs97wGLrDHdJjjADzguo0uZvbXYkclsPd1aDw-frZyrFwVnlFHbI4iYzJa5wcUEDmT5Mc-HXVhPimOaNCxLMd88VWAnSulfbkYHVrltRbax7ylUZIAC2gU59WVafWc_doy0b81L51skesriQwRpUJqPByKv8lYX38limbXSHWeyYKLbhQ1zIzi90qIPwT8O3fwAxkX-n" id="12" name="Picture"/>
            <a:graphic>
              <a:graphicData uri="http://schemas.openxmlformats.org/drawingml/2006/picture">
                <pic:pic>
                  <pic:nvPicPr>
                    <pic:cNvPr descr="C:/Users/15919/Desktop/论文草稿/temp/manuscript_figures_er7zua9y/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multi-view density bank</w:t>
      </w:r>
      <w:r>
        <w:rPr>
          <w:rFonts w:ascii="Times New Roman" w:hAnsi="Times New Roman"/>
          <w:sz w:val="24"/>
        </w:rPr>
        <w:t xml:space="preserve"> </w:t>
      </w:r>
      <m:oMath>
        <m:r>
          <m:t>M</m:t>
        </m:r>
      </m:oMath>
      <w:r>
        <w:rPr>
          <w:rFonts w:ascii="Times New Roman" w:hAnsi="Times New Roman"/>
          <w:sz w:val="24"/>
        </w:rPr>
        <w:t xml:space="preserve">, receptor information</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around each blob and auxiliary information AUX from Find (see Methods). It matches the Find-predicted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to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same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PDB entry. Match determines whether each blob is a false-positive Find prediction and, if it is not, assigns its ligand identity:</w:t>
      </w:r>
    </w:p>
    <w:p>
      <w:pPr>
        <w:pStyle w:val="BodyText"/>
        <w:keepLines/>
        <w:spacing w:line="240" w:lineRule="auto" w:before="180" w:after="220"/>
        <w:ind w:firstLine="0"/>
        <w:jc w:val="center"/>
      </w:pPr>
      <m:oMathPara>
        <m:oMathParaPr>
          <m:jc m:val="center"/>
        </m:oMathParaPr>
        <m:oMath>
          <m:eqArr>
            <m:e>
              <m:r>
                <w:rPr>
                  <w:sz w:val="20"/>
                </w:rPr>
                <m:t>&amp;</m:t>
              </m:r>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e>
            <m:e>
              <m:r>
                <w:rPr>
                  <w:sz w:val="20"/>
                </w:rPr>
                <m:t>&amp;</m:t>
              </m:r>
              <m:r>
                <w:rPr>
                  <w:sz w:val="20"/>
                </w:rPr>
                <m:t> </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m:t>
                            </m:r>
                          </m:e>
                          <m:e>
                            <m:r>
                              <w:rPr>
                                <w:sz w:val="20"/>
                              </w:rPr>
                              <m:t>&amp;</m:t>
                            </m:r>
                            <m:r>
                              <w:rPr>
                                <w:sz w:val="20"/>
                              </w:rPr>
                              <m:rPr>
                                <m:nor/>
                                <m:sty m:val="p"/>
                              </m:rPr>
                              <m:t>and has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(SMILES), downstream molecular docking tools can reconstruct the three-dimensional ligand pose. We provide interfaces to commonly used docking tools, allowing users to select the appropriate tool for their needs. We also minimally modified the PocketXMol architecture to use density information as additional docking guidance alongside receptor information. We then loaded its official weights for fine-tuning and adopted PocketXMol-tuned as the default Build model.</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Fig. 2 | Network architecture and data flow of the Find–Match–Build framework. a, Shared inputs. Experimental cryo-electron microscopy (cryo-EM)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fuses density and receptor-atom features, uses bottleneck self-attention and predicts voxelwise ligand-region probabilities. Point Transformer V3 encodes receptor atoms and pseudo-atoms sampled from high-probability binding regions, incorporating voxel information through multiscale feature sampling. Receptor-atom binding probabilities score candidate ligand regions (blobs). AlphaFold3-style recycling iteratively improves predictions across both branches. Blobs and pseudo-atoms provide local cues for Match. c, Foreground classification and identity assignment in Match. A candidate U-Net encodes a 48³ grid centred on each blob. Find-derived blob, pocket and pseudo-atom features modulate the voxel summary h_j^{\mathrm{vox}} through dual pooling, cross-attention and feature-wise linear modulation (FiLM), yielding h_j. SMI-TED ligand-language embeddings query molecular graph features encoded by a graph neural network (GNN) through graph attention. Context attention incorporates other ligand identities in the same PDB entry, yielding g_k. A foreground head predicts foreground probability p_j^{\mathrm{fg}} from h_j. Learned projections and cosine similarity between h_j and g_k produce the J\times K identity-assignment score matrix s_{j,k}. Here, J and K denote the numbers of candidate regions and ligand identities, respectively. d, Pose reconstruction in Build. The blob geometric centre p, Match-assigned ligand identity and receptor pocket environment are passed to docking tools to generate all-atom ligand poses. The default is PocketXMol fine-tuned with density guidance. Vina, DiffDock and EMERALD are also supported." title="MDPPTFIG_eJydUstuEzEU_ZXRrGmcR5MooxIJpcCmRRESO0uR6_FkrIwfsj1JykNih1h0h9jwA6z4AJDga2j7Gdw7niSt6AIx0sjn-h6fe--x36SWhTLNkvTm04_fX36ScxFKk1-_x6Bjbdimj5LUCW-qtciRN8sofeWF85T2hpPehNJT4VfBWEpvv32__vzh9urjzddflEZBSh9U1EwJVCvk8kg1hKP1MSYUc6vaYmo4HgyOe8PtaDzujwbdtydW8gz-ZKsq7TP2mKZlCDYjxPNSKOY7xgoNycI4xQKEbklyxzZSL1VF-t3uiCgmNU1bBdD6Hw04Fmon9jLun0RMUUguTg2vldAhKjlRsSCN9qW0nqbTZkK9nks-dzHgL9Zzl-TCc6wyy0jjPGmMJ63v5K7tJAhlYUxdwxFpwwIMhmb9Qrjx65pNLkncWHTx63esXsIgMgf13ggQ3gvg-W7G6QnZ93FoKTbI0MEzw1c-0WZWMr0UT5wzm1Kw3KMg6u0S3goe4iZoHo7eKRBVyV8mXFTSPpNVhRURN-cjYJkPTgReIiyA8xKqNPl7wZ5E7uth5C04fLE5NzkOzupgsEOWbQuncIWLS7aQ6cI0l3FtNGEf02IbEo759rkCiyOtfbUtGVjNuhO1zofnwqgEAbAddBrLsvWZj9wD2rExr01snRwgyyqdbEBlMuwPo8qDLLyXpzpvdveYZYHJard9F1e69QsdaiH80_TdH1irfws" id="15" name="Picture"/>
            <a:graphic>
              <a:graphicData uri="http://schemas.openxmlformats.org/drawingml/2006/picture">
                <pic:pic>
                  <pic:nvPicPr>
                    <pic:cNvPr descr="C:/Users/15919/Desktop/论文草稿/temp/manuscript_figures_er7zua9y/figure_000002.png" id="16" name="Picture"/>
                    <pic:cNvPicPr>
                      <a:picLocks noChangeArrowheads="1" noChangeAspect="1"/>
                    </pic:cNvPicPr>
                  </pic:nvPicPr>
                  <pic:blipFill>
                    <a:blip r:embed="rId14"/>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2 | Network architecture and data flow of the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(cryo-EM)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fuses density and receptor-atom features, uses bottleneck self-attention and predicts voxelwise ligand-region probabilities. Point Transformer V3 encodes receptor atoms and pseudo-atoms sampled from high-probability binding regions, incorporating voxel information through multiscale feature sampling. Receptor-atom binding probabilities score candidate ligand regions (blobs). AlphaFold3-style recycling iteratively improves predictions across both branches. Blobs and pseudo-atoms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A candidate U-Net encodes a 48³ grid centred on each blob. Find-derived blob, pocket and pseudo-atom features modulate the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through dual pooling, cross-attention and feature-wise linear modulation (FiLM), yielding</w:t>
      </w:r>
      <w:r>
        <w:rPr>
          <w:rFonts w:ascii="Times New Roman" w:hAnsi="Times New Roman"/>
          <w:sz w:val="24"/>
        </w:rPr>
        <w:t xml:space="preserve"> </w:t>
      </w:r>
      <m:oMath>
        <m:sSub>
          <m:e>
            <m:r>
              <m:t>h</m:t>
            </m:r>
          </m:e>
          <m:sub>
            <m:r>
              <m:t>j</m:t>
            </m:r>
          </m:sub>
        </m:sSub>
      </m:oMath>
      <w:r>
        <w:rPr>
          <w:rFonts w:ascii="Times New Roman" w:hAnsi="Times New Roman"/>
          <w:sz w:val="24"/>
        </w:rPr>
        <w:t xml:space="preserve">. SMI-TED ligand-language embeddings query molecular graph features encoded by a graph neural network (GNN) through graph attention. Context attention incorporates other ligand identities in the same PDB entry, yielding</w:t>
      </w:r>
      <w:r>
        <w:rPr>
          <w:rFonts w:ascii="Times New Roman" w:hAnsi="Times New Roman"/>
          <w:sz w:val="24"/>
        </w:rPr>
        <w:t xml:space="preserve"> </w:t>
      </w:r>
      <m:oMath>
        <m:sSub>
          <m:e>
            <m:r>
              <m:t>g</m:t>
            </m:r>
          </m:e>
          <m:sub>
            <m:r>
              <m:t>k</m:t>
            </m:r>
          </m:sub>
        </m:sSub>
      </m:oMath>
      <w:r>
        <w:rPr>
          <w:rFonts w:ascii="Times New Roman" w:hAnsi="Times New Roman"/>
          <w:sz w:val="24"/>
        </w:rPr>
        <w:t xml:space="preserve">.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Learned projections and cosine similarity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 the</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identity-assignment score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Here,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 the numbers of candidate regions and ligand identities, respectively.</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receptor pocket environment are passed to docking tools to generate all-atom ligand poses. The default is PocketXMol fine-tuned with density guidance. Vina, DiffDock and EMERALD are also supported.</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7">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8">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9">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20">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21">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22">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23">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24">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25">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26">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27">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28">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29">
        <w:r>
          <w:rPr>
            <w:rStyle w:val="Hyperlink"/>
          </w:rPr>
          <w:t xml:space="preserve">10.1021/acs.jmedchem.3c01134</w:t>
        </w:r>
      </w:hyperlink>
      <w:r>
        <w:rPr>
          <w:rFonts w:ascii="Times New Roman" w:hAnsi="Times New Roman"/>
          <w:sz w:val="24"/>
        </w:rPr>
        <w:t xml:space="preserve">.</w:t>
      </w:r>
    </w:p>
    <w:bookmarkEnd w:id="30"/>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26" Type="http://schemas.openxmlformats.org/officeDocument/2006/relationships/hyperlink" Target="https://doi.org/10.1016/j.cell.2026.01.003" TargetMode="External"/><Relationship Id="rId28" Type="http://schemas.openxmlformats.org/officeDocument/2006/relationships/hyperlink" Target="https://doi.org/10.1016/j.str.2020.04.018" TargetMode="External"/><Relationship Id="rId24" Type="http://schemas.openxmlformats.org/officeDocument/2006/relationships/hyperlink" Target="https://doi.org/10.1016/j.str.2025.07.002" TargetMode="External"/><Relationship Id="rId18" Type="http://schemas.openxmlformats.org/officeDocument/2006/relationships/hyperlink" Target="https://doi.org/10.1016/j.tibs.2014.10.005" TargetMode="External"/><Relationship Id="rId29" Type="http://schemas.openxmlformats.org/officeDocument/2006/relationships/hyperlink" Target="https://doi.org/10.1021/acs.jmedchem.3c01134" TargetMode="External"/><Relationship Id="rId17" Type="http://schemas.openxmlformats.org/officeDocument/2006/relationships/hyperlink" Target="https://doi.org/10.1038/d41586-020-00341-9" TargetMode="External"/><Relationship Id="rId27" Type="http://schemas.openxmlformats.org/officeDocument/2006/relationships/hyperlink" Target="https://doi.org/10.1038/s41467-023-36732-5" TargetMode="External"/><Relationship Id="rId19" Type="http://schemas.openxmlformats.org/officeDocument/2006/relationships/hyperlink" Target="https://doi.org/10.1038/s41586-024-07215-4" TargetMode="External"/><Relationship Id="rId21" Type="http://schemas.openxmlformats.org/officeDocument/2006/relationships/hyperlink" Target="https://doi.org/10.1038/s41594-025-01723-1" TargetMode="External"/><Relationship Id="rId22" Type="http://schemas.openxmlformats.org/officeDocument/2006/relationships/hyperlink" Target="https://doi.org/10.1126/science.aat4346" TargetMode="External"/><Relationship Id="rId23" Type="http://schemas.openxmlformats.org/officeDocument/2006/relationships/hyperlink" Target="https://doi.org/10.64898/2026.06.01.729423" TargetMode="External"/><Relationship Id="rId20" Type="http://schemas.openxmlformats.org/officeDocument/2006/relationships/hyperlink" Target="https://doi.org/10.65215/LTSpreprints.2026.04.14.000185" TargetMode="External"/><Relationship Id="rId25"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doi.org/10.1016/j.cell.2026.01.003" TargetMode="External"/><Relationship Id="rId28" Type="http://schemas.openxmlformats.org/officeDocument/2006/relationships/hyperlink" Target="https://doi.org/10.1016/j.str.2020.04.018" TargetMode="External"/><Relationship Id="rId24" Type="http://schemas.openxmlformats.org/officeDocument/2006/relationships/hyperlink" Target="https://doi.org/10.1016/j.str.2025.07.002" TargetMode="External"/><Relationship Id="rId18" Type="http://schemas.openxmlformats.org/officeDocument/2006/relationships/hyperlink" Target="https://doi.org/10.1016/j.tibs.2014.10.005" TargetMode="External"/><Relationship Id="rId29" Type="http://schemas.openxmlformats.org/officeDocument/2006/relationships/hyperlink" Target="https://doi.org/10.1021/acs.jmedchem.3c01134" TargetMode="External"/><Relationship Id="rId17" Type="http://schemas.openxmlformats.org/officeDocument/2006/relationships/hyperlink" Target="https://doi.org/10.1038/d41586-020-00341-9" TargetMode="External"/><Relationship Id="rId27" Type="http://schemas.openxmlformats.org/officeDocument/2006/relationships/hyperlink" Target="https://doi.org/10.1038/s41467-023-36732-5" TargetMode="External"/><Relationship Id="rId19" Type="http://schemas.openxmlformats.org/officeDocument/2006/relationships/hyperlink" Target="https://doi.org/10.1038/s41586-024-07215-4" TargetMode="External"/><Relationship Id="rId21" Type="http://schemas.openxmlformats.org/officeDocument/2006/relationships/hyperlink" Target="https://doi.org/10.1038/s41594-025-01723-1" TargetMode="External"/><Relationship Id="rId22" Type="http://schemas.openxmlformats.org/officeDocument/2006/relationships/hyperlink" Target="https://doi.org/10.1126/science.aat4346" TargetMode="External"/><Relationship Id="rId23" Type="http://schemas.openxmlformats.org/officeDocument/2006/relationships/hyperlink" Target="https://doi.org/10.64898/2026.06.01.729423" TargetMode="External"/><Relationship Id="rId20" Type="http://schemas.openxmlformats.org/officeDocument/2006/relationships/hyperlink" Target="https://doi.org/10.65215/LTSpreprints.2026.04.14.000185" TargetMode="External"/><Relationship Id="rId25"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2026-10-06T06:27:10Z</dcterms:created>
  <dcterms:modified xsi:type="dcterms:W3CDTF">2026-10-06T06:27:10Z</dcterms:modified>
</cp:coreProperties>
</file>

<file path=docProps/custom.xml><?xml version="1.0" encoding="utf-8"?>
<Properties xmlns="http://schemas.openxmlformats.org/officeDocument/2006/custom-properties" xmlns:vt="http://schemas.openxmlformats.org/officeDocument/2006/docPropsVTypes"/>
</file>