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0.269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brJ-Tn5RUY6ILHc1JKM_BSIiEltLQDKTRKG"/>
          <w:rFonts w:ascii="Times New Roman" w:hAnsi="Times New Roman"/>
          <w:sz w:val="24"/>
        </w:rPr>
        <w:t xml:space="preserve">Figs. 2, 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ascii="Times New Roman" w:hAnsi="Times New Roman"/>
          <w:sz w:val="24"/>
        </w:rPr>
        <w:t xml:space="preserve"> </w:t>
      </w:r>
      <w:r>
        <w:rPr>
          <w:rFonts w:ascii="Times New Roman" w:hAnsi="Times New Roman"/>
          <w:sz w:val="24"/>
        </w:rPr>
        <w:t xml:space="preserve">of 0.541, compared with 0.269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10"/>
    <w:bookmarkStart w:id="29" w:name="overview-of-ligandseek"/>
    <w:p>
      <w:pPr>
        <w:pStyle w:val="Heading1"/>
        <w:keepNext/>
        <w:spacing w:line="480" w:lineRule="auto"/>
        <w:ind w:firstLine="0"/>
      </w:pPr>
      <w:r>
        <w:rPr>
          <w:rFonts w:ascii="Times New Roman" w:hAnsi="Times New Roman"/>
          <w:sz w:val="24"/>
        </w:rPr>
        <w:t xml:space="preserve">Overview of LigandSeek</w:t>
      </w:r>
    </w:p>
    <w:p>
      <w:pPr>
        <w:pStyle w:val="Figure"/>
        <w:keepNext/>
        <w:spacing w:line="240" w:lineRule="auto" w:before="0" w:after="0"/>
        <w:ind w:firstLine="0"/>
        <w:jc w:val="center"/>
      </w:pPr>
      <w:r>
        <w:rPr>
          <w:rFonts w:ascii="Times New Roman" w:hAnsi="Times New Roman"/>
          <w:sz w:val="24"/>
        </w:rPr>
        <w:drawing>
          <wp:inline>
            <wp:extent cx="5733415" cy="2212656"/>
            <wp:effectExtent b="0" l="0" r="0" t="0"/>
            <wp:docPr descr="" title="MDPPTFIG_eJydUs2O0zAQfpUoZ7ZuWtKl0VIJdYHLgiokThhVXsdtrCa2ZbtNESBxWzhwQ1x4ADjxAKwET8NuH4OZOP1ZLQdEpMjfzHz-5s-vY8N8EWdRfP3p8veXn-Tq3eXm63tAHWP8Or4TxVY4Xa5EjqRxRulzJ6yjNEmHyZDSU-EWXhtKN99_XH2-2Hz8cP3tF6VBjdLbcopVAqVmcn6kV8KupKiPuC61TTDMmfFSq2nF7GJpgPjiJXh3Vpwe9_t3k3Td6yW9QTp4c2Ikz-CP1lWpXMbu07jw3mSEOF6IirmONkJBcKZtxTyYdk5yy2qp5lVJet3ugFRMKhq3CqD1PxpwzS-t2MnYfxLRs5nk4lTzZSWUD0pWlAxH4AppHI1HTYdqNZF8YoPBn64mNsqF45hlnJFmJaTZCGkXQg73QbyoDLSplnBFGj-F4UOxblp4y-7V3WMSHNMufknHqDk0InNQT_qAcGeAJ9seRydkV8e-pFAgwwmeab5wkdLjgqm5eGCtrgvBcoeCqLcNOCO4D07Q3F89SBBUya0hnJfSPJJliRkRN_cDYJnzVnheIJwB5xlkaeI3jB2J3NRDyxmY8Hn9ROfYOFt6jRWybD2zFZ6wuGgNkS508yqcjSb4MSzWPuIYb58rsDjS2lfbkoHVnFtRY51_LHQVIQC2hUpDWrY6c4G7R1s2xpUOpZM9ZFmpohpUhmkvDSp_ZeFeHqq88e4wyzyT5dZ9iEvVzgsn1EL4R_HbP78jiDU" id="12" name="Picture"/>
            <a:graphic>
              <a:graphicData uri="http://schemas.openxmlformats.org/drawingml/2006/picture">
                <pic:pic>
                  <pic:nvPicPr>
                    <pic:cNvPr descr="C:/Users/15919/Desktop/论文草稿/temp/manuscript_figures_htra8w07/figure_000001.png" id="13" name="Picture"/>
                    <pic:cNvPicPr>
                      <a:picLocks noChangeArrowheads="1" noChangeAspect="1"/>
                    </pic:cNvPicPr>
                  </pic:nvPicPr>
                  <pic:blipFill>
                    <a:blip r:embed="rId11"/>
                    <a:stretch>
                      <a:fillRect/>
                    </a:stretch>
                  </pic:blipFill>
                  <pic:spPr bwMode="auto">
                    <a:xfrm>
                      <a:off x="0" y="0"/>
                      <a:ext cx="5733415" cy="2212656"/>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rPr>
          <w:rFonts w:ascii="Times New Roman" w:hAnsi="Times New Roman"/>
          <w:sz w:val="24"/>
        </w:rPr>
        <w:drawing>
          <wp:inline>
            <wp:extent cx="5733415" cy="2212656"/>
            <wp:effectExtent b="0" l="0" r="0" t="0"/>
            <wp:docPr descr="Fig. 2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4 represents a rejected candidate region. Build combines the predicted regions from Find with the matched identities from Match to generate three-dimensional ligand poses using the selected molecular docking tool." title="MDPPTFIG_eJzVVs1uGzcQfhVCpwSItJJiOfU2NWDLdhHADgw7PXULg-KOJNZckiAprZSmQG5tDz216KUP0J76AA3QvkuBJn6MzpCrH9c-BC16qAGZQ3L4zTc_5OwXLcvDtJWz1rvv3_z542_Z29dvbn76GqWOtWHResRaDrxRcyhJaZgXxScenC-K3mCvt1cUR-Cvg7FFcfPLr29_-Orm22_e_fx7USS0orgLp3kFBDWWk7aZg5tLqNvCKOP6tC24DdLoq4q765lFxU9bT-vcskWltM_rj4rWNASbZ5kXU6i47xgLGjfHxlU84NRNstq40jojwHupJ5XK-t3ublZxqYvWPqGduzhchqUCVudzrhD3WcUnMEzmSS9baZDuNYA9lRp8XN-a1bm3XKAZxFG4hED9nW7RaqYXM0VLfBZMg9mo00mpS1QbS-fDaTrabZRwJxFITNO_Rj4xOng8x72QEs-8kBV49hxqdmEqrqPp6YH29-5F1ARBYKM4H0VxmHyLI9J8uQ5Mf2dF_WU6nogEykl0h5hbLBNMJqDqiZx0WJ-9YgfoNSYFSga6bAfTxoGdoG9_vP7ujAcxxfFwJhVGwbjrsTI1wzQyB8JoH9xMBIqrkhOO56zx6MrYmYoJtzTt4zNW8sA7xCgkXv9pqP5FQNj_gOOLKTCp7Qy5cAeMawYLCw4N6sDVJuSATMKSVdwyygrIMAXHOG5ggiTlGtMHNmAeUwpniGZI4551ngpECq4UYpoSlEKE0ZIN0d4BbvY7sWCYMgILyTOBRiXmHVZl4WCC99WzByNlRp4d9qimBg8ZF854z5DdNucOi3XHxlIFfMXYmCsP7chczoFhPEopQgQkcI4PyARlDKkst2yvjAazoiHRSEAQpPjAQYyrDsmVy7Nnp8eXD1mNoZI6MvL4BrLzo0O8F8EtP0TW0dxhn0mlZhgfMhJqw0rp8Q6IwCi0vuGDsGuQxu7yEasxD8AxAjtsTcDHsH8Ogqj8nX6HpbsnTDWityyCNhGATWDjjYs5IAeiUkUxhFtOR60UWwzKBDQkH6YOoF1SFXlEw0K6dZtn9D4nZ0AllpVBYaa4Y6UR13HbGHX7ltPDuN_6DLvFuku0Bk8eP97pDRb9fq-_O9h99dRKkeOvaRz8vRpH6Xh9p2M0CIj1TzDwGJX6Gsa9F4gZj6WAIyNmdP8SkgPFY2lOpfV0uclDPT-Xgq42TcTz-TnGDbwgK8M8i606i506axp1tt2nswCVRTf1DI9IG66wKSNZfzXFEvyg7j7J0sJVl_76Hasn6IgsEb23ixL1cpTPVz5iatY8NpQSQU4RPMWceqbNcMr1BA6cM1i2vPQESHirDW-xGtIiYm6ObhlIqNmdIIyUtCd4jcgiyfF8EniOVwuwRknEJ0BdoJW4f2uyVspu49HMY0dmo_oMn6qtts7zxdhVNGLi2CI1crZcN_S4TtuwCEzQflOuqCVIranaRhm14rgCtfiB8DHgBSMBtfElDcksn5_6pLuRVtq0r02inm1EnivN6Dtqb9AfJJR7tSgvx_EzZEvmeeBSrZa3ZaWbeHm7zgv-9ltf_gUh9a-A" id="15" name="Picture"/>
            <a:graphic>
              <a:graphicData uri="http://schemas.openxmlformats.org/drawingml/2006/picture">
                <pic:pic>
                  <pic:nvPicPr>
                    <pic:cNvPr descr="C:/Users/15919/Desktop/论文草稿/temp/manuscript_figures_htra8w07/figure_000002.png" id="16" name="Picture"/>
                    <pic:cNvPicPr>
                      <a:picLocks noChangeArrowheads="1" noChangeAspect="1"/>
                    </pic:cNvPicPr>
                  </pic:nvPicPr>
                  <pic:blipFill>
                    <a:blip r:embed="rId14"/>
                    <a:stretch>
                      <a:fillRect/>
                    </a:stretch>
                  </pic:blipFill>
                  <pic:spPr bwMode="auto">
                    <a:xfrm>
                      <a:off x="0" y="0"/>
                      <a:ext cx="5733415" cy="22126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B4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is an automated three-stage framework that reconstructs all-atom ligand poses from experimental cryo-EM density maps</w:t>
      </w:r>
      <w:r>
        <w:rPr>
          <w:rFonts w:ascii="Times New Roman" w:hAnsi="Times New Roman"/>
          <w:sz w:val="24"/>
        </w:rPr>
        <w:t xml:space="preserve"> </w:t>
      </w:r>
      <w:r>
        <w:rPr>
          <w:rFonts w:ascii="Times New Roman" w:hAnsi="Times New Roman"/>
          <w:sz w:val="24"/>
        </w:rPr>
        <w:t xml:space="preserve">(</w:t>
      </w:r>
      <w:r>
        <w:rPr>
          <w:rStyle w:val="MDFIGREF_eJyrrk7LTC9KTbMCUrr5ZalFZZmp5brJ-Tn5RUY6ILHc1JKM_BSIiEltLQDKTRKG"/>
          <w:rFonts w:ascii="Times New Roman" w:hAnsi="Times New Roman"/>
          <w:sz w:val="24"/>
        </w:rPr>
        <w:t xml:space="preserve">Figs. 2, 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Inputs comprise an experimental cryo-EM density map, a receptor structure, and candidate ligand identities represented by SMILES strings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The receptor can be a deposited structure or a model reconstructed automatically from the density map by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The latter enables automated ligand modelling without manually built receptors. Density information is encoded as a 56-channel multi-view density bank using spatial transformations, while receptor atoms are represented by 50-dimensional features. These atom features encode element types, residue identities, physicochemical properties and local packing environments.</w:t>
      </w:r>
    </w:p>
    <w:p>
      <w:pPr>
        <w:pStyle w:val="BodyText"/>
        <w:spacing w:line="480" w:lineRule="auto" w:after="120"/>
        <w:ind w:firstLine="480"/>
      </w:pPr>
      <w:r>
        <w:rPr>
          <w:rFonts w:ascii="Times New Roman" w:hAnsi="Times New Roman"/>
          <w:sz w:val="24"/>
        </w:rPr>
        <w:t xml:space="preserve">In the first stage, LigandSeek-Find (hereafter Find) uses a hybrid point–voxel network to locate candidate ligand regions (blobs) and extract auxiliary features</w:t>
      </w:r>
      <w:r>
        <w:rPr>
          <w:rFonts w:ascii="Times New Roman" w:hAnsi="Times New Roman"/>
          <w:sz w:val="24"/>
        </w:rPr>
        <w:t xml:space="preserve"> </w:t>
      </w:r>
      <w:r>
        <w:rPr>
          <w:rFonts w:ascii="Times New Roman" w:hAnsi="Times New Roman"/>
          <w:sz w:val="24"/>
        </w:rPr>
        <w:t xml:space="preserve">(</w:t>
      </w:r>
      <w:r>
        <w:rPr>
          <w:rStyle w:val="MDFIGREF_eJyrrk7LTC9KTbMCUrq5qSUZ-Sm6yfk5-UUmNYm1tQC3_Avf"/>
          <w:rFonts w:ascii="Times New Roman" w:hAnsi="Times New Roman"/>
          <w:sz w:val="24"/>
        </w:rPr>
        <w:t xml:space="preserve">Fig. 6a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receptor embedding head encodes atom representations, projects them onto the voxel grid and supplies processed atom tokens to the point-cloud branch. In the voxel branch, a 3D 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ascii="Times New Roman" w:hAnsi="Times New Roman"/>
          <w:sz w:val="24"/>
        </w:rPr>
        <w:t xml:space="preserve">combines the density bank with projected receptor-atom features to predict voxelwise ligand-region probabilities. In the point-cloud branch,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encodes receptor-atom representations and integrates multiscale voxel features through learnable neighbourhood sampling. An AlphaFold3-style</w:t>
      </w:r>
      <w:r>
        <w:rPr>
          <w:rStyle w:val="MDCITE_eJyLdkhMKkrMLc7PMzIwMknMKchITMvPSTGOBQB0aQjy"/>
          <w:rFonts w:ascii="Times New Roman" w:hAnsi="Times New Roman"/>
          <w:sz w:val="24"/>
          <w:vertAlign w:val="superscript"/>
        </w:rPr>
        <w:t xml:space="preserve">17</w:t>
      </w:r>
      <w:r>
        <w:rPr>
          <w:rFonts w:ascii="Times New Roman" w:hAnsi="Times New Roman"/>
          <w:sz w:val="24"/>
        </w:rPr>
        <w:t xml:space="preserve"> </w:t>
      </w:r>
      <w:r>
        <w:rPr>
          <w:rFonts w:ascii="Times New Roman" w:hAnsi="Times New Roman"/>
          <w:sz w:val="24"/>
        </w:rPr>
        <w:t xml:space="preserve">recycling mechanism iteratively refines representations across both branches. Find operates on</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crops, combining overlapping predictions through sliding-window inference to obtain a whole-map probability map. The inference process, comprising thresholding, connected-component analysis, and filtering, subsequently yields candidate blobs for Match.</w:t>
      </w:r>
    </w:p>
    <w:p>
      <w:pPr>
        <w:pStyle w:val="BodyText"/>
        <w:spacing w:line="480" w:lineRule="auto" w:after="120"/>
        <w:ind w:firstLine="480"/>
      </w:pPr>
      <w:r>
        <w:rPr>
          <w:rFonts w:ascii="Times New Roman" w:hAnsi="Times New Roman"/>
          <w:sz w:val="24"/>
        </w:rPr>
        <w:t xml:space="preserve">In the second stage, LigandSeek-Match (hereafter Match) assigns chemical identities to candidate blobs and classifies them as foreground or background to exclude residual false positives</w:t>
      </w:r>
      <w:r>
        <w:rPr>
          <w:rFonts w:ascii="Times New Roman" w:hAnsi="Times New Roman"/>
          <w:sz w:val="24"/>
        </w:rPr>
        <w:t xml:space="preserve"> </w:t>
      </w:r>
      <w:r>
        <w:rPr>
          <w:rFonts w:ascii="Times New Roman" w:hAnsi="Times New Roman"/>
          <w:sz w:val="24"/>
        </w:rPr>
        <w:t xml:space="preserve">(</w:t>
      </w:r>
      <w:r>
        <w:rPr>
          <w:rStyle w:val="MDFIGREF_eJyrrk7LTC9KTbMCUrq5qSUZ-Sm6yfk5-UUmNUm1tQC3_wvg"/>
          <w:rFonts w:ascii="Times New Roman" w:hAnsi="Times New Roman"/>
          <w:sz w:val="24"/>
        </w:rPr>
        <w:t xml:space="preserve">Fig. 6b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 supports organic small molecules, metal ions, sugars and other ligand classes. Match pairs a candidate encoder with an identity encoder in a cross-modal architecture. For each candidate blob, the candidate encoder applies a 3D U-Net to a local</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crop to obtain a base voxel summary. Mean and maximum pooling, cross-attention and feature-wise linear modulation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integrate surrounding pocket atoms, blob features and auxiliary features from Find into the final candidate representation. In parallel, the identity encoder processes user-provided SMILES strings within the same PDB entry. Using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language representations as queries, it applies graph attention over RDKit-derived molecular graphs encoded by a graph neural network (GNN). In parallel, context attention incorporates information from co-occurring ligand identities. A foreground head predicts the foreground probability of each candidate, while cosine scoring over learned linear projections generates the candidate-to-identity matching score matrix.</w:t>
      </w:r>
    </w:p>
    <w:p>
      <w:pPr>
        <w:pStyle w:val="BodyText"/>
        <w:spacing w:line="480" w:lineRule="auto" w:after="120"/>
        <w:ind w:firstLine="480"/>
      </w:pPr>
      <w:r>
        <w:rPr>
          <w:rFonts w:ascii="Times New Roman" w:hAnsi="Times New Roman"/>
          <w:sz w:val="24"/>
        </w:rPr>
        <w:t xml:space="preserve">In the third stage, LigandSeek-Build (hereafter Build) receives the binding site located by Find and the SMILES identity assigned by Match</w:t>
      </w:r>
      <w:r>
        <w:rPr>
          <w:rFonts w:ascii="Times New Roman" w:hAnsi="Times New Roman"/>
          <w:sz w:val="24"/>
        </w:rPr>
        <w:t xml:space="preserve"> </w:t>
      </w:r>
      <w:r>
        <w:rPr>
          <w:rFonts w:ascii="Times New Roman" w:hAnsi="Times New Roman"/>
          <w:sz w:val="24"/>
        </w:rPr>
        <w:t xml:space="preserve">(</w:t>
      </w:r>
      <w:r>
        <w:rPr>
          <w:rStyle w:val="MDFIGREF_eJyrrk7LTC9KTbMCUrq5qSUZ-Sm6yfk5-UUmNcm1tQC4Agvh"/>
          <w:rFonts w:ascii="Times New Roman" w:hAnsi="Times New Roman"/>
          <w:sz w:val="24"/>
        </w:rPr>
        <w:t xml:space="preserve">Fig. 6c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 combines these inputs with the surrounding receptor pocket and local density to reconstruct an all-atom ligand pose. Its default engine for organic small molecules, density-guided PocketXMol (DG-PocketXMol), adapts the generative model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through density-conditioned fine-tuning. DG-PocketXMol incorporates experimental density into pose generation, guiding ligand reconstruction to satisfy both density contours and pocket chemical constraints. Build also provides a modular interface that supports other downstream docking tools, including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EMERALD</w:t>
      </w:r>
      <w:r>
        <w:rPr>
          <w:rStyle w:val="MDCITE_eJyLdsgtTc3LLjYyMDJOzU0tSsxJiQUASqEHLQ"/>
          <w:rFonts w:ascii="Times New Roman" w:hAnsi="Times New Roman"/>
          <w:sz w:val="24"/>
          <w:vertAlign w:val="superscript"/>
        </w:rPr>
        <w:t xml:space="preserve">11</w:t>
      </w:r>
      <w:r>
        <w:rPr>
          <w:rFonts w:ascii="Times New Roman" w:hAnsi="Times New Roman"/>
          <w:sz w:val="24"/>
        </w:rPr>
        <w:t xml:space="preserve">.</w:t>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tu1DAU_ZUoazqeR0OZqIyEpsCmRSMkVhiNXMeZWI0fsj0zQYDErmLBDrHhB1jxASDB19D2M7g3zjwqukBEinzuvcfnvvwmtSxUaZ6k159-_P7yk5yJUJni6j0aPWtDk95LUie8qVeiQN40p_SFF85TOsjGgzGlJ8JfBGMpvfn2_erz5c3HD9dff1EaBSm9U1EzJVCtlIsD1RIOuKmNG2CQMxuk0XPF3MXSAu3lK_BurTQ7Go0OB1lzOBpCBdnbYyt5Dn_SqFr7nD2kaRWCzQnxvBKK-Z6xQkOwNE6xAKZbkMKxtdQLVZNhv3-fKCY1TTsF0PofDbgWlk5sZdw_iZiylFycGL5UQoeo5ETNcAS-ktbTdNJ2qFczyWcuGvzZauaSQniOWaY5aXdC2pWQbiNkfyEkCGWhTb2EK9KGOYweivXzKjj2YN0_ItEx7-M36lm9gEZkAeqw5DTBjQGebXqcHJNtHbuSYoEMJ3hq-IVPtJlWTC_EI-fMuhKs8CiIepuAt4KH6ATN3dW9BFGV_DWE81raJ7KuMSPi9n4ELPfBicArhCVwnkOWNn7L2JLIbT20vIUJn6_PTIGNs2UwWCHLm9IpPGFxSQORPnTzOp6tJvgxLJqQcIx3zxVYHGndq-3IwGrPjah1PjwVRiUIgO2g0piWrU595O7Qho1xbWLpZAdZXutkDSrjbJhFlTtZuJfHumi9W8zywGS9ce_jWnfzwgl1EP5J-u4PycCH5Q" id="18" name="Picture"/>
            <a:graphic>
              <a:graphicData uri="http://schemas.openxmlformats.org/drawingml/2006/picture">
                <pic:pic>
                  <pic:nvPicPr>
                    <pic:cNvPr descr="C:/Users/15919/Desktop/论文草稿/temp/manuscript_figures_htra8w07/figure_000003.png" id="19" name="Picture"/>
                    <pic:cNvPicPr>
                      <a:picLocks noChangeArrowheads="1" noChangeAspect="1"/>
                    </pic:cNvPicPr>
                  </pic:nvPicPr>
                  <pic:blipFill>
                    <a:blip r:embed="rId17"/>
                    <a:stretch>
                      <a:fillRect/>
                    </a:stretch>
                  </pic:blipFill>
                  <pic:spPr bwMode="auto">
                    <a:xfrm>
                      <a:off x="0" y="0"/>
                      <a:ext cx="5733415" cy="4325915"/>
                    </a:xfrm>
                    <a:prstGeom prst="rect">
                      <a:avLst/>
                    </a:prstGeom>
                    <a:noFill/>
                    <a:ln w="9525">
                      <a:noFill/>
                      <a:headEnd/>
                      <a:tailEnd/>
                    </a:ln>
                  </pic:spPr>
                </pic:pic>
              </a:graphicData>
            </a:graphic>
          </wp:inline>
        </w:drawing>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2O0zAQfpUoZ7Zu04al0VIJdYHLLqqQOGFUeR2nsZrYlu22QYDEbcWBG-LCC3DiAUCCp2F3H4OZOP1ZsQdEpMjfzHz-5s9vYsN8GWdRfP3px-8vP8m58KXOr96j0TPGN_G9KLbC6WotcuRNM0pfOGEdpYN0PBhTeirc0mtD6c2371efL28-frj--ovSIEjpnYqK1QLVCrk4qlvCEdeVtgkGOTNeajWvmV2uDNBevgLvzorT4-FwNEib0TCBCtK3J0byDP6oqSvlMvaQxqX3JiPE8VLUzPW0EQqChbY182DaBckt20i1qCuS9Pv3Sc2konGnAFr_owHX_MqKnYz9JxFdFJKLU81XtVA-KFlRMRyBK6VxNJ60Har1TPKZDQZ_tp7ZKBeOY5ZpRtqdkHYlpNsIOVwI8aI20KZawRVp_BxGD8W6eekte7DpH5PgmPfxG_WMWkAjMgf1JAGEGwM82_Y4OSG7OvYlhQIZTvBM86WLlJ6WTC3EI2v1phQsdyAyQL1twBnBfXCC5v7qQYKgSv4awkUlzRNZVZgRcXs_AJY5b4XnJcICOM8hSxu_ZexI5LYeWs7AhC825zrHxtnKa6yQZU1hazxhcVEDkT508zqcrSb4MSwaH3GMd88VWBxp3avtyMBqz62osc4_FbqOEADbQqUhLVufucDdoy0b40qH0skesqxS0QZUxmmSBpU7WbiXxypvvTvMMs9ktXUf4kp188IJdRD-SfzuD8LBh-E" id="21" name="Picture"/>
            <a:graphic>
              <a:graphicData uri="http://schemas.openxmlformats.org/drawingml/2006/picture">
                <pic:pic>
                  <pic:nvPicPr>
                    <pic:cNvPr descr="C:/Users/15919/Desktop/论文草稿/temp/manuscript_figures_htra8w07/figure_000004.png" id="22" name="Picture"/>
                    <pic:cNvPicPr>
                      <a:picLocks noChangeArrowheads="1" noChangeAspect="1"/>
                    </pic:cNvPicPr>
                  </pic:nvPicPr>
                  <pic:blipFill>
                    <a:blip r:embed="rId20"/>
                    <a:stretch>
                      <a:fillRect/>
                    </a:stretch>
                  </pic:blipFill>
                  <pic:spPr bwMode="auto">
                    <a:xfrm>
                      <a:off x="0" y="0"/>
                      <a:ext cx="5733415" cy="4325915"/>
                    </a:xfrm>
                    <a:prstGeom prst="rect">
                      <a:avLst/>
                    </a:prstGeom>
                    <a:noFill/>
                    <a:ln w="9525">
                      <a:noFill/>
                      <a:headEnd/>
                      <a:tailEnd/>
                    </a:ln>
                  </pic:spPr>
                </pic:pic>
              </a:graphicData>
            </a:graphic>
          </wp:inline>
        </w:drawing>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tu1DAU_ZUoazqeR0OZqIyEpsCmRSMkVhiNXMeZWI0fsj0zQYDErmLBDrHhB1jxASDB19D2M7g3zjwqukBEinzuvcfnvvwmtSxUaZ6k159-_P7yk5yJUJni6j0aPWtDk95LUie8qVeiQN40p_SFF85TOsjGgzGlJ8JfBGMpvfn2_erz5c3HD9dff1EaBSm9U1EzJVCtlIsD1RIOuKmNG2GQMxuk0XPF3MXSAu3lK_BurTQ7Go0OB1lzOBpCBdnbYyt5Dn_SqFr7nD2kaRWCzQnxvBKK-Z6xQkOwNE6xAKZbkMKxtdQLVZNhv3-fKCY1TTsF0PofDbgWlk5sZdw_iZiylFycGL5UQoeo5ETNcAS-ktbTdNJ2qFczyWcuGvzZauaSQniOWaY5aXdC2pWQbiNkfyEkCGWhTb2EK9KGOYweivXzKjj2YN0_ItEx7-OX9axeQCOyAPVhBgg3Bni26XFyTLZ17EqKBTKc4KnhFz7RZloxvRCPnDPrSrDCg8gA9TYBbwUP0Qmau6t7CaIq-WsI57W0T2RdY0bE7f0IWO6DE4FXCEvgPIcsbfyWsSWR23poeQsTPl-fmQIbZ8tgsEKWN6VTeMLikgYifejmdTxbTfBjWDQh4RjvniuwONK6V9uRgdWeG1HrfHgqjEoQANtBpTEtW536yN2hDRvj2sTSyQ6yvNbJGlTG2TCLKneycC-PddF6t5jlgcl6497Hte7mhRPqIPyT9N0fzzKH5g" id="24" name="Picture"/>
            <a:graphic>
              <a:graphicData uri="http://schemas.openxmlformats.org/drawingml/2006/picture">
                <pic:pic>
                  <pic:nvPicPr>
                    <pic:cNvPr descr="C:/Users/15919/Desktop/论文草稿/temp/manuscript_figures_htra8w07/figure_000005.png" id="25" name="Picture"/>
                    <pic:cNvPicPr>
                      <a:picLocks noChangeArrowheads="1" noChangeAspect="1"/>
                    </pic:cNvPicPr>
                  </pic:nvPicPr>
                  <pic:blipFill>
                    <a:blip r:embed="rId23"/>
                    <a:stretch>
                      <a:fillRect/>
                    </a:stretch>
                  </pic:blipFill>
                  <pic:spPr bwMode="auto">
                    <a:xfrm>
                      <a:off x="0" y="0"/>
                      <a:ext cx="5733415" cy="4325915"/>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rPr>
          <w:rFonts w:ascii="Times New Roman" w:hAnsi="Times New Roman"/>
          <w:sz w:val="24"/>
        </w:rPr>
        <w:drawing>
          <wp:inline>
            <wp:extent cx="5733415" cy="4325915"/>
            <wp:effectExtent b="0" l="0" r="0" t="0"/>
            <wp:docPr descr="Fig. 6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integrates the predicted binding site, SMILES identity, pocket context, and density to reconstruct ligand conformations using DG-PocketXMol. An iterative denoising process is employed to generate the final all-atom pose(s) from initial Gaussian noise." title="MDPPTFIG_eJztWFtrHDcU_itinxLY9fiay5IaHDsOATsY2ymFTjFajXZHrGYkJM1e0hTyVvrQp5a-9A_0qT-ghfa_FJrkZ_Q7movXiR9CiksDMXhHl6PvHOl85xzNfN2zPOS9Ieu9_vH3v3_-IzmWITfZq5fUWbM2LHp91nPSGz2TGcntD9P0mZfOp-nGzv2N-2l6IP00GJumb3797dVP3775_rvXv_yZpjVgml6LWPJCEtpYTQZFFBgIo43bpknBbVCmvCi4m1YWYl_2HsyHli0KXfrh_LO0l4dgh0niRS4L7teMlSUmx8YVPKDrJsncuMw6I6T3qpwUOtlcX7-TFFyVaW-X0E5cfJyFpZZsPpxxDdwnBZ_I_Vo9ySWtBMlOpbRHqpQ-jq_05kNvuYAa4GgMAWhzez3tNd3TStMQr4JpMBtxWqnKDGJj5Xw4qpeuN0KYqQ2oLa1_mvahKYPHOu6FUlhzrgrp2VM5Z6em4GVUne-V_tq5iFpDENgo9kexuV_vLT5h5vPuYDa3W9Of18trQwL5JG6HLLfgiXQzCdFDNVljd9gL6A1wxZRxJ3IVpAiVk4xj0xkPnI21mTMzZiGX7EhNMH4m5ZQdYu9_vfzhmAeR4_mwUjpjYwfOENYaGRBqM270ZP7F_tl_ZeONeI9_BCfcjyxhshQmg45MQmNYRmo5KaQNxjFV1ikB0cyCYcgHWSUkExBS4J9kOnIOCyYQ8ezWSJuRx7KPYP9XGVYMDaIlb1Jk8V4p0ozHSsgDI6pClqFNkCEnO4qhP6ssPSX9RA3RIkwIx4rG6MxUIy0HPrhKTKP9cT6KwRmtmG2nwjI-G6Swe0q9UI_F36jN15obma23ZeJ00lqYNFv_v_rpdqQkrxZKK-6WbCw55UC_xs6R9DqqymIks4xqSC75Ja1pLfZrtaJOMAVWRPAyRFoDZo9tHbCZWUjNng2QbuOaE6PKwM4dLz25XDr2-RYTphihxlwbK4MI3hoXp8aVQ152jS2UowtoK9metjk_NDrbguOpegJjKTTZXkiR81L5giHXO1g4k3qJ-TEVSsSfzJSIZjMunPGejQxIO4KZoKn_lNhvOrGPPoIT7rNY95nQHHe3MRG_S9jgjWcgtJw4U4GiCJwRF9OmFwMNaybgV5PZFbgeVFCyDZQ6RLrwYtoIrpvwASXtGkLHEJf7LDIUcREIAhWE8A7V0THqQ4ABVD-sEdMm4qh0XCk4cwVqvxv3uMcg0GLtAo6JV5_LgnQ1uusc0exh2Vjt2jj2rDBaikpzx2COzTsdfXZ2_GRw_uiAaV5OKtxp304bbOVwlgDEjhYhmqzKaJLHZYudHDyE0uCWdHgrxx5TVBPNV_yBCjviI-w4LPtRhTCeMo4XxlF-aCrwikcHwQw6OwpyPMmR_Kd8cPP5QHwEJ9xn9f2_izofCdrQTyLyEEuRNKg5kflHj846bvfbGG04XtOyrYCIPxQvxANdYEKbNDDQhbFnFb1AsoPHg5MI9MWx0bEMdhWO0IzyDb_pjZMpj4JutVnCPOiYyFLGfEGGoxYi43Ct65JrjZe3_O06LagSuQqzj3mFPMZLRsDyahzQK-Fu7yu8J3fvx72du1tb2xs7i-2tTbyT77x4YJUY4r-5D_L3ug9mjs_feVduEID1IRhYRgmpg3EffDF1Utf-yJX1RCDaYTk7UYLoQx3xdHbi4AvcP6Flf5jErxRJ_EiRNN8oktVPFEmAj7DNssISZcPFWE0oe17kwfF78_W7ST1wsU5_d9ZsOcFGVEYcvocWfcNA-6TdI1zT2XFpUm0gpxM8AoE8XLqPO9JE7jln5pRJPUA2CK-d8BbvyfUgMC-XriioUZN3DmGklT1UWpNGasf1dYPj-u0kEiw1x5A5hZY4f6XTCSVX8ajnLU54ND9GFVr5oMGHi7Er6AnHsUX9CYMtu08ZcZymqcQImm_oCilBYg1rG2FIxWcLap0PjyVFChqQRsCGWi2fHfla9rLVStN8aWrTk8smH2pUZqDc39ncqVGulSK_PIofYFbafBi40u3waluXzXl52_kF_7u9b_4Bx_a-aQ" id="27" name="Picture"/>
            <a:graphic>
              <a:graphicData uri="http://schemas.openxmlformats.org/drawingml/2006/picture">
                <pic:pic>
                  <pic:nvPicPr>
                    <pic:cNvPr descr="C:/Users/15919/Desktop/论文草稿/temp/manuscript_figures_htra8w07/figure_000006.png" id="28" name="Picture"/>
                    <pic:cNvPicPr>
                      <a:picLocks noChangeArrowheads="1" noChangeAspect="1"/>
                    </pic:cNvPicPr>
                  </pic:nvPicPr>
                  <pic:blipFill>
                    <a:blip r:embed="rId26"/>
                    <a:stretch>
                      <a:fillRect/>
                    </a:stretch>
                  </pic:blipFill>
                  <pic:spPr bwMode="auto">
                    <a:xfrm>
                      <a:off x="0" y="0"/>
                      <a:ext cx="5733415" cy="432591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Network architecture and data flow of the LigandSeek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encodes density and receptor information to produce candidate ligand regions (blobs in</w:t>
      </w:r>
      <w:r>
        <w:rPr>
          <w:rFonts w:ascii="Times New Roman" w:hAnsi="Times New Roman"/>
          <w:sz w:val="24"/>
        </w:rPr>
        <w:t xml:space="preserve"> </w:t>
      </w:r>
      <m:oMath>
        <m:sSup>
          <m:e>
            <m:r>
              <m:rPr>
                <m:scr m:val="double-struck"/>
                <m:sty m:val="p"/>
              </m:rPr>
              <m:t>R</m:t>
            </m:r>
          </m:e>
          <m:sup>
            <m:r>
              <m:t>3</m:t>
            </m:r>
          </m:sup>
        </m:sSup>
      </m:oMath>
      <w:r>
        <w:rPr>
          <w:rFonts w:ascii="Times New Roman" w:hAnsi="Times New Roman"/>
          <w:sz w:val="24"/>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Build integrates the predicted binding site, SMILES identity, pocket context, and density to reconstruct ligand conformations using DG-PocketXMol. An iterative denoising process is employed to generate the final all-atom pose(s) from initial Gaussian noise.</w:t>
      </w:r>
    </w:p>
    <w:bookmarkEnd w:id="29"/>
    <w:bookmarkStart w:id="81" w:name="results"/>
    <w:p>
      <w:pPr>
        <w:pStyle w:val="Heading1"/>
        <w:keepNext/>
        <w:spacing w:line="480" w:lineRule="auto"/>
        <w:ind w:firstLine="0"/>
      </w:pPr>
      <w:r>
        <w:rPr>
          <w:rFonts w:ascii="Times New Roman" w:hAnsi="Times New Roman"/>
          <w:sz w:val="24"/>
        </w:rPr>
        <w:t xml:space="preserve">Results</w:t>
      </w:r>
    </w:p>
    <w:bookmarkStart w:id="36" w:name="X9497fdd810c5493d41625124eb25d30fb387f27"/>
    <w:p>
      <w:pPr>
        <w:pStyle w:val="Heading2"/>
        <w:keepNext/>
        <w:spacing w:line="480" w:lineRule="auto"/>
        <w:ind w:firstLine="0"/>
      </w:pPr>
      <w:r>
        <w:rPr>
          <w:rFonts w:ascii="Times New Roman" w:hAnsi="Times New Roman"/>
          <w:sz w:val="24"/>
        </w:rPr>
        <w:t xml:space="preserve">LigandSeek-Find improves ligand-region detection</w:t>
      </w:r>
    </w:p>
    <w:p>
      <w:pPr>
        <w:pStyle w:val="FirstParagraph"/>
        <w:spacing w:line="480" w:lineRule="auto" w:after="120"/>
        <w:ind w:firstLine="480"/>
      </w:pPr>
      <w:r>
        <w:rPr>
          <w:rFonts w:ascii="Times New Roman" w:hAnsi="Times New Roman"/>
          <w:sz w:val="24"/>
        </w:rP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which was additionally supplied with the EMDB-recommended contour level.</w:t>
      </w:r>
    </w:p>
    <w:p>
      <w:pPr>
        <w:pStyle w:val="BodyText"/>
        <w:spacing w:line="480" w:lineRule="auto" w:after="120"/>
        <w:ind w:firstLine="480"/>
      </w:pPr>
      <w:r>
        <w:rPr>
          <w:rFonts w:ascii="Times New Roman" w:hAnsi="Times New Roman"/>
          <w:sz w:val="24"/>
        </w:rP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 Unless otherwise specified, instance-level PRAUC without a threshold subscript uses a bidirectional coverage threshold of 0.3.</w:t>
      </w:r>
    </w:p>
    <w:p>
      <w:pPr>
        <w:pStyle w:val="BodyText"/>
        <w:spacing w:line="480" w:lineRule="auto" w:after="120"/>
        <w:ind w:firstLine="480"/>
      </w:pPr>
      <w:r>
        <w:rPr>
          <w:rFonts w:ascii="Times New Roman" w:hAnsi="Times New Roman"/>
          <w:sz w:val="24"/>
        </w:rPr>
        <w:t xml:space="preserve">At the voxel level, incorporating receptor information substantially improved semantic Dice</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dRJqa0FAJNuESk"/>
          <w:rFonts w:ascii="Times New Roman" w:hAnsi="Times New Roman"/>
          <w:sz w:val="24"/>
        </w:rPr>
        <w:t xml:space="preserve">Fig. 7a,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ligands, mean semantic Dice increased from 0.247 for Emap2lig-Find to 0.477 for LigandSeek-Find with CA2 receptors and 0.584 with GT receptors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ytBQByVBCZ"/>
          <w:rFonts w:ascii="Times New Roman" w:hAnsi="Times New Roman"/>
          <w:sz w:val="24"/>
        </w:rPr>
        <w:t xml:space="preserve">Fig. 7a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small-molecule subset, it increased from 0.356 to 0.482 for CA2 and 0.576 for GT</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mtBQByXRCc"/>
          <w:rFonts w:ascii="Times New Roman" w:hAnsi="Times New Roman"/>
          <w:sz w:val="24"/>
        </w:rPr>
        <w:t xml:space="preserve">Fig. 7d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Head-to-head comparisons of individual complexes confirmed the consistency of this voxel-level advantage across the benchmark</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dJJra0FAJN2ESs"/>
          <w:rFonts w:ascii="Times New Roman" w:hAnsi="Times New Roman"/>
          <w:sz w:val="24"/>
        </w:rPr>
        <w:t xml:space="preserve">Fig. 7b, 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CA2 receptors, LigandSeek-Find achieved higher semantic Dice than Emap2lig-Find on 141 complexes, equal scores on 15 and lower scores on 23 across all ligands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qtBQByVxCa"/>
          <w:rFonts w:ascii="Times New Roman" w:hAnsi="Times New Roman"/>
          <w:sz w:val="24"/>
        </w:rPr>
        <w:t xml:space="preserve">Fig. 7b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small-molecule subset, it achieved higher scores on 68 complexes, equal scores on 7 and lower scores on 19</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2tBQByYBCd"/>
          <w:rFonts w:ascii="Times New Roman" w:hAnsi="Times New Roman"/>
          <w:sz w:val="24"/>
        </w:rPr>
        <w:t xml:space="preserve">Fig. 7e</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16494"/>
            <wp:effectExtent b="0" l="0" r="0" t="0"/>
            <wp:docPr descr="Fig. 7 | Overall performance of ligand-region detection. LigandSeek-Find uses deposited receptors (GT) or CryoAtom2-reconstructed receptors (CA2) and is compared with the density-only method Emap2lig-Find. The top row shows all ligands (179 PDB entries, 2,502 instances); the next row shows only small molecules (94 PDB entries, 821 instances). a, d, Semantic Dice and instance-level PRAUC for all ligands (a) and small molecules (d). Bars and horizontal marks represent means across PDB entries; faint points indicate individual PDB entries. Error bars denote 95% confidence intervals derived from 10,000 PDB bootstrap resamples. b, e, Paired semantic Dice comparisons between LigandSeek-Find (CA2) and Emap2lig-Find. Each point represents one PDB entry; colours indicate map resolution, and dashed lines indicate the diagonal. Higher/equal/lower counts are 141/15/23 and 68/7/19 for all ligands and small molecules, respectively. c, f, Instance-level precision and recall for all ligands (c) and small molecules (f). Violins show distributions, faint points show individual PDB entries, and white circles and thick lines indicate medians and interquartile ranges, respectively. In a, c, d, f, grey, blue, and teal represent Emap2lig-Find, LigandSeek-Find (CA2), and LigandSeek-Find (GT), respectively." title="MDPPTFIG_eJztWM1uGzcQfpWBgAIxsNZKshRHShrAke00gJsKjtNLVRgUl9IS3iVZktJaaXoueuipRS8teu6pD9AA7dM0yWN0hpRlyXaLooUPAmxAXv4MvxkOZ78dzpc1w3xe60Ht3fdv_vzx99R5NhHNd2--e_vzT3Vj_HktgZoVThczkZFcvzccvnTCuuGw2ek2u8PhvnBnXpvh8P2vv7394ev3337z7pc_hsMIOBzeiKhYKQgtTm7rmbCsKLaNsGNtS6a4uDdrbpEkZ8ZLrU5LZs-mBtd8VntU9Qycl4VyverDYS333vTS1PFclMzVtREKJwOOx66dpJW2mbGaC-ekmpRF2mo07qclk2pYe0xoAxseL_y8EFD1ZqxA3Gcl2taP6kkuvZAg2TMhzJFUwoXxlV7Vc4ZxVIM4BQ4hUKvdGNYW3eNpQUNs6vUCcyFOK6XKUGwsrfNHcWljIYQz0YBoafy3aB9q5R2uY45LiWtOZCkcPBcVHGt0ZVCd7yl341xAjRAENgr9UWj2497CE818tXRMq31h-qu4PBri6UzCdshyg0Ej7Eyg6KGc1GEXXsMn8Zhh5ZhBj6GQE6aybSsm6GnIhBecfF4nbB813Oqm_8fWYANsPArufSHE2fYhRdjUoaZMGO2kFxlYwYXx2jq49_RkC7SFvp3rPa_LFh4J18p5O-VXJPt7rS1AVJAOuC4NszhfSZ-DzwWC46b8fFurYg6l8LnO4KBkpoUnHWyowwmKIWmA1RW4XFcOKDBiJCB-c7cLg_0nIJS3UrgEWkmn0QKJxlDUuK2HQZES534FIuhzJSGVuhAc3zXE6rbXoR60mitAd1F2268_2wAPJxtg42ZHQbYBHk7gBaYQyksO-xK_TYHgFkyxXYiZKGBwvPeyD_j1WucrFtnwGvdkW3V4wpAxaTbXVr5CMxmKYDbjkFCDcuWRJJlCIW61c6ts9RDGmKV4MFqSh5A6JWdehMZMZlOEWpGuw4G1aNqINCIJa5Tsdj5AhlZjiX1OCz1ulhU0byXmdDC2uoRmI2k0GgFrpLVHymfIzcKx0uA-7jjytt-O0QZ4-I4jbzsKxAZ4OIEBk5TtuTWqjEmgdJguwkj4SggFVxPPy6zxSjJ4wHgeKe6SEimbE0tymz9EDYWe2hUOLCNF6WJKt4UkAGfM5Wgb3bRWJENOKtlEK1bU4SM5yYVNxRfInmmhK2ERe0oaMYuFZruZNjtpayfg3X-Q7qbN7jXCv4HsEzLG0NUFvxPzO8q87ZeFb4CH7yjztqNgvAEeTuDZehKJc1w6KnYQj2CHiORaTsn_JqccY075qdTIcS7ce5HaMF-To0CDSENrGWMQuDlbjIxZ5RIZkkvLCZxGfC752VUKLQUSqHKLlBhzSGRP62UhwDI1ucZ-uGNgCfAEMjQogYkV8wRGxVRErV6gLZfp79r3ILn5wxEXXpt6erL1T8xLNbPHtc8TqC0LiLXO7s5Ou9k5b-8077e77dePjOQ9_C1qiuxf1RQzy6prxcQFAmL9Fwxc5qdWLGHsvwLR4zF-gPc1n5boyohkRcFCNOTSOApW2qGaDSSnUKUOfz4bWLwDOE5a-r001HTTUNJNFxXddLWgm3pRGtymmuISafzpWE7QWHea413hQdXYTePAaYP-dutGTXAjMkP0nRa2qOKL7cHFHvFolnZcmhQNZOTBI83xiqR0P6cA28OLTZULljkEaRLexUQ4-TiImJdLVxRE1PSaE0aFNIeyKEgjtcP62GA9fKeE5zk1xyhzjFrC_FpnKZSu41HPGfTwqPpYZ6sVX9Y7H9uSnnhwcB5rvDBf1nrDOE1TaYvT_CJcUYqT2CJqF8IoFZ4XoMY6_1TgjY4aKI3k4qNaNjtyUfaydSFN80pH09PLJusVCqjE3u20OhHlRik6l4NQoV5ps55nsrgYXm0XauEvZ5bngr_Hta_-AnN1YEc" id="31" name="Picture"/>
            <a:graphic>
              <a:graphicData uri="http://schemas.openxmlformats.org/drawingml/2006/picture">
                <pic:pic>
                  <pic:nvPicPr>
                    <pic:cNvPr descr="C:/Users/15919/Desktop/论文草稿/temp/manuscript_figures_htra8w07/figure_000007.png" id="32" name="Picture"/>
                    <pic:cNvPicPr>
                      <a:picLocks noChangeArrowheads="1" noChangeAspect="1"/>
                    </pic:cNvPicPr>
                  </pic:nvPicPr>
                  <pic:blipFill>
                    <a:blip r:embed="rId30"/>
                    <a:stretch>
                      <a:fillRect/>
                    </a:stretch>
                  </pic:blipFill>
                  <pic:spPr bwMode="auto">
                    <a:xfrm>
                      <a:off x="0" y="0"/>
                      <a:ext cx="5733415" cy="431649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Overall performance of ligand-region detection.</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The top row shows all ligands (179 PDB entries, 2,502 instances); the next row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Semantic Dice and instance-level PRAUC for all ligands (a) and small molecules (d). Bars and horizontal marks represent means across PDB entries; faint points indicate individual PDB entries. Error bars denote 95% confidence intervals derived from 10,000 PDB bootstrap resamples.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 Paired semantic Dice comparisons between LigandSeek-Find (CA2) and Emap2lig-Find. Each point represents one PDB entry; colours indicate map resolution, and dashed lines indicate the diagonal. Higher/equal/lower counts are 141/15/23 and 68/7/19 for all ligands and small molecules, respectively.</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Instance-level precision and recall for all ligands (c) and small molecules (f). Violins show distributions, faint points show individual PDB entries, and white circles and thick lines indicate medians and interquartile ranges, respectively. In a, c, d, f, grey, blue, and teal represent Emap2lig-Find, LigandSeek-Find (CA2), and LigandSeek-Find (GT), respectively.</w:t>
      </w:r>
    </w:p>
    <w:p>
      <w:pPr>
        <w:pStyle w:val="BodyText"/>
        <w:spacing w:line="480" w:lineRule="auto" w:after="120"/>
        <w:ind w:firstLine="480"/>
      </w:pPr>
      <w:r>
        <w:rPr>
          <w:rFonts w:ascii="Times New Roman" w:hAnsi="Times New Roman"/>
          <w:sz w:val="24"/>
        </w:rPr>
        <w:t xml:space="preserve">At the default 0.3 coverage threshold,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increased from 0.269 for Emap2lig-Find to 0.541 with CA2 receptors and 0.663 with GT receptors across all ligands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ytBQByVBCZ"/>
          <w:rFonts w:ascii="Times New Roman" w:hAnsi="Times New Roman"/>
          <w:sz w:val="24"/>
        </w:rPr>
        <w:t xml:space="preserve">Fig. 7a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advantage persisted for small molecules, with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reaching 0.573 for CA2 and 0.701 for GT, compared with 0.483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mtBQByXRCc"/>
          <w:rFonts w:ascii="Times New Roman" w:hAnsi="Times New Roman"/>
          <w:sz w:val="24"/>
        </w:rPr>
        <w:t xml:space="preserve">Fig. 7d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coverage threshold of 0.5, LigandSeek-Find retained substantially higher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with both receptor sources across all ligands and within the small-molecule subset (Supplementary Fig. 1).</w:t>
      </w:r>
    </w:p>
    <w:p>
      <w:pPr>
        <w:pStyle w:val="BodyText"/>
        <w:spacing w:line="480" w:lineRule="auto" w:after="120"/>
        <w:ind w:firstLine="480"/>
      </w:pPr>
      <w:r>
        <w:rPr>
          <w:rFonts w:ascii="Times New Roman" w:hAnsi="Times New Roman"/>
          <w:sz w:val="24"/>
        </w:rPr>
        <w:t xml:space="preserve">Without structural context from the receptor, density-only approaches must search across the entire map, making them inherently vulnerable to false positives from the receptor background while overlooking true ligand regions. Even when supplied with the manually determined EMDB-recommended contour level, Emap2lig-Find achieved a mean instance-level precision of only 0.238 and a mean recall of 0.316 across the 179 complexes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6tBQByWhCb"/>
          <w:rFonts w:ascii="Times New Roman" w:hAnsi="Times New Roman"/>
          <w:sz w:val="24"/>
        </w:rPr>
        <w:t xml:space="preserve">Fig. 7c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without this manual prior, it produced numerous false positives (averaging 353.9 candidate regions per complex) and its performance degraded markedly (Supplementary Fig. 2). In contrast, incorporating receptor information enabled LigandSeek-Find to suppress background macromolecular density and focus detection on plausible binding regions, raising mean instance-level precision with CA2 receptors to 0.631 and mean recall to 0.594</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6tBQByWhCb"/>
          <w:rFonts w:ascii="Times New Roman" w:hAnsi="Times New Roman"/>
          <w:sz w:val="24"/>
        </w:rPr>
        <w:t xml:space="preserve">Fig. 7c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LigandSeek-Find thus substantially reduced false positives while recovering more true ligand instances, with a consistent advantage observed for small molecules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utBQByYxCe"/>
          <w:rFonts w:ascii="Times New Roman" w:hAnsi="Times New Roman"/>
          <w:sz w:val="24"/>
        </w:rPr>
        <w:t xml:space="preserve">Fig. 7f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advantages of our approach are clearly demonstrated in the 9NVS case</w:t>
      </w:r>
      <w:r>
        <w:rPr>
          <w:rFonts w:ascii="Times New Roman" w:hAnsi="Times New Roman"/>
          <w:sz w:val="24"/>
        </w:rPr>
        <w:t xml:space="preserve"> </w:t>
      </w:r>
      <w:r>
        <w:rPr>
          <w:rFonts w:ascii="Times New Roman" w:hAnsi="Times New Roman"/>
          <w:sz w:val="24"/>
        </w:rPr>
        <w:t xml:space="preserve">(</w:t>
      </w:r>
      <w:r>
        <w:rPr>
          <w:rStyle w:val="MDFIGREF_eJyrrk7LTC9KTbMqLklMTzXUzUktS83RTc_JT0rM0c3JTwaSlnllxRplhpq1tQCL5RCz"/>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Globally, Emap2lig-Find produced false-positive ligand regions overlapping the receptor, whereas LigandSeek-Find with CA2 receptor context effectively avoided these artifacts (global semantic Dice, 0.757 versus 0.160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UktS83RTc_JT0rM0c3JTwaSlnllxRplhpo1iY8aJqfU1gIA_AYT6Q"/>
          <w:rFonts w:ascii="Times New Roman" w:hAnsi="Times New Roman"/>
          <w:sz w:val="24"/>
        </w:rPr>
        <w:t xml:space="preserve">Fig. 8a–d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Locally, for the A1B32 instance identified by both methods, LigandSeek-Find aligned much more closely with the ground truth, achieving an IoU of 0.656 compared to 0.306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UktS83RTc_JT0rM0c3JTwaSlnllxRplhpo1qTpptbUA0YwSJg"/>
          <w:rFonts w:ascii="Times New Roman" w:hAnsi="Times New Roman"/>
          <w:sz w:val="24"/>
        </w:rPr>
        <w:t xml:space="preserve">Fig. 8e,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Together with the internal ablation results (Supplementary Table 4), these observations demonstrate that incorporating receptor context not only helps distinguish true ligand regions from the receptor background, but also refines their spatial boundaries.</w:t>
      </w:r>
    </w:p>
    <w:p>
      <w:pPr>
        <w:pStyle w:val="CaptionedFigure"/>
        <w:keepNext/>
        <w:spacing w:line="240" w:lineRule="auto" w:before="0" w:after="0"/>
        <w:ind w:firstLine="0"/>
        <w:jc w:val="center"/>
      </w:pPr>
      <w:r>
        <w:rPr>
          <w:rFonts w:ascii="Times New Roman" w:hAnsi="Times New Roman"/>
          <w:sz w:val="24"/>
        </w:rPr>
        <w:drawing>
          <wp:inline>
            <wp:extent cx="5733415" cy="4207875"/>
            <wp:effectExtent b="0" l="0" r="0" t="0"/>
            <wp:docPr descr="Fig. 8 | Global and local comparison of Emap2lig-Find and LigandSeek-Find for ligand-region detection on 9NVS. LigandSeek-Find takes the CryoAtom2-reconstructed receptor (CA2) as input. Instance matching for both methods used a bidirectional coverage threshold of 0.3. a–c, Reference ligand regions (green), Emap2lig-Find predictions (orange), and LigandSeek-Find predictions with CA2 receptors (blue). Deposited receptors are shown in a and b, and the CA2 receptor in c. All retained predictions are displayed. Global semantic Dice scores are 0.160 for Emap2lig-Find and 0.757 for LigandSeek-Find. d, The receptor-associated false positive marked by box i shows zero overlap with any ground-truth ligand region. e,f, Comparison on the same A1B32 (B:1001) instance marked by box ii (IoU: 0.306 for Emap2lig-Find vs. 0.656 for LigandSeek-Find). Green mesh denotes the ground-truth region; sticks show the deposited ligand and adjacent receptor residues. Panels a–c share the global view and scale; e and f share the local view and scale." title="MDPPTFIG_eJzVVk1vHDUY_iuv9pRIyczsJpuPaamUbpqqUqiitOXCoMg78-6Oice2bO9HSpE4gZBAHEC9cOEGJ7iDBBI_Bam0P4PX9uxmtw1SBeJAlFl_PX7eT7_2Rx3NXN3JofPym19efPtrah0bY_fFVz-9-v7TF188T7R2884WdAxaJaZYeeggL4onFo0tim7_sHtYFMdoL53SRfHqx5__fP7Zqy8_f_nDb0UROYvi70gla9ATxvVtgVMU22OhhkxsC1XS76Gc2o1pd9OjS6YdV_KiYeZyomnf-53bs1zDvBHS5rN3ik7tnM7T1JY1NswmSqOkxZEyDXM0NON0pkyljSrRWi7HjUh7WbaXNozLonPHs52Z0DxyVwJhlk-ZIN4HDek3iOI9Ll0gPPYSUZ9yiTbMr4xmudWsJDHEI2iKiHq7WdFph-cT4afYxKmWs4X7nVxWBBtxY91p3Jq1IFqJCkRN40_bP1HSWdrHbMk57XnMG7TwEGdwrhomg-j6SNob1wJrpPBkwzAehu4g2hZaUvPp0jG93YXqT-P2qIjzMQnmeM015Q6aKRL0hI8TOIBncD8EGRiZGQINpWo0M9wqCWoE9xqme4KPt0-8IzzqlI-peYR4GecoqCDC3LbBMcUFKnRY-ggB_R8-fO9R4jVyUa__1FX_wiHwP9Dxddc7dkmiXI0wMFfqyKmmRzEolbTOTEqHFdAItaMIbQyOepvALHCpJy6BB4RhskSgA1nW_mj4OA6Vq6FBV6vKwsQSAYMhr7iJ8QzZMUVDZ5Ckkl61EpXPkizZSYD98cnX5Rac4wgNeuqYFRCzwsLG2CDKza3Xcorsq3igJ4gyTI6RMDdl2ipyxklTsmlpIW0eigluJnCMWlm-ar0FZhBI25kk-8kmzz6MQoL3Vng8oEx-_-5ICJpzVI9wXbKnqrjVgl1hlSzOj6U6Jx0v4ZiT5bZU5J0AzZLuXhac--ZRypL9_n5Ye83UBKoteEyaLbTaZtaqkjNv1YgJixBs5FMfQHNJs8Mrit4ceDDTwlM0CnysBNPRWUxewdioCZ1Tyg6aWAtPArg12oLByuGXwTeWbgY46t7d6cHG3bybZd1NctEyedZkc9h4oJ7kPh2yvRtsnlpybJbs9fduMppCd99nCCWgramISOXa7F5TO-p7Cyx5-9IGcwOoWoa9NSx81Yd0iqS7Di_FhVcTtAmcMYnCxrQlGh-sICwGdMrpBHsKS0URbwGGwWgFGMvlOm690vnL4U7nA7oxlzdlp7-_s7Pb7c93e9n-wX7_2W3Ny5y-9vJkb3V5VobN3rg1Wwbi-icctM1NDC5pzFuRqNGI8v1YlZOGvByZDAoWjkrNtfUFzlsop2e89OXND8qH0zNDAbOllzLI0_CGScMTJm1fMOnqAyZ12GgyU05oC9fuYsTHpKy9qJ1hB7NsP40TF5n_O0i0HJMhvCL2nT71_POG-mcLGyk0Sz2uVYoKMu_BU-VzS6pB7evRkTFqViOrLJF0Pd9iwWqqjHGSOK-3rgiIrOkbThgKrk-4EF6i74f9scNyKuBIddl3R4Q5JylhfW2wBKXrfH5k6VUCw9m7qlp92rB8PjKNbylwMI-PGbhaPmrCvF_GuYPSr7fpSqjSw9qsbcGECu2CVNMj6T6qBnyH0P7aiGLZ9NRG7HVvgfbrUkXV0-suy4UE_5Y87Pf6keVGlI_LvfAUW-mznCq3WEyv9oVs_WX1Mi703el8_BeeQgZP" id="34" name="Picture"/>
            <a:graphic>
              <a:graphicData uri="http://schemas.openxmlformats.org/drawingml/2006/picture">
                <pic:pic>
                  <pic:nvPicPr>
                    <pic:cNvPr descr="C:/Users/15919/Desktop/论文草稿/temp/manuscript_figures_htra8w07/figure_000008.png" id="35" name="Picture"/>
                    <pic:cNvPicPr>
                      <a:picLocks noChangeArrowheads="1" noChangeAspect="1"/>
                    </pic:cNvPicPr>
                  </pic:nvPicPr>
                  <pic:blipFill>
                    <a:blip r:embed="rId33"/>
                    <a:stretch>
                      <a:fillRect/>
                    </a:stretch>
                  </pic:blipFill>
                  <pic:spPr bwMode="auto">
                    <a:xfrm>
                      <a:off x="0" y="0"/>
                      <a:ext cx="5733415" cy="420787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Global and local comparison of Emap2lig-Find and LigandSeek-Find for ligand-region detection on 9NVS.</w:t>
      </w:r>
      <w:r>
        <w:rPr>
          <w:rFonts w:ascii="Times New Roman" w:hAnsi="Times New Roman"/>
          <w:sz w:val="24"/>
        </w:rPr>
        <w:t xml:space="preserve"> </w:t>
      </w:r>
      <w:r>
        <w:rPr>
          <w:rFonts w:ascii="Times New Roman" w:hAnsi="Times New Roman"/>
          <w:sz w:val="24"/>
        </w:rPr>
        <w:t xml:space="preserve">LigandSeek-Find takes the CryoAtom2-reconstructed receptor (CA2) as input. Instance matching for both methods used a bidirectional coverage threshold of 0.3. a–c, Reference ligand regions (green), Emap2lig-Find predictions (orange), and LigandSeek-Find predictions with CA2 receptors (blue). Deposited receptors are shown in a and b, and the CA2 receptor in c. All retained predictions are displayed. Global semantic Dice scores are 0.160 for Emap2lig-Find and 0.757 for LigandSeek-Find. d, The receptor-associated false positive marked by box i shows zero overlap with any ground-truth ligand region. e,f, Comparison on the same A1B32 (B:1001) instance marked by box ii (IoU: 0.306 for Emap2lig-Find vs. 0.656 for LigandSeek-Find). Green mesh denotes the ground-truth region; sticks show the deposited ligand and adjacent receptor residues. Panels a–c share the global view and scale; e and f share the local view and scale.</w:t>
      </w:r>
    </w:p>
    <w:bookmarkEnd w:id="36"/>
    <w:bookmarkStart w:id="45" w:name="stage-2"/>
    <w:p>
      <w:pPr>
        <w:pStyle w:val="Heading2"/>
        <w:keepNext/>
        <w:spacing w:line="480" w:lineRule="auto"/>
        <w:ind w:firstLine="0"/>
      </w:pPr>
      <w:r>
        <w:rPr>
          <w:rFonts w:ascii="Times New Roman" w:hAnsi="Times New Roman"/>
          <w:sz w:val="24"/>
        </w:rPr>
        <w:t xml:space="preserve">Stage 2</w:t>
      </w:r>
    </w:p>
    <w:bookmarkStart w:id="37"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7"/>
    <w:bookmarkStart w:id="44"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9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1yQ7lErRJkGV0ipKi3hgUOTMeHeszNjG9uzslvIKQggJCcQLiFd4gR9ARftn6OVncI49e-mNVlQ8EGkzx_bxd75z8bE_a2nm8lYMrSff33_044PIOjbj_Sf3v3v880_njx7--fSXL_rv9v968PWj377taO0WrTa0DLeqmPOM9k3iJPnQcmOTpDca98ZJcsjtpVM6SZ7-_sfjH758-s1XT359mCTBQJK8kQXJSk7oQXnHsIyZHc2EocWUaSeUPC-Zuaw0qn3culbHGhZlIW1cv5-0cud0HEU2zXnJbEdpLnFxqkzJHA7NLKqVybRRKbdWyFlZRP1udzcqmZBJ6zqhnRr_ue2WBYc6nrMCcW-USGcSzJNetNIg3UvO9YmQ3Pr5rVEdW81SNIM4BU4hUH_YTVrN8KwqaIpVTjWYjTrtFDJDtakw1p2Erd1GCVcCgcA0_GvkYyWdxX3MpkLgnjui5BZu8RrOVMmkN50fSPvSNY8aIAjswo8vvDgJvvkv0ry7Dkx_uKJ-N2wPRBzlxLtDzDXWDTdzjqrHYtaBMdyDY2X4zKgK3TzuAcNPIWb0ERmXTrglYMrSnILH0rQyLF2CmgJnaQ6lyngBtXA5ZFwrKxzPwPCUa6eMhXfYVQ84MUt14FSJZcRTJa0zVfqc5sXVDrF2gft_Gs63CBr8DzhOCpVe1sJymBpVgss5YC9oe8GKBbAFWra5qkHNuWFFAbdv3jg5ut0GW9KoVAVP8UBYnKhmzOB3ul0ibSi5YwXgAbQ-uxpziLViO3DGMoEryLtCG4bJWUOi372CJKDX7V7pwEevKJc29Nq7ox6kCCoy5giCf1oJwyEtGHaJqUgZnXtvdVWUbSrGOhdYjb12f7APDPU3hDtwJ8fQQKpKbSgog_3xi47294drZ0e7w-c97K18bMi_tp69K8Px27jS2-2-1pXh_ktc2dvbuDL4J1dOm7zRsUZ8R6ZAyWIJ3U53_wqRWXUCdJFJ7NQo-TqaVmgU_WKWu_dwRlC2yTl0dabMEmpmQSoHLMsE-Ykkl8ClQd941sZg2Kpw1FIQkAFdANjjG2aA4XIIZZHjoWClkhkZzihkHI5uHp0dnBzu3DjcakcUR1LheM1Q1wph2VmFJSAi1zYwqvkZ5so7SicAqAwpP64ykihh-QqsasPRInHHwj7dDKDm6GjQRhjmsHj6DcYrGyEFcdAbbKu9toae7Yd0zVxvfYJ37_rObY32BoNhb7QY7Q2Hu7uDe9e0SGP8Ndcwe6NrODOsfuH-bRAQ699g4DaMDl_DmDcCUVM8FPxQpVWJGQxIhhf-mNhcaEttkDyU81ORUhOkQXprfmow5jYlK5M48i-hyD-EouYdFG0_gyLHS41uygq3CO3Op2KGZO157gzbr7t7UZg479LfuKPlDB0RGaL7FwO9i1A-XfmIqVnz2FAKBBlF8ATbMR2GSU798MAYVeecZRZBeoS3WrCapy5MIuZm65aBgBq9EISLQuhjURRkkWS_Pwgsxsri2F9InKLOGVrx688M1krRs3g0svi-gYv6Jt71W48kFi-mpqQvJg4W4VkEy_XzyM_TMl_gYab1plxRK136oa_aRhm1_HcFqvG59QHHq4ME1MZj4YJZNj-xQXcjrbRpXapAPdqILC4k0Kt0POqPAspLtSgvR_5RtyWz2DFRrKa35UI28bJ6nRf8XW99_jejvizI" id="39" name="Picture"/>
            <a:graphic>
              <a:graphicData uri="http://schemas.openxmlformats.org/drawingml/2006/picture">
                <pic:pic>
                  <pic:nvPicPr>
                    <pic:cNvPr descr="C:/Users/15919/Desktop/论文草稿/temp/manuscript_figures_htra8w07/figure_000009.png" id="40" name="Picture"/>
                    <pic:cNvPicPr>
                      <a:picLocks noChangeArrowheads="1" noChangeAspect="1"/>
                    </pic:cNvPicPr>
                  </pic:nvPicPr>
                  <pic:blipFill>
                    <a:blip r:embed="rId38"/>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9a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9b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dRJqq0FAJNoESc"/>
          <w:rFonts w:ascii="Times New Roman" w:hAnsi="Times New Roman"/>
          <w:sz w:val="24"/>
        </w:rPr>
        <w:t xml:space="preserve">Fig. 7a,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10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vIzUQ_yrWSkicSLO7adJrV0elknLopHJUBcQDiyrH62Stem3LdrLJcbyCTggJCcQLiDcEL_ABOHH3XRC99mMws9786bWICsQDkXZ37PnNb8aesScfR4b6MspIdPH10_Nvn8XO0wnvXTz96sX3352eP__t8sdPe6_1_nj2-fnPX3aN8fOoQyLLnZYzXqDdMMvz9x23Ls_TwV66l-eH3J15bfL88pdfX3zz2eUXTy5-ep7nwUGe38qDohVH9gDect5qNeHObxkqLAIYNV5odVpRezY1AP0wuldnhswrqVxWv55Hpfcmi2PHSl5R19WGK1COta2oh6GdxLW2hbGaceeEmlQy7iXJTlxRofJoH9mObfN51y8kJ3U2oxJ4H1QQ0jC4R1y8RCD2jHNzJBR3zfzGqM6coQzcAI-EKSDq9ZM8aocnU4lTdOp1y9nC0VKoAmBjYZ0_CqZJCwJNCCBEGl6tfF8r78COOiYE2LwnKu7IQ16TE11R1bguD5S7UdewBgokGzXjUSMOw9qaL4T5aLUxvf4y9EfBPATiMSfNcjByA7XD7YwD9L6YdEmakMfkSEworFEUXHnhFwQyxErcK8rY1FK2IHpMVjVAZlBtU0d8yYmaViNuUc2AQRTUcyKvsAnuOqQWviQFN9oJzwtiOePGa-vIq_QOQfDQLvSB11VvC3Raga8pewk5utPFVfmwtv90u__FppL_QYwf_EU2OmRi9dS4kK60Q3odst0h_SZDvz_5YUCYrgz3WBnXkgw65eHokn66BzYDeKUpWO8OGvN0p0fQHTiBQAxnXsy4XHRJE8zfpr_TVBvTFo01VBqE0Aa79oux9uG1B6HvbAe3g-Rmt-8ovlGy68rnVGFlU0-olBsIyydw3zgy4hJOAUA0oeT48A0ChnaxDALD0krCeVEvn4NFhzi9PlDCEUU9yBLQaZK8crW48U7Zjz6Ci3Z1wUaDu9vb_XQwH-wku8lO__E9I1gGT3vn0lvduYWl9bXLtmUArn_CAWawEL6isbci0eOxYPxQs2kF-xOYLJcUr3VXCuOwpnGFanYsGFY0DtjD2bGF2nUMvQyzuGl9cdP54rbxxZt9L_a8MrBMNQUTYfzpWEwgWHdaekt36-RuHCZOE_ilSdeoCSxEFMDe3wYJGyHIx8s1QmpWcaxDCgFS3MEjzc4gt3pYUrgtD6zVdclp4YAkRb6loinGMAmca9MNB4E1vrYJIynMfSElekS5sQ8CzeDscLi9URwD5gS8NPorgxUovsqHIwfNjIzqt3Wx2RFpNh_bCr-QODIPPZAsVr2wmUc1n3vCUN-WK6AYwtqqbcGAar5LUgO99S2uK4ICoOHg--CWzo5cwK6lJRr1SofQ47VIM6kI_gXZG_QGgeVGFOblzaaDb8g0g4Msl9ObslTtfjmzygs8-9EnfwJ9H3Ek" id="42" name="Picture"/>
            <a:graphic>
              <a:graphicData uri="http://schemas.openxmlformats.org/drawingml/2006/picture">
                <pic:pic>
                  <pic:nvPicPr>
                    <pic:cNvPr descr="C:/Users/15919/Desktop/论文草稿/temp/manuscript_figures_htra8w07/figure_000010.png" id="43" name="Picture"/>
                    <pic:cNvPicPr>
                      <a:picLocks noChangeArrowheads="1" noChangeAspect="1"/>
                    </pic:cNvPicPr>
                  </pic:nvPicPr>
                  <pic:blipFill>
                    <a:blip r:embed="rId41"/>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10a,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Furthermore, EMERALD-ID lacks GPU acceleration. Docking a single small-molecule identity at one site on a single CPU core requires over an hour on average. Its runtime was almost prohibitive for PDB entries in the high-cost tail, which required docking more small molecules. In contrast, LigandSeek avoids the exhaustive docking process and reduces the docking workload from</w:t>
      </w:r>
      <w:r>
        <w:rPr>
          <w:rFonts w:ascii="Times New Roman" w:hAnsi="Times New Roman"/>
          <w:sz w:val="24"/>
        </w:rPr>
        <w:t xml:space="preserve"> </w:t>
      </w:r>
      <m:oMath>
        <m:r>
          <m:t>O</m:t>
        </m:r>
        <m:r>
          <m:rPr>
            <m:sty m:val="p"/>
          </m:rPr>
          <m:t>(</m:t>
        </m:r>
        <m:r>
          <m:t>N</m:t>
        </m:r>
        <m:r>
          <m:t>K</m:t>
        </m:r>
        <m:r>
          <m:rPr>
            <m:sty m:val="p"/>
          </m:rPr>
          <m:t>)</m:t>
        </m:r>
      </m:oMath>
      <w:r>
        <w:rPr>
          <w:rFonts w:ascii="Times New Roman" w:hAnsi="Times New Roman"/>
          <w:sz w:val="24"/>
        </w:rPr>
        <w:t xml:space="preserve"> </w:t>
      </w:r>
      <w:r>
        <w:rPr>
          <w:rFonts w:ascii="Times New Roman" w:hAnsi="Times New Roman"/>
          <w:sz w:val="24"/>
        </w:rPr>
        <w:t xml:space="preserve">to</w:t>
      </w:r>
      <w:r>
        <w:rPr>
          <w:rFonts w:ascii="Times New Roman" w:hAnsi="Times New Roman"/>
          <w:sz w:val="24"/>
        </w:rPr>
        <w:t xml:space="preserve"> </w:t>
      </w:r>
      <m:oMath>
        <m:r>
          <m:t>O</m:t>
        </m:r>
        <m:r>
          <m:rPr>
            <m:sty m:val="p"/>
          </m:rPr>
          <m:t>(</m:t>
        </m:r>
        <m:r>
          <m:t>N</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therefore defined a separate evaluation 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9a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9b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44"/>
    <w:bookmarkEnd w:id="45"/>
    <w:bookmarkStart w:id="58" w:name="stage-3"/>
    <w:p>
      <w:pPr>
        <w:pStyle w:val="Heading2"/>
        <w:keepNext/>
        <w:spacing w:line="480" w:lineRule="auto"/>
        <w:ind w:firstLine="0"/>
      </w:pPr>
      <w:r>
        <w:rPr>
          <w:rFonts w:ascii="Times New Roman" w:hAnsi="Times New Roman"/>
          <w:sz w:val="24"/>
        </w:rPr>
        <w:t xml:space="preserve">Stage 3</w:t>
      </w:r>
    </w:p>
    <w:bookmarkStart w:id="49" w:name="X752cd74af797621f2bfc2a0853c5cde5fdbaa5a"/>
    <w:p>
      <w:pPr>
        <w:pStyle w:val="Heading3"/>
        <w:keepNext/>
        <w:spacing w:line="480" w:lineRule="auto"/>
        <w:ind w:firstLine="0"/>
      </w:pPr>
      <w:r>
        <w:rPr>
          <w:rFonts w:ascii="Times New Roman" w:hAnsi="Times New Roman"/>
          <w:sz w:val="24"/>
        </w:rPr>
        <w:t xml:space="preserve">Stage 3: Comparison of PocketXMol-official and DG-PocketXmol</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(hereafter eligible small molecules). This test set comprised 446 ligand instances from the 179 PDB entries.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DG-PocketXmol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DG-PocketXmol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11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0FrHDcU_itiTy14PbvObhxv00C6dkrBCcZJodApRjvzdkdYIwlJs7NOU8illB56SimUlp576g9ooD30nwSa5Gf0kzS7dmofQksOgRjWI-k9fe_pe09P0pc9w33Vm7Dei--f_v3TH5nzfEHXXjx98vyXn7eN8aveFutZclouqQx600mef-rIujwfjveGe3m-T-7Ua5PnL3_7_fkP37z87tsXv_6Z5wkwz69EVLymgJaEfT2fi0Jw2feNghkoFNx4odVJze1pY6D6ee9mOzFsVUvlJu2Hea_y3kyyzBUV1dxta0MKwrm2Nffo2kXWalsaqwtyTqhFLbOdweB6VnOh8t6tgHZk4-e-P5PE2smSS-B-UsOlaTIf9LK1RtA9JTKHQpGL4xd67cQZXsAMcCSGALQzGuS9rnvcyDDEG687zE49zBSqhNpcWOcP09RBpwRJciB5mv517TtaeYd53BVCYM4DUZNj96hlx7rmKpqubit3pSyiJogANov9WWxO09riF24-3BCzM1q7_jBNT474EJO4nOC5Qa6QXRJU74jFNhsO2SM21bXhVjitmJ6zI12ckv_srpabuDMOCkqCs_6sv2hESeVFtZgVDLNHo-vM1VzKfq0lFSCVlVALtHvuTt128Msn794oYf-DFvYW-HggxULMwG4km63JdoxbjIFuSX1oi7Ihhp3GlSguqbbCV0xpxr2uHatF3ITMkuReLIl5zXxFwjJPtcEYvQveG9-R_C1geIvtC-etmDWhAId6gbOlP2THd-_vbzFeFCjqcb9rRryokHAlyWePf3RMt4o5iOldIr3pRJq9BQxfTqQZOd_lkSOUKY9DhbtQhpjULYT9IGRGO2K81kiy8YAVOJpEGesTOybXSKwNlwxWkPKW-iXNRTichmP219fMmYqsKHCgmXh6OfbeNOp1_fcZN4a4DWdZNEtz_yrset4ad3bGOBsOAjipJUlcc1CEdYPzEjU6HJupvr53sJZebcmKRQVTH2kU5aSRTIhATqrrBJ4bHkiJpbskECEiR7AytWf6NiztoO4XmOFtE_lDj4zXFuwchO1otFAeozEQIQ-0orWnAtO4Kii4sSK3lTgEWeGG5KKZthLuFJdL6Jbg0VN0fmfsq2ePn-yOg_NkwzQhA0BNpeAqzkwqe5dU4IdBqHHkyLNt9gBoS7I-xoivBAw5BH-B24mvalF8wHTjpQge8JnGMTWO1HdchmSxMLiIR6GPvqE6JdjNXSZWJDbnsF_GmAYKfMi9NQHIxII3Li1uk4pdWMCu5zH2ODwREgGJ1Z6ESqEO1oLfa6wWXtGqkE24NM2trpkA7RB6pL8o_nWshsvkrd4XuGFvbta98e61a6PheDUa7Qx3d288umlEMcGvu2zz17psl5a3l27ZHQKw_gsGpvnG0gbGvhZIjAPt66KpkQQJKd06kLaVMC6UkbBCtTwSRSgioVPcWx5Z5LwrgpXpJItvnCw-cbLuhZNdfOBk4d6CZaoGU4TxJ3OxgLPupEJK32gHu1kaOBngbzjcNmqBhYgS6KMbaIUXENpH6zUiNBs_zl1KDvLA4CHSwyEnphUSkG5bq9uKeOkAMgx4a0FM9zQIzPOpFwwk1OwSCTMpzB0hZbAY2nF-avAJtjz5ogrNOXSOYSXKX-lslLJX8ULP4RXDZu1dbI8LTyE-Wc1tHb4IHFulxw872zyC4ngQ0wp7I8i7dIVWEdS6rO2UoRW_a1CDR9XHhE0RGtBGvfLJLF8euqR73lprB7nSyfXsvMknUrHw9twb74wTypVaIS4H8el2oc0n2NZyPXyxLVXHlzObuOB3q_fVP6-xc4I" id="47" name="Picture"/>
            <a:graphic>
              <a:graphicData uri="http://schemas.openxmlformats.org/drawingml/2006/picture">
                <pic:pic>
                  <pic:nvPicPr>
                    <pic:cNvPr descr="C:/Users/15919/Desktop/论文草稿/temp/manuscript_figures_htra8w07/figure_000011.png" id="48" name="Picture"/>
                    <pic:cNvPicPr>
                      <a:picLocks noChangeArrowheads="1" noChangeAspect="1"/>
                    </pic:cNvPicPr>
                  </pic:nvPicPr>
                  <pic:blipFill>
                    <a:blip r:embed="rId46"/>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Comparison of PocketXMol-official and density-guided PocketXMol-tuned on 446 small-molecule docking tasks.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9"/>
    <w:bookmarkStart w:id="53"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(DG-PocketXmol)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DG-PocketXmol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251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241 pairs under the deposited-receptor condition and 237 pairs under the CryoAtom2 condition. These subsets served as the benchmarks for directly comparing DG-PocketXmol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3219"/>
            <wp:effectExtent b="0" l="0" r="0" t="0"/>
            <wp:docPr descr="Fig. 12 | Docking performance of DG-PocketXmol and Emap2lig-Build using predicted ligand regions. a,b,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vIzUQ_ypWnu6kJJtsGkqXo1JJryek3Clqi4TEosrxOrsmu7ZlO9nkOCReEOKBp0O8gHjmiQ_ASfDAN0Hieh-DGXuTptdKnECH1Kqtx56Z3_yzZ-fzlqauaCWkdfndi79--C2yjuZ8cPni-cuffuxq7VatNmkZblW55BnKjZI0_chyY9O0PzzoH6TpMbdzp3Savvrl15fff_3q228uf_49TQNgmt6KKGnFES0wO9rwTDDHs47huVCyU3CadZzyK8ozqh2cX1TUzBcaND9pPagTTVZVKW1Sv5-2Cud0EkWWFbyitqs0l8CcKVNRB1uTR7UymTaKcWuFzKsyinu9d6KKCpm2DhFtYvxy5tYlJ3WypCXgfliBh6NgHuWijQTKzjnXYyG59ec7uzqxmjIwAzglHAFQvNdLW832dFHiEV041WA24qgpZAZiM2GsGwfVXiMEnOBA8DT8a-gTJZ0FPWqZEKBzLipuyRNek1NVUelNF0fS3srzqAECwaZ-P_XkKMTmV3Dz6TYx8d7G9adBPTjisCY-HPQcCgt3ZclB9ETkXdKPyTNyrNgcU6O58fWRjBM1I8ePOhPgcPdxpUpCIQsPK6rjUuSdDxaizMjCeq3NXSHAQalwZWwXnXDBlbeanf-QA_J_-fhWKkjvQIbbdzrD07uQYXLMtbICX6DhjGunDLn36Pw-YarS1AirJIHfeK9PhIQGD8_bks-UkK5ck4w77h_vdE3G_v2ecT7vnGDTu_bk8aRLWDtrk5FZqyOnqhi-DgxeujMLdt366Ci-YX6w_w_mp8oVpOKuUJntvtZ9FhaUXMFv-Dgt1ZQwLp1RIiNOAeIMmjShpD8kf3wVWJxoD_XezQ7WwF4Lc6eleXhqiYBK5wuRYcML_a1LxnzmyD3aZvfbYFh3-uT08dlxl5yKvADGtJ0BY8qt66hZZ9hruBOM3AKIL6F0m665zQ3oqBW4BaWW3rd46Io_v3y-Dwu2aIxIlCjXxIYfMBAvVA3ZywSV1leuLoSdw1xwBRRwDl7D6ZJz4K07dCUgTktKlUPVXFEJBlWgtvCdHU3gx57EmFXEHwBxvcfjl_Cw9SmMB9uxoDXcHwz2-sPV3rA_iPsHzx5owRL4ayYF-kaTQmZofWNEaBAA699ggJpbGL6FMW8EomYzwTh8LxcVZC8gGV5SHEZsIbTFp4sRyuVEMHy4uGFPlhMDF9MytDJKIj-vRX5ci5ppLdod1iLHKw1hygWoCO0uZiIHZ-1F4Qx9t-7tR-Hgogc__birZQ6BiAzQhzFQOM0BPdnECKXZ-nHlUnCQYgbH8DwskWpUUJnzI2NUjZOeBZA-4m0YVsNrDYeAeaW6YyCgRjeSMC2FPhFliRaR9vqBoAm0EO5YgeQMZE7Biudf22yFout4uLMwgpFp_Vhlu3McTVYzU-EKhSOrMLmR9XaC8-fI5itHGPKb6wpSDMWaW9sIg5RfN6AaJsJHXFUECZCG_ueCWboc2yB7RW2kkS9VcD26ImlSSoKD88EwHgaUW6WwLg_93LlD08RRUW6Od-lSNvmyelsX-DtsffE3AV5NLg" id="51" name="Picture"/>
            <a:graphic>
              <a:graphicData uri="http://schemas.openxmlformats.org/drawingml/2006/picture">
                <pic:pic>
                  <pic:nvPicPr>
                    <pic:cNvPr descr="C:/Users/15919/Desktop/论文草稿/temp/manuscript_figures_htra8w07/figure_000012.png" id="52" name="Picture"/>
                    <pic:cNvPicPr>
                      <a:picLocks noChangeArrowheads="1" noChangeAspect="1"/>
                    </pic:cNvPicPr>
                  </pic:nvPicPr>
                  <pic:blipFill>
                    <a:blip r:embed="rId50"/>
                    <a:stretch>
                      <a:fillRect/>
                    </a:stretch>
                  </pic:blipFill>
                  <pic:spPr bwMode="auto">
                    <a:xfrm>
                      <a:off x="0" y="0"/>
                      <a:ext cx="5733415" cy="451321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Docking performance of DG-PocketXmol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12</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0.87 Å for DG-PocketXmol and 1.80 Å for Emap2lig-Build. Median best RMSD was 0.64 Å and 1.34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12</w:t>
      </w:r>
      <w:r>
        <w:rPr>
          <w:rFonts w:ascii="Times New Roman" w:hAnsi="Times New Roman"/>
          <w:sz w:val="24"/>
        </w:rPr>
        <w:t xml:space="preserve">).</w:t>
      </w:r>
    </w:p>
    <w:bookmarkEnd w:id="53"/>
    <w:bookmarkStart w:id="57"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13</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13a–c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DG-PocketXmol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13d–f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9PXT, 9WUP and 9WQ3, Emap2lig-Build’s top-1 poses produced 39, 14 and 12 clashing pairs with surrounding receptor atoms, respectively. Its pose in 9PXT also deviated markedly from the deposited position, with an RMSD of 10.89 Å. By combining receptor geometry with density information, DG-PocketXmol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DG-PocketXmol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3 | Complementary constraints from receptor pockets and experimental density. a–c, Three instances in which PocketXMol-official top-1 poses deviate from experimental density: 9Q16–XG4, 9UB7–Y01 and 9R3D–IHP. d–f,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G0UUfpWRr1op9tpO3DZWqZTGTaiUVm7aqq1YFE12Z72jzO6MZsZeuxSJG0BIIC5AveEB4AruQYIL3gSptI_Bd3bWjtOmqAIVqRJRkp2fM9_5-2bmzEctw33eGrLW829_efbdr5HzfCI2n33904vvP3v25dOOMX7e2mAtK5xWM5GS6O4wju87YV0c9wbbve04Hgl34rWJ4xc__vzn089ffPXF8x9-i-OAGcevAy15IQgwzLcT7oRrF1yWNJlw46UujwpuT6YGYh-0rlZDw-aFKt2wei9u5d6bYRS5JBcFdx1tRInJTNuCe3TtJKq0TY3ViXBOlpNCRf1u91JEGuLWNUIb2_pz1y-UYNVwxhVwbxYwZzeoJ7loKUGyJ0KYA1kKV4-v9aqhMzyBGuAoDAGov9WNW033cKpoiE-9bjAbcVopyxRimbTOH4Sl3UYIM8GAYGn417T3dOkd1nGXSIk192QhHLstKnaoC17WqvOd0p07V6MGCAI7rvvHdXM3-FZ_YebjVWD6W0vTH4flwRBPOandIcsNqCLsTEB0T046rLfJnrBdXRglClF6bhcs0aXzFlmA-ZnVBbMiEcZry4xOTgRGOQIi5kZYWa9RLBXwwy86pNYH5W81Hv_Ca_Zf2fhWcsb_-OSb5B2I8ga7l1shmASVeIkdjharcpnkbFyT6OEtrdo6y2QiwR-cTu0e6IUTBlyaSe5FoN55LBuy7Tu9SwjEw_2tDbZ9__pltB91ezUttw83R-jefH_8PxnfNhlTBDp7B6L8N2S8UXDTV3LSvj6VKj3Dw0Rxl7NK-pz5XKwOQbBv_PAePL-1PwL7Htwfo723Mwrse3BnE93e3Ucddl37dbKzQqdCOTZ1AkSGCulFukINZ2oCnlvRTkWGayZdHrcddoPDVKsr5nJduXN30AVteTkRFzfYaL_dCBTQeuFYTcXFGv0lXy-YqcWpjxXBxzXXnVAiIfOOF8Fs5hJtRYeNVoYDB5gw2wrmBVcb665gTCs5E2yCsJevvS4YN0ZwWoBfkoU24fIOO4SCFNGv9eD6rhFWtxD3unCMCo-QI7rUcWd5nlCsRoSuPRZR1jKLURQKTGcMjEhl7VYu-GzR4FQ5XGbeStLErVqAHF5YoxUn0aWpViAHDSgs0QVcSTEvnXZTm4FzmALlcq3SDtutuZPoKfE_hAq0IPal3KbtlSu1IW0yhBmO-gKRN9zyJvS4hWEvLFKokADPS9btXB4wX28VssRNC_IMTWnZDPOpsOwB5-CZ5amUHTBf1EFtqEOL1kymzGMv9NnvnxJO-lJ61wPVYTtK1T4SoM81ku_yOv1kCGpFlkpnFF_UtJ4g6BtsJkVF6QE1UcERoku4ApHu0ocdI_kbbADtyDnoDXUpxAFsRCIzlCI5ypAm-06mUxiPhHiZSdS3Zw94qsKutT5EaboqSVtbg35_q789H1zpX-ludp9cNTIZ4q-pUvkbVamp5dUr5WmDAKx_goFlfmrFCsa-EUi918VIJ1PaRgHJCtAUocYuMI5ORfKwnI1lQmcidZLbs7FFZl1CWnaHUf02iOqnQdS8DKL1h0HkRWHgZjnFEmn8USYnMNYd5SgKr1Tdy1EYOOrip7fZMeUEjsgU6INLaNGzAe3x0kekZmXHqUnBQE4RPMBp5Vipd3M6wXYsDjoiggNIj_CWE0QKHwaBebp0TUFAjV4JwrGSZk8qRRqpXa8PDT7ENhM-yamZQeYQWur5M52VUHQWj3oO5T87rm7hpFx7Q_DhPLMFfZE4Ng-vBrZYvR7qcZoWc88Smm_oCqmExBrWNsKQqr9LUIPXyL6ggwMNSONM8UEtnx24IHvaWkrTfKmD6dFpkw8VbkSgbA_6g4ByrhTl5Ub95llr86HnUi2H19uqbOLlzCov-LvW-vgvwTU3Zw" id="55" name="Picture"/>
            <a:graphic>
              <a:graphicData uri="http://schemas.openxmlformats.org/drawingml/2006/picture">
                <pic:pic>
                  <pic:nvPicPr>
                    <pic:cNvPr descr="C:/Users/15919/Desktop/论文草稿/temp/manuscript_figures_htra8w07/figure_000013.png" id="56" name="Picture"/>
                    <pic:cNvPicPr>
                      <a:picLocks noChangeArrowheads="1" noChangeAspect="1"/>
                    </pic:cNvPicPr>
                  </pic:nvPicPr>
                  <pic:blipFill>
                    <a:blip r:embed="rId54"/>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7"/>
    <w:bookmarkEnd w:id="58"/>
    <w:bookmarkStart w:id="79" w:name="end-to-end"/>
    <w:p>
      <w:pPr>
        <w:pStyle w:val="Heading2"/>
        <w:keepNext/>
        <w:spacing w:line="480" w:lineRule="auto"/>
        <w:ind w:firstLine="0"/>
      </w:pPr>
      <w:r>
        <w:rPr>
          <w:rFonts w:ascii="Times New Roman" w:hAnsi="Times New Roman"/>
          <w:sz w:val="24"/>
        </w:rPr>
        <w:t xml:space="preserve">End-to-end</w:t>
      </w:r>
    </w:p>
    <w:bookmarkStart w:id="59"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pPr>
        <w:pStyle w:val="BodyText"/>
        <w:spacing w:line="480" w:lineRule="auto" w:after="120"/>
        <w:ind w:firstLine="480"/>
      </w:pPr>
      <w:r>
        <w:rPr>
          <w:rFonts w:ascii="Times New Roman" w:hAnsi="Times New Roman"/>
          <w:sz w:val="24"/>
        </w:rP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pPr>
        <w:pStyle w:val="BodyText"/>
        <w:spacing w:line="480" w:lineRule="auto" w:after="120"/>
        <w:ind w:firstLine="480"/>
      </w:pPr>
      <w:r>
        <w:rPr>
          <w:rFonts w:ascii="Times New Roman" w:hAnsi="Times New Roman"/>
          <w:sz w:val="24"/>
        </w:rPr>
        <w:t xml:space="preserve">For each PDB entry, the pipeline examines these candidates in order within a specified relative attempt budget.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qualified ground-truth ligand instances successfully processed within this budget, termed the completion ratio, which is a function of</w:t>
      </w:r>
      <w:r>
        <w:rPr>
          <w:rFonts w:ascii="Times New Roman" w:hAnsi="Times New Roman"/>
          <w:sz w:val="24"/>
        </w:rPr>
        <w:t xml:space="preserve"> </w:t>
      </w:r>
      <m:oMath>
        <m:r>
          <m:t>ρ</m:t>
        </m:r>
      </m:oMath>
      <w:r>
        <w:rPr>
          <w:rFonts w:ascii="Times New Roman" w:hAnsi="Times New Roman"/>
          <w:sz w:val="24"/>
        </w:rPr>
        <w:t xml:space="preserve">. The detailed evaluation protocol is described in Methods</w:t>
      </w:r>
      <w:r>
        <w:rPr>
          <w:rFonts w:ascii="Times New Roman" w:hAnsi="Times New Roman"/>
          <w:sz w:val="24"/>
        </w:rPr>
        <w:t xml:space="preserve"> </w:t>
      </w:r>
      <w:r>
        <w:rPr>
          <w:rFonts w:ascii="Times New Roman" w:hAnsi="Times New Roman"/>
          <w:sz w:val="24"/>
        </w:rPr>
        <w:t xml:space="preserve">(</w:t>
      </w:r>
      <w:r>
        <w:rPr>
          <w:rStyle w:val="MDFIGREF_eJyrrk7LTC9KTbNKNUrVTUxOzi_NK8nMS9ctKs1JLdZNKUpMK6mtBQAQ2w6I"/>
          <w:rFonts w:ascii="Times New Roman" w:hAnsi="Times New Roman"/>
          <w:sz w:val="24"/>
        </w:rPr>
        <w:t xml:space="preserve">Fig. 19</w:t>
      </w:r>
      <w:r>
        <w:rPr>
          <w:rFonts w:ascii="Times New Roman" w:hAnsi="Times New Roman"/>
          <w:sz w:val="24"/>
        </w:rPr>
        <w:t xml:space="preserve">).</w:t>
      </w:r>
    </w:p>
    <w:bookmarkEnd w:id="59"/>
    <w:bookmarkStart w:id="63"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 GT</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14</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4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bMXxIjXgyE5QwDGMND11C4PijrSEuSRLciUrSQ899Scp0EPRS4Eei57yACmQPkLfoaiTPEaH5K4sJ2mRJk1QAzYg73D48eNwZpY75N2Wpq5opaT19PtfT358nOwOdk8e_vTn4_snDx88-eq7k0c_d7V2x602aRmwSswg9-hRmmUfWzA2y_rDzf5mlu2APXJKZ9mzh4-e_PDls2-_fvrLb1kWabPsH3glLcFz2krrDgygw1SpBTiuZIcK4SGMat88LKk5qjSCP2ldnaeaHJdC2nT-QdYqnNNpklhWQEltV2mQ2DlRpqQOm2aazJXJtVEMrOVyWopk0OtdTkrKZdba8mwHJjw-cgsBZJ7OqEDeD0s6hVGc3uOSBuGxRwB6j0uwQb_SmqdWU4bTII9AFRIN1ntZq27eqoRX0cqpmrOG-5Fc5gibcGPdXhzaq0HYEw2IlsZ_tXxdSWdxHLWMcxxzm5dgyT7MyS1VUhmmLralfWlfYI0Unmwc2uMgjuLawhPNvLN0zGC9Mf1OHB4NcT4mYTneco05A2YGCL3Op13SXyf3yK7MO051ANd5GmmiJkTwKUVlDg5Y0PkWz0E67hYEA8kK71LKjLKWYGo0I5ig1oLtejtctOatOugN3EDelY1vJYj0HHi4TXZAK8sd5MQAA-2UseS9G7ff75Jxm4zMQm07VQ462KmkdaZiz0FH2wPEXlOuwASVOfe5aAmXTFQ5kP7GJjnYuUYwLQ3HRfgEHLSHvUGTjRxJqcR9pku2HRlX-RTcOfDb2cwsU3UTvwz1Dlu-0g6rJhPOYEexqkTnNPurK7wdZSR1W79_cTUpwzxBldQT_V-90iZAWRECzsOeo-aQX0QzkgYjytT63bm2Uwczgy6G-KCO-x8PvjkT-L9LiKV-_2Xqfzfj_XOVau_s0_AGNrKCminultQ5KLWzbTIvwMA5sPwdbW_7Fyn3H9uI264rgMiqHIPxZSLgd5aPsUZ__nuLEkKp87t1l9wuGkSnQazWm4big9TkE0NZU4Vi214k9EVCv72EXuZrSFZqgNiK-XPppBJiUZ9__CYbTkgGK1Mn6vMP5F1ywwBI4s-RNmHcMFEXoWNRQa3OOS2xcrXEFmoeMhxfiQ58VlFBSqDxZFUCwmQbK1-r_YFrBmIR2BdEK-5d5VEzrpCzZvJlUM6xZubjKlbFuIBh71Kb9Hv-P6bQpTBqzQux9H3uWObPr1utT_FQvzzMt4Yba2vr_eHxYHPt8pWN_r2rmrMUf3U201fK5tzQ-QsH-5oBuV6HA4e5ysCSxrz2a2VA0OCwgmvr08WvUM4OOPPJ4htsf3ZgMPaW-VlGaRKuV5Jwu5LUlyvJ6t1K4r_AuExZ4RCu3eGET9FYe1g4Q6_MextJVBz28K-_3tVyigvhObJfHqDkr11QPmjWiKFZ2nFqUjSQeg_uKXZkiVSjgsopbBuj8NtPc4skfc_XdIRsikrkPB26MkFkTV5wwlhwfZ0L4Wf0chgfBYoFngF8Bbw4QcwtnCX0n2ksQclZPt-yGj08nt9U-ertC02PJ6b0TwwcOY73LWSxvHcJet8Nx44w31-nK6KYh9VZW4MRFZ4NqTbW3QBVEi8g2r_NcVo627MReyo1aN8vVTQ9ORVpKiTx112bw8EwsrwU5eOyG26LVmSaOspFo16Vhaz9ZfUyLvjban3-F1wP6m8" id="61" name="Picture"/>
            <a:graphic>
              <a:graphicData uri="http://schemas.openxmlformats.org/drawingml/2006/picture">
                <pic:pic>
                  <pic:nvPicPr>
                    <pic:cNvPr descr="C:/Users/15919/Desktop/论文草稿/temp/manuscript_figures_htra8w07/figure_000014.png" id="62" name="Picture"/>
                    <pic:cNvPicPr>
                      <a:picLocks noChangeArrowheads="1" noChangeAspect="1"/>
                    </pic:cNvPicPr>
                  </pic:nvPicPr>
                  <pic:blipFill>
                    <a:blip r:embed="rId60"/>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bookmarkEnd w:id="63"/>
    <w:bookmarkStart w:id="67" w:name="end-to-end-modelling-of-small-molecules"/>
    <w:p>
      <w:pPr>
        <w:pStyle w:val="Heading3"/>
        <w:keepNext/>
        <w:spacing w:line="480" w:lineRule="auto"/>
        <w:ind w:firstLine="0"/>
      </w:pPr>
      <w:r>
        <w:rPr>
          <w:rFonts w:ascii="Times New Roman" w:hAnsi="Times New Roman"/>
          <w:sz w:val="24"/>
        </w:rPr>
        <w:t xml:space="preserve">End-to-end modelling of small molecules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DG-PocketXmol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5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1qG0cUfpWDIKUBSSvJlh1vUoPjn1Cwg3BSKHSLGe0eaQfvzkxnZrVWmkJ7UfqTFAotvSn0svQqD5BCetEH6DuEOslj9MzsSpbjpIQ0DTFEIO3ZmW--OX8zOjOfNhSzaSOExuMffz_--UGw3ds-vvfL3w_uHN-7--jr74_v_9pWyh41mtDQaGQ2wcShN8Mo-sCgNlHU7a9116JoC82hlSqKnty7_-inr558983j3_6Iooo2iv6FV7AcHacplGphD1uxzFWGlkvRMjnLMgeKmXINBznTh4Ui-EeNK2Wo4CjPhAnL96JGaq0Kg8DEKebMtKVCQZ0jqXNm6VWPg1LqRGkZozFcjPMs6HU6K0HOuIga645toP3jhp1mCGU4YRnxvp-zMW5W0ztcMEM47CGi2uUCjW9feCtDo1hM0xBPRk1E1FvuRI36db_IXBMrrKw5a7gbyUVCsBHXxu5WQzs1iHoqBSpNq59a3pHCGhrHTMw5jbnJczRwHUvYlzkTfup0Q5hn9nnWisKRDf370IublW3-SWremjumtzxT_VY1vFLEuph4c5zmirIG9QQJusPHbej24TZsi6RlZQvJzpNYgxyBDzfkMsOYHGTajtZW5P-rvf_BKjgHOm5nfMyHlNNP-ReYpjbKugxbhOZJgUALhQken4GW3KYgJDArcwM592sINGbM8gmClWBT5BosUkCZpeDBtZtNSFBJwy0mBI1RWakNvJvhyF68DJsbvSZs6qncIM4eaRBLYawu4qfgmo9Te7ENrDls0kSq1YX9vRtb8E5mL0MP_vzyMsTN5GzXku_C5qgJQzS2JUetfufM0HEzfU6_G9-GXU4OSW4gHsIOrb-Hn_-wx2yc0vNqwbMEFFfoljSUzABSgArm9KeEXl2FwdZVQGE1Jw-6VNfcu215eQUyzwucTGaC9qQmFL5vIONDtB_uyaxlC0FMtIUBORFhwUG0XtqwI_U5SL7TCyQPJbkvrfft_IX2bTka8Ri3ZFzk5MvZrm1Tp0dekdr161eC3E_jW4J6nvPhlDdTR5ztGvMUJQmQxek8rae0copkjPYcmPOa8vCvL94m4ivWkf6IZGnOgaKvJcW8Enlo7BTyWk_l1fRtVd4N6mR8ePfbU9n4vCx9zi76UjPeeZv_r1jHOGV6TIUAs664okyBmykuVs6aajAJ3LgSDESRD1H7arqI3VlnVGQLW3jCJzwhsuH0HFj-tnZ4hlOosNaIAlzRaYKY69iX8lRLDjMq4KvmhLNcisSASWXp84L-s1v4ScGoqEcmPD5HgokmFZZGYezq-GxKBbHGKRWc3BnrUBMuiXOBKeFUhPJh4XKPIBb6nQtN6HbcLzn4gh-15ISqOHjqHOfOr-uNj-lQPz_MN_qrS0vL3f7R8lrnUrffuX1F8Tikbx1r9kKxTjQrzxzsawbiehkOGmYLjXMa_dJJV52UyGEpV8YF3FkoJgMeu3C7l_j6ZKDpwGRiN8tmGPgLlsDfrwT19UqweLsSuO2AzBQFDeHKHoz4mJQ1B6nV7FLZWQ2qhoMOfbr9thJjMoQnxL6yQpK7eCF5MLORQjPX40SlSkHmPLhLRxNDh8DNlIkxbmgtyxRZYoik6_hmHT6bqkbiPBm6MEHFGpxxwjDjaodnmZvRyX58JTD6t9FIRy8njgizT7P4_lMvc1Bwms-9GUUeHpZ7Mlm8fWHh0Ujn7kmBg6PqvgWm83sX3-668chC7PrrdCVU7GB11tZgQvnnjFRpY6-hzMEJhKZjnK2mZZNdU2FPpBna9QtZqR6ciCzMBLjrrrV-r1-xPBPl4rLtb4sWZBZaxrNZ86KcidpfRs3jQt_1xmf_AM8Z7pw" id="65" name="Picture"/>
            <a:graphic>
              <a:graphicData uri="http://schemas.openxmlformats.org/drawingml/2006/picture">
                <pic:pic>
                  <pic:nvPicPr>
                    <pic:cNvPr descr="C:/Users/15919/Desktop/论文草稿/temp/manuscript_figures_htra8w07/figure_000015.png" id="66" name="Picture"/>
                    <pic:cNvPicPr>
                      <a:picLocks noChangeArrowheads="1" noChangeAspect="1"/>
                    </pic:cNvPicPr>
                  </pic:nvPicPr>
                  <pic:blipFill>
                    <a:blip r:embed="rId64"/>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completion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bookmarkEnd w:id="67"/>
    <w:bookmarkStart w:id="71" w:name="fair-comparison-with-emap2lig"/>
    <w:p>
      <w:pPr>
        <w:pStyle w:val="Heading3"/>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30556"/>
            <wp:effectExtent b="0" l="0" r="0" t="0"/>
            <wp:docPr descr="Fig. 16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1uG0UUfpWRJRBIttd24qTZlkipk1SV0ipKi7hgUTSeHXtHnp0ZZmbtuBQJLhDi76qIGxDXXPEAVIILHoB3qETbx-CcmbXjNKlUlVIRqRf2zs853_md3XPmk4ahvmikpPHk-4d___h7stfbe_LwweOff2ob408aTdKw3Gk55TkSDdIse99x67Ks29_qbmXZLncTr02WPf31t8c_fPn0u6-e_PJHlkW0LDsPp2jJEYr3eGskVN4aVkLmrVxYznyL6dJQK5xWSMuo8UKr45LaSWWA68PGtVlqyEkplUtn72WNwnuTJoljBS-pa2vDFWyOtC2ph6kdJzNtc2M1484JNS5l0ut0NpKSCpU1thHt0IbHHT-XnMzSKZWAe7OkYz6I4pEuWVAg7YRzcyAUd2F9ZTZLnaEMxACOhCUA6q13skY9PaokLtHK6xqzJkdOcAWQjYR1_iCydmoi2IkKRE3jXz3e18o74KOOCQE8d0XJHbnNZ-RIl1QF0cWOchfuBdQIgWDDMB-G4SDaFp6g5r2lY3rrC9XvRfaoiMeYBHNQcwM5w-2UA-m-GLdJd4PcJ_tgx6PPHlzHcBOMs-ToXTKckwMxpiq_w_mEwJPsldT0pAAvCl8AqcXUIDIQEZFz5YUX3LVRvo9a_KeO-Rfmk0ug4x6wVTTEQigmqxwEra9vEA4eF0M4FK6kUrZKLTmDDAYi56mCA0Uos9o5srlJDnevE4iLxbCQvTOMZMEI9BbWIN8lb4F4kVecwBGlSrBzpCH0ShPqdelIKcLpJZZLUHTKidfEF1xY4jkkEvUoljaHTdgwrS4x2uEKa-ZNMuTOLxYO-MiHFLNiXHhILVmVygHsxxW8f0jB6XTeQpHk6NadXeLAIOblnLwt_dUe-fOLwIuTNZg0gc8ZSE1QSM7b5ANQWSjCKSvIsMrH3INwah1xhZ4tk7q5mu3ByoGd6x2Q2QOnMA3OtRXzHHTkjBuvAeCdwU7v3WYQ_ixzzsE08Qz5jbtAPbJghkSDwVnB3ja5vlQHvIdBa4HlFPzOqVo5k1cJt1bbFe0NtwzPHQR1q_8WpICH5KHSRSndTrPT6ZCh1h60pwYdQxHMET0KomKKQAT2AZaGdAFTPbyFIayX4IycPcdlqm_BZ7P-DpUv9B3So5FgfFezqgRHLr5CvkA9ygjqt29fS8ogJqwktZzL4ZT_p46eWjiIp--s5uk7JJ7RS2DDa0q-vz5_k32vWEf4pumZuwSKvpYUC0qUqfNzUtZ6mqBmWIt5d1gn46Nvvz6Tjc_L0ue8Ol9K4jdv8v8V68gKfP3mUMVhnQaZQganhb9woTRQVTnkFgsFVzFs00aVXKkxczGFkj-HNuES2PumTLjAKVh2ssnY6grqVwbVq8ixYA_dQJ0gsbbVlW_pUcsx8AsBp_CLedxEGMPzs-0f9sfbjY-apLG8LGj0N9fW1rv9k7Ura51-f-P-NSNYCr86IPSFApJbOjt3cVAjANbLYACbryxfwtiXzoxYy0DPUAjjMCpooZoeCoYxwQm7PT200CU4hlIGaRKub5Jwe5PUlzfJ6t1NgicVzFQVsAjjj0diDMq64wIq-yuzzmYSF46h4u90N9pGjcEQkQP6Jl514P0OjA8XNkJolnqcqhQVpOjBA80mDlq9QUHVmO9A4zGDPix3ANJFvMVGaLXiImCesq4IiKjJOScMpTD7QkqUiOPAHwcUPgSWe1bgcAQ0RyAl7J-ZLImSs3g4cwY8PJzd0vnq7Q5NT0a2xCcEjpzE-xwyX97rhHXc5ifQiOJ-na5AxZCsztqaGKjCcwFqrPM3OPReOABqvCKJYun0wEXa09GCGveVjqonp0OaSkXwOm2r3-tHlAupMC574TZqZUxTaOPkYnl1LFXtL2eWcYHfduPTfwCKoA42" id="69" name="Picture"/>
            <a:graphic>
              <a:graphicData uri="http://schemas.openxmlformats.org/drawingml/2006/picture">
                <pic:pic>
                  <pic:nvPicPr>
                    <pic:cNvPr descr="C:/Users/15919/Desktop/论文草稿/temp/manuscript_figures_htra8w07/figure_000016.png" id="70" name="Picture"/>
                    <pic:cNvPicPr>
                      <a:picLocks noChangeArrowheads="1" noChangeAspect="1"/>
                    </pic:cNvPicPr>
                  </pic:nvPicPr>
                  <pic:blipFill>
                    <a:blip r:embed="rId68"/>
                    <a:stretch>
                      <a:fillRect/>
                    </a:stretch>
                  </pic:blipFill>
                  <pic:spPr bwMode="auto">
                    <a:xfrm>
                      <a:off x="0" y="0"/>
                      <a:ext cx="5733415" cy="3830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Find–Build completion by LigandSeek and Emap2lig with correct ligand identities.</w:t>
      </w:r>
      <w:r>
        <w:rPr>
          <w:rFonts w:ascii="Times New Roman" w:hAnsi="Times New Roman"/>
          <w:sz w:val="24"/>
        </w:rPr>
        <w:t xml:space="preserve"> </w:t>
      </w:r>
      <w:r>
        <w:rPr>
          <w:rFonts w:ascii="Times New Roman" w:hAnsi="Times New Roman"/>
          <w:sz w:val="24"/>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6utBQBnQxC1"/>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eligible small-molecule instances. LigandSeek used DG-PocketXmol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39.9% for Emap2lig. Increasing the budget to 300% raised these values to 64.2%, 55.0% and 43.7%, respectively. Using best-of-50 poses at the same threshold, completion at a 100% budget reached 70.5%, 58.0% and 45.3%, respectively. At a 300% budget, the corresponding completion values were 71.5%, 66.3% and 51.2%,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16</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15</w:t>
      </w:r>
      <w:r>
        <w:rPr>
          <w:rFonts w:ascii="Times New Roman" w:hAnsi="Times New Roman"/>
          <w:sz w:val="24"/>
        </w:rPr>
        <w:t xml:space="preserve"> </w:t>
      </w:r>
      <w:r>
        <w:rPr>
          <w:rFonts w:ascii="Times New Roman" w:hAnsi="Times New Roman"/>
          <w:sz w:val="24"/>
        </w:rPr>
        <w:t xml:space="preserve">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 Supplementary Fig. 5.</w:t>
      </w:r>
    </w:p>
    <w:bookmarkEnd w:id="71"/>
    <w:bookmarkStart w:id="78"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two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4HzjA3SE2trAQ6KDYk"/>
          <w:rFonts w:ascii="Times New Roman" w:hAnsi="Times New Roman"/>
          <w:sz w:val="24"/>
        </w:rPr>
        <w:t xml:space="preserve">Figs. 17–18</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DG-PocketXmol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7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VHpLnt3bZrmVCql1yRCXKsoLQiJRZGzO7tn4rUt23t_SpHKC7QqiAdQJcQTT1RCorzwAlL5LhVp-jGYWe_9aZuHAsrDSYl0WXtm_JvxeGyP57OG4X7Y6LHGyfd_Hv_4LNrubr_46cHfzx4df_v05c9fHn_9uHXyy9PjB7_h_xe_f3Hy5NHJwwcHo4trxvhJo8kaFpyWI0gJo9-L4w8cWBfHnfXNzmYc3wB35LWJ45e__vHi8Vcvv3l48uSvOA7K4vhfa1O8ANIEXWhlUo9bm1LmxEi48UKrg4Lbo9KgyMeNq-OeYZNCKtcbvxs3ht6bXhS5ZAgFd2vagEJmpm3BPXZtHo21TY3VCTgnVF7IqNtuX44KLlTcuEZoe7b63PZTCWzcG3GJuO8VPId-UE9y0UyCZI8AzEAocBV9qTfuOcMTVIM4EkkI1L3Ujht1d7-UROKl1zVmLU4jhUpRLBPW-UEY2q6FkBMMCJaGf3V7RyvvcBx3iRA45o4owLFbMGb7uuCqUj3cUu5UXoUaIAjssOofVs1-mFv1RTPvzh3TvTQz_W4YHgzxtCbVdMhyg_EDdgQouiPyNdbZYPfYtkpbXrcA52m0A2Yh0cp5WybkZKYzttXZfn_A3tnvXW53LzCh2OZgsLtGWnzQdabT_x-TZCtg4w6GUZPd5D4ZMo5rcL0UMmUpKO2BDUSOtNsAR60gt0RYDFkiVqObuIbOAK7fCOT0fKHOei_x5_e_S1bAy022PTFgUYHyXFKMOeGnTeaHwPp2qre8Lrqtpf0PKZ0GYLy27J3-Fm5-CjcSTwHPCvGqwO6dC-exdtaxlq6Ah5usj3EiUu7pNsnxFnEM2amoIupwysJZNhZ-yA71BM3AW_iIrmevq-iSOsH4HAkYO4ZXEJGsyIf-PLzOOrxgBTzcXAEbVzsKshXwcJPtWl1S7mpLH_KgxRkjq4xodvg0mRvqsWLcV0eJw2cN01bQLViluCTq8MSB8_PlrCMrXwEPN9mWlIxeroKuIYF5khdeoLrM6mIRQns3rjNk2Wl9lRGjTsrxTZsrSrOYLj09MVN6Nh3K8jzEzjzEhpiNf7oCXm6yD0OCk1WRs6eTI_Af3dSy5UsKGK9NqxOe5DznAlPykAjN8m1X2gxBmwxOSeqrM22RpBPKa69CdgfBlnQIxyxXRyhc1TooTSN1hU5BPr__A9qJJ6hLtIU1tl_b4Bi3wHILoJpzzQiElPpZ4bnNwdcHMbE0KsnRlsVZTdoDEO2PUwwPTA9cBqNPeXsgcOmQoJWcsgwJFjKwoBKUFs5IHhySCYUuAlyvsjr5mxUVBysYAXnUGCkQhrswb9y0pnwt66SCz7XGJ03WmFe_Guvdzmb7Unty-eL6xSudzr2rRiQ9_NUFMf5WBbHU8vEblbAaAbH-CwYO86WFOYx9KxCdZSKBGzopKaYCkgVZecwNhXEU5zRDNdoTCUU5dZJboz2La-MS0tLvRVVtMqpKk1FdmYyWC5ORh8LgNFWJQ4TxB5nI0Vh3MPSWXxm3N6JAOGjjX2djzagcJyJSRN_ArcaoOontvdkccWnmdixMCgZy8uAAdxgute4PKQS3rNXjIfDUIUiH8GaMapMEImIuhi4pCKjRG044lMLsCClJI7Wr8aHBe_imBrwdqJmhDG4iX_Ff6cyFolfxqOcMevhwfBNDc6lcyXuTzBb0xYVjk1CgZNN5obKiExsmniXEr8MVpRISq6O2Fkap6jsDNXgY7ALee9RAadxzPqjlo4ELsovWTJr4SgfTo0WT96RiVB_eXO-uB5RTpWhdtqvy6lKb9zwXckZebktV-8uZ-brg71rj838A20YXPw" id="73" name="Picture"/>
            <a:graphic>
              <a:graphicData uri="http://schemas.openxmlformats.org/drawingml/2006/picture">
                <pic:pic>
                  <pic:nvPicPr>
                    <pic:cNvPr descr="C:/Users/15919/Desktop/论文草稿/temp/manuscript_figures_htra8w07/figure_000017.png" id="74" name="Picture"/>
                    <pic:cNvPicPr>
                      <a:picLocks noChangeArrowheads="1" noChangeAspect="1"/>
                    </pic:cNvPicPr>
                  </pic:nvPicPr>
                  <pic:blipFill>
                    <a:blip r:embed="rId72"/>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DG-PocketXmol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8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6d7cQ-0sDlYpuCE0zilkK3GHl3dk-9XUlI2vuTppC-tAlp6UNLoPSpTw0Umr70pYX0u4Q6zsfozGrvTxI_pC1-OLDhvNLM6Dej0UgazWcNzd2g0WWN0-__PPnxebjT2Xn508O_nz8--fbZq5-_PPn6SfP0l2cnD3_D_y9__-L06ePTRw-PRutrWrtJI2ANA1blI0gIo9-Nog8sGBtF7c3t9nYU3QQ7dEpH0atf_3j55KtX3zw6ffpXFHllUfSvtUleAGmCDjTTXI2b662MEyPm2gkljwpuhqVGkY8b18ZdzSZFLm13_F7UGDinu2Fo4wEU3K4pDRKZqTIFd9g1WThWJtFGxWCtkFmRh51W60pYcCGjxnVCOzDV566b5sDG3RHPEff9gmfQ9-pJLpxJkOwQQO8LCbaiL_XGXat5jGoQJ0cSAnU2WlGj7t4pcyLx0qkasxankUImKJYKY92-H9qqhZDjDfCW-n91e1dJZ3Ect7EQOOZQFGDZbRizO6rgslI96El7Jq9C9RAEdlz1j6tm38-t-qKZ9-aO6WzMTL_nh3tDHK1JNR2yXGP8gBkBiu6KbI21t9h9tiOTplNNwHlqZYEZiJW0zpQxOZmplPUOD9il292NVvsyE5Ktt_Z6a6TDeU3nOvn_MUW2AjbuYhAF7BZ38YBxXIEbpcgTloBUDti-yJB2F2DY9HJLhMWQJWI1OsAVtBpw9UaQTy8W6rx3En_x4Lt4BbwcsJ2JBoMKpOM5xZgVbhowNwDWN1PVc6roNJd2PyR0FoB2yrBL_V7nchVuJJ4AnhTidYG9w8sXsXbesZasgIcD1sc4EQl3dJdkeIdYhuxEVBF1PGX-LBsLN2DHaoJm4B08pMvZqSq6chVjfI4EjC3DC4hIRmQDdxFe5x1esAIeDlbAxtWOgnQFPBywPaNKylxN6XwetDhj8iojmh0-AbMDNZaMu-oosfioYcoIugWrBJdELZ44cHG-nHdkZSvg4YD18pzRu1XQNSQwT3LCCVSXGlUsQujg5g2GLDOtrzJi1Ek5vmgzSWkWU6WjB2ZCz6bjvLwIsXMPsQFm45-ugJcD9qFPcNIqcg5UPAT30S2VN11JAeOUbrb9g5xnXGBK7hOhWb5tS5MiaMDgjKS-OtMWSTqhvPEqZIcItqRDWGa4HKJwVemgNI3UFSqB_MWDH9BOPEFtrAyssTu1DZZxAywzADKYa0YgpNTPCsdNBq4-iImlUEmGtizOatLugWh_nGG4ZzrguTf6jLcHApcWCUrmU5YiwUAKBmSM0sLqnHuHpEKiiwDXq6xO_qCi4mAJIyCPap0LhOHWzxs3rS7fyDqp3HO98UnAGvPaV2Oz095ubbQmV9Y317fa7fvXtIi7-KvLYfydymGJ4eO36mA1AmL9Fwwc5koDcxjzTiAqTUUMN1VcUkx5JAN55TE7ENpSnNMM5ehAxBTl1Ilvjw4Mro2NSUu_G1aVybAqTIZ1XTJcLkuGDgqN05QlDhHaHaUiQ2Pt0cAZvjVuXQ094aiFf-2tNS0znIhIEP3qVWxRbRLbB7M54tLM7ViY5A3k5MF93GG41Ko_oBDsGaPGA-CJRZA24c0Y1SbxRMRcDF1S4FHDt5xwnAu9K_KcNFK7Gu8bvItvasDbgZopyuAmchX_tc5cKHwdj3pWo4ePx7cwNJeKlbw7SU1BX1w4NvHlSTadlykrOrFh4lhM_DpcUSomsTpqa2GUqr4zUI2HwR7gvUcNlMY957xaPtq3XnbRmkkTXypverho8m4uGVWHtzc7mx7lTClal52quLrU5l3HRT4jL7dzWfvL6vm64O964_N_AFkXFlo" id="76" name="Picture"/>
            <a:graphic>
              <a:graphicData uri="http://schemas.openxmlformats.org/drawingml/2006/picture">
                <pic:pic>
                  <pic:nvPicPr>
                    <pic:cNvPr descr="C:/Users/15919/Desktop/论文草稿/temp/manuscript_figures_htra8w07/figure_000018.png" id="77" name="Picture"/>
                    <pic:cNvPicPr>
                      <a:picLocks noChangeArrowheads="1" noChangeAspect="1"/>
                    </pic:cNvPicPr>
                  </pic:nvPicPr>
                  <pic:blipFill>
                    <a:blip r:embed="rId75"/>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18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8"/>
    <w:bookmarkEnd w:id="79"/>
    <w:bookmarkStart w:id="80" w:name="running-time-analysis"/>
    <w:p>
      <w:pPr>
        <w:pStyle w:val="Heading2"/>
        <w:keepNext/>
        <w:spacing w:line="480" w:lineRule="auto"/>
        <w:ind w:firstLine="0"/>
      </w:pPr>
      <w:r>
        <w:rPr>
          <w:rFonts w:ascii="Times New Roman" w:hAnsi="Times New Roman"/>
          <w:sz w:val="24"/>
        </w:rPr>
        <w:t xml:space="preserve">Running time analysis</w:t>
      </w:r>
    </w:p>
    <w:p>
      <w:pPr>
        <w:pStyle w:val="FirstParagraph"/>
        <w:spacing w:line="480" w:lineRule="auto" w:after="120"/>
        <w:ind w:firstLine="480"/>
      </w:pPr>
      <w:r>
        <w:rPr>
          <w:rFonts w:ascii="Times New Roman" w:hAnsi="Times New Roman"/>
          <w:sz w:val="24"/>
        </w:rPr>
        <w:t xml:space="preserve">We next evaluated the computational efficiency of each stage in the LigandSeek workflow. On an NVIDIA H100 GPU, Find inference with a batch size of 18 averaged 213.30 s per density map (median, 142.59 s). Vectorised Match inference on the same GPU (batch size of 32) required a mean of only 0.09 s per candidate site, representing a negligible fraction of the overall runtime. During the Build stage, DG-PocketXMol sampled 50 poses per site over 100 steps (batch size of 50), averaging 26.09 s per site (median, 24.69 s) on an H100 GPU and 39.80 s (median, 38.32 s) on an A800 GPU across 446 sites per evaluation.</w:t>
      </w:r>
    </w:p>
    <w:p>
      <w:pPr>
        <w:pStyle w:val="BodyText"/>
        <w:spacing w:line="480" w:lineRule="auto" w:after="120"/>
        <w:ind w:firstLine="480"/>
      </w:pPr>
      <w:r>
        <w:rPr>
          <w:rFonts w:ascii="Times New Roman" w:hAnsi="Times New Roman"/>
          <w:sz w:val="24"/>
        </w:rPr>
        <w:t xml:space="preserve">Both the localisation and pose-sampling stages exhibit predictable linear scaling. For a density map of grid dimensions</w:t>
      </w:r>
      <w:r>
        <w:rPr>
          <w:rFonts w:ascii="Times New Roman" w:hAnsi="Times New Roman"/>
          <w:sz w:val="24"/>
        </w:rPr>
        <w:t xml:space="preserve"> </w:t>
      </w:r>
      <m:oMath>
        <m:sSub>
          <m:e>
            <m:r>
              <m:t>n</m:t>
            </m:r>
          </m:e>
          <m:sub>
            <m:r>
              <m:t>x</m:t>
            </m:r>
          </m:sub>
        </m:sSub>
      </m:oMath>
      <w:r>
        <w:rPr>
          <w:rFonts w:ascii="Times New Roman" w:hAnsi="Times New Roman"/>
          <w:sz w:val="24"/>
        </w:rPr>
        <w:t xml:space="preserve">,</w:t>
      </w:r>
      <w:r>
        <w:rPr>
          <w:rFonts w:ascii="Times New Roman" w:hAnsi="Times New Roman"/>
          <w:sz w:val="24"/>
        </w:rPr>
        <w:t xml:space="preserve"> </w:t>
      </w:r>
      <m:oMath>
        <m:sSub>
          <m:e>
            <m:r>
              <m:t>n</m:t>
            </m:r>
          </m:e>
          <m:sub>
            <m:r>
              <m:t>y</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n</m:t>
            </m:r>
          </m:e>
          <m:sub>
            <m:r>
              <m:t>z</m:t>
            </m:r>
          </m:sub>
        </m:sSub>
      </m:oMath>
      <w:r>
        <w:rPr>
          <w:rFonts w:ascii="Times New Roman" w:hAnsi="Times New Roman"/>
          <w:sz w:val="24"/>
        </w:rPr>
        <w:t xml:space="preserve">, given a fixed network architecture, window size and stride, the primary full-map Find cost scales as</w:t>
      </w:r>
      <w:r>
        <w:rPr>
          <w:rFonts w:ascii="Times New Roman" w:hAnsi="Times New Roman"/>
          <w:sz w:val="24"/>
        </w:rPr>
        <w:t xml:space="preserve"> </w:t>
      </w:r>
      <m:oMath>
        <m:r>
          <m:t>O</m:t>
        </m:r>
        <m:r>
          <m:rPr>
            <m:sty m:val="p"/>
          </m:rPr>
          <m:t>(</m:t>
        </m:r>
        <m:sSub>
          <m:e>
            <m:r>
              <m:t>n</m:t>
            </m:r>
          </m:e>
          <m:sub>
            <m:r>
              <m:t>x</m:t>
            </m:r>
          </m:sub>
        </m:sSub>
        <m:sSub>
          <m:e>
            <m:r>
              <m:t>n</m:t>
            </m:r>
          </m:e>
          <m:sub>
            <m:r>
              <m:t>y</m:t>
            </m:r>
          </m:sub>
        </m:sSub>
        <m:sSub>
          <m:e>
            <m:r>
              <m:t>n</m:t>
            </m:r>
          </m:e>
          <m:sub>
            <m:r>
              <m:t>z</m:t>
            </m:r>
          </m:sub>
        </m:sSub>
        <m:r>
          <m:rPr>
            <m:sty m:val="p"/>
          </m:rPr>
          <m:t>)</m:t>
        </m:r>
      </m:oMath>
      <w:r>
        <w:rPr>
          <w:rFonts w:ascii="Times New Roman" w:hAnsi="Times New Roman"/>
          <w:sz w:val="24"/>
        </w:rPr>
        <w:t xml:space="preserve">, growing linearly with each grid dimension. Similarly, for fixed molecular and pocket sizes, the Build sampling cost scales linearly with the number of generated poses and sampling steps.</w:t>
      </w:r>
    </w:p>
    <w:p>
      <w:pPr>
        <w:pStyle w:val="BodyText"/>
        <w:spacing w:line="480" w:lineRule="auto" w:after="120"/>
        <w:ind w:firstLine="480"/>
      </w:pPr>
      <w:r>
        <w:rPr>
          <w:rFonts w:ascii="Times New Roman" w:hAnsi="Times New Roman"/>
          <w:sz w:val="24"/>
        </w:rPr>
        <w:t xml:space="preserve"># Discussion</w:t>
      </w:r>
    </w:p>
    <w:p>
      <w:pPr>
        <w:pStyle w:val="BodyText"/>
        <w:spacing w:line="480" w:lineRule="auto" w:after="120"/>
        <w:ind w:firstLine="480"/>
      </w:pPr>
      <w:r>
        <w:rPr>
          <w:rFonts w:ascii="Times New Roman" w:hAnsi="Times New Roman"/>
          <w:sz w:val="24"/>
        </w:rP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480" w:lineRule="auto" w:after="120"/>
        <w:ind w:firstLine="480"/>
      </w:pPr>
      <w:r>
        <w:rPr>
          <w:rFonts w:ascii="Times New Roman" w:hAnsi="Times New Roman"/>
          <w:sz w:val="24"/>
        </w:rP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DG-PocketXmol,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480" w:lineRule="auto" w:after="120"/>
        <w:ind w:firstLine="480"/>
      </w:pPr>
      <w:r>
        <w:rPr>
          <w:rFonts w:ascii="Times New Roman" w:hAnsi="Times New Roman"/>
          <w:sz w:val="24"/>
        </w:rP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80"/>
    <w:bookmarkEnd w:id="81"/>
    <w:bookmarkStart w:id="137" w:name="methods"/>
    <w:p>
      <w:pPr>
        <w:pStyle w:val="Heading1"/>
        <w:keepNext/>
        <w:spacing w:line="480" w:lineRule="auto"/>
        <w:ind w:firstLine="0"/>
      </w:pPr>
      <w:r>
        <w:rPr>
          <w:rFonts w:ascii="Times New Roman" w:hAnsi="Times New Roman"/>
          <w:sz w:val="24"/>
        </w:rPr>
        <w:t xml:space="preserve">Methods</w:t>
      </w:r>
    </w:p>
    <w:bookmarkStart w:id="82" w:name="framework-formulation"/>
    <w:p>
      <w:pPr>
        <w:pStyle w:val="Heading2"/>
        <w:keepNext/>
        <w:spacing w:line="480" w:lineRule="auto"/>
        <w:ind w:firstLine="0"/>
      </w:pPr>
      <w:r>
        <w:rPr>
          <w:rFonts w:ascii="Times New Roman" w:hAnsi="Times New Roman"/>
          <w:sz w:val="24"/>
        </w:rPr>
        <w:t xml:space="preserve">Framework formulation</w:t>
      </w:r>
    </w:p>
    <w:p>
      <w:pPr>
        <w:pStyle w:val="FirstParagraph"/>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50-dimensional receptor-atom features and the multi-view density bank are the main inputs shared by Find, Match and Build.</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ascii="Times New Roman" w:hAnsi="Times New Roman"/>
          <w:sz w:val="24"/>
        </w:rPr>
        <w:t xml:space="preserve">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Style w:val="MDFIGREF_eJyrrk7LTC9KTbMCUrq5qSUZ-Sm6yfk5-UUmtbUAoNkLAg"/>
          <w:rFonts w:ascii="Times New Roman" w:hAnsi="Times New Roman"/>
          <w:sz w:val="24"/>
        </w:rPr>
        <w:t xml:space="preserve">Fig. 6</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 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yfk5-UUmNYm1tQC3_Avf"/>
          <w:rFonts w:ascii="Times New Roman" w:hAnsi="Times New Roman"/>
          <w:sz w:val="24"/>
        </w:rPr>
        <w:t xml:space="preserve">Fig. 6a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yfk5-UUmNUm1tQC3_wvg"/>
          <w:rFonts w:ascii="Times New Roman" w:hAnsi="Times New Roman"/>
          <w:sz w:val="24"/>
        </w:rPr>
        <w:t xml:space="preserve">Fig. 6b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yfk5-UUmNcm1tQC4Agvh"/>
          <w:rFonts w:ascii="Times New Roman" w:hAnsi="Times New Roman"/>
          <w:sz w:val="24"/>
        </w:rPr>
        <w:t xml:space="preserve">Fig. 6c</w:t>
      </w:r>
      <w:r>
        <w:rPr>
          <w:rFonts w:ascii="Times New Roman" w:hAnsi="Times New Roman"/>
          <w:sz w:val="24"/>
        </w:rPr>
        <w:t xml:space="preserve">).</w:t>
      </w:r>
    </w:p>
    <w:bookmarkEnd w:id="82"/>
    <w:bookmarkStart w:id="83"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w:t>
      </w:r>
      <w:r>
        <w:rPr>
          <w:rStyle w:val="MDCITE_eJyLdigvL0hJMjIwMknNTUmKBQAvPwV9"/>
          <w:rFonts w:ascii="Times New Roman" w:hAnsi="Times New Roman"/>
          <w:sz w:val="24"/>
          <w:vertAlign w:val="superscript"/>
        </w:rPr>
        <w:t xml:space="preserve">21</w:t>
      </w:r>
      <w:r>
        <w:rPr>
          <w:rFonts w:ascii="Times New Roman" w:hAnsi="Times New Roman"/>
          <w:sz w:val="24"/>
        </w:rPr>
        <w:t xml:space="preserve"> </w:t>
      </w:r>
      <w:r>
        <w:rPr>
          <w:rFonts w:ascii="Times New Roman" w:hAnsi="Times New Roman"/>
          <w:sz w:val="24"/>
        </w:rPr>
        <w:t xml:space="preserve">and their corresponding PDB structures from the RCSB database</w:t>
      </w:r>
      <w:r>
        <w:rPr>
          <w:rStyle w:val="MDCITE_eJyLdkhKLcpNzDMyMDAoSEmKBQAuqQVm"/>
          <w:rFonts w:ascii="Times New Roman" w:hAnsi="Times New Roman"/>
          <w:sz w:val="24"/>
          <w:vertAlign w:val="superscript"/>
        </w:rPr>
        <w:t xml:space="preserve">22</w:t>
      </w:r>
      <w:r>
        <w:rPr>
          <w:rFonts w:ascii="Times New Roman" w:hAnsi="Times New Roman"/>
          <w:sz w:val="24"/>
        </w:rP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w:t>
      </w:r>
      <w:r>
        <w:rPr>
          <w:rStyle w:val="MDCITE_eJyLdiguSc3MS01PTy0yMjA0z80tTi0sNooFAG7cCLg"/>
          <w:rFonts w:ascii="Times New Roman" w:hAnsi="Times New Roman"/>
          <w:sz w:val="24"/>
          <w:vertAlign w:val="superscript"/>
        </w:rPr>
        <w:t xml:space="preserve">23</w:t>
      </w:r>
      <w:r>
        <w:rPr>
          <w:rFonts w:ascii="Times New Roman" w:hAnsi="Times New Roman"/>
          <w:sz w:val="24"/>
        </w:rPr>
        <w:t xml:space="preserve"> </w:t>
      </w:r>
      <w:r>
        <w:rPr>
          <w:rFonts w:ascii="Times New Roman" w:hAnsi="Times New Roman"/>
          <w:sz w:val="24"/>
        </w:rP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bookmarkEnd w:id="83"/>
    <w:bookmarkStart w:id="86"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84"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w:t>
      </w:r>
      <w:r>
        <w:rPr>
          <w:rStyle w:val="MDCITE_eJyLdihILSlJLSpOzTMyMDBJzsjMTS1KjAUAZfYIcg"/>
          <w:rFonts w:ascii="Times New Roman" w:hAnsi="Times New Roman"/>
          <w:sz w:val="24"/>
          <w:vertAlign w:val="superscript"/>
        </w:rPr>
        <w:t xml:space="preserve">24</w:t>
      </w:r>
      <w:r>
        <w:rPr>
          <w:rFonts w:ascii="Times New Roman" w:hAnsi="Times New Roman"/>
          <w:sz w:val="24"/>
        </w:rPr>
        <w:t xml:space="preserve">,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84"/>
    <w:bookmarkStart w:id="85"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85"/>
    <w:bookmarkEnd w:id="86"/>
    <w:bookmarkStart w:id="93" w:name="stage-1-find"/>
    <w:p>
      <w:pPr>
        <w:pStyle w:val="Heading2"/>
        <w:keepNext/>
        <w:spacing w:line="480" w:lineRule="auto"/>
        <w:ind w:firstLine="0"/>
      </w:pPr>
      <w:r>
        <w:rPr>
          <w:rFonts w:ascii="Times New Roman" w:hAnsi="Times New Roman"/>
          <w:sz w:val="24"/>
        </w:rPr>
        <w:t xml:space="preserve">Stage 1: Find</w:t>
      </w:r>
    </w:p>
    <w:bookmarkStart w:id="87"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7"/>
    <w:bookmarkStart w:id="88"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rFonts w:ascii="Times New Roman" w:hAnsi="Times New Roman"/>
          <w:sz w:val="24"/>
          <w:vertAlign w:val="superscript"/>
        </w:rPr>
        <w:t xml:space="preserve">25</w:t>
      </w:r>
      <w:r>
        <w:rPr>
          <w:rFonts w:ascii="Times New Roman" w:hAnsi="Times New Roman"/>
          <w:sz w:val="24"/>
        </w:rPr>
        <w:t xml:space="preserve"> </w:t>
      </w:r>
      <w:r>
        <w:rPr>
          <w:rFonts w:ascii="Times New Roman" w:hAnsi="Times New Roman"/>
          <w:sz w:val="24"/>
        </w:rPr>
        <w:t xml:space="preserve">and softly scatters the encoded features onto the voxel grid. The projected features are concatenated with the 56 density channels as input to a 3D 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Before the point-cloud branch,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w:t>
      </w:r>
      <w:r>
        <w:rPr>
          <w:rStyle w:val="MDCITE_eJyLdkhMKkrMLc7PMzIwMknMKchITMvPSTGOBQB0aQjy"/>
          <w:rFonts w:ascii="Times New Roman" w:hAnsi="Times New Roman"/>
          <w:sz w:val="24"/>
          <w:vertAlign w:val="superscript"/>
        </w:rPr>
        <w:t xml:space="preserve">17</w:t>
      </w:r>
      <w:r>
        <w:rPr>
          <w:rFonts w:ascii="Times New Roman" w:hAnsi="Times New Roman"/>
          <w:sz w:val="24"/>
        </w:rP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8"/>
    <w:bookmarkStart w:id="89"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26</w:t>
      </w:r>
      <w:r>
        <w:rPr>
          <w:rFonts w:ascii="Times New Roman" w:hAnsi="Times New Roman"/>
          <w:sz w:val="24"/>
        </w:rPr>
        <w:t xml:space="preserve"> </w:t>
      </w:r>
      <w:r>
        <w:rPr>
          <w:rFonts w:ascii="Times New Roman" w:hAnsi="Times New Roman"/>
          <w:sz w:val="24"/>
        </w:rPr>
        <w:t xml:space="preserve">and Dice loss</w:t>
      </w:r>
      <w:r>
        <w:rPr>
          <w:rStyle w:val="MDCITE_eJyLdsjNzMlJLUksyjQyMDQry0stiQUATPQHQg"/>
          <w:rFonts w:ascii="Times New Roman" w:hAnsi="Times New Roman"/>
          <w:sz w:val="24"/>
          <w:vertAlign w:val="superscript"/>
        </w:rPr>
        <w:t xml:space="preserve">27</w:t>
      </w:r>
      <w:r>
        <w:rPr>
          <w:rFonts w:ascii="Times New Roman" w:hAnsi="Times New Roman"/>
          <w:sz w:val="24"/>
        </w:rPr>
        <w:t xml:space="preserve"> </w:t>
      </w:r>
      <w:r>
        <w:rPr>
          <w:rFonts w:ascii="Times New Roman" w:hAnsi="Times New Roman"/>
          <w:sz w:val="24"/>
        </w:rPr>
        <w:t xml:space="preserve">with weights of 0.7 and 0.3, respectively.</w:t>
      </w:r>
    </w:p>
    <w:bookmarkEnd w:id="89"/>
    <w:bookmarkStart w:id="90"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28</w:t>
      </w:r>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90"/>
    <w:bookmarkStart w:id="91" w:name="stage-1evaluation-metrics"/>
    <w:p>
      <w:pPr>
        <w:pStyle w:val="Heading3"/>
        <w:keepNext/>
        <w:spacing w:line="480" w:lineRule="auto"/>
        <w:ind w:firstLine="0"/>
      </w:pPr>
      <w:r>
        <w:rPr>
          <w:rFonts w:ascii="Times New Roman" w:hAnsi="Times New Roman"/>
          <w:sz w:val="24"/>
        </w:rPr>
        <w:t xml:space="preserve">Stage 1:Evaluation metrics</w:t>
      </w:r>
    </w:p>
    <w:p>
      <w:pPr>
        <w:pStyle w:val="FirstParagraph"/>
        <w:spacing w:line="480" w:lineRule="auto" w:after="120"/>
        <w:ind w:firstLine="480"/>
      </w:pPr>
      <w:r>
        <w:rPr>
          <w:rFonts w:ascii="Times New Roman" w:hAnsi="Times New Roman"/>
          <w:sz w:val="24"/>
        </w:rPr>
        <w:t xml:space="preserve">For each PDB entry, let</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ascii="Times New Roman" w:hAnsi="Times New Roman"/>
          <w:sz w:val="24"/>
        </w:rPr>
        <w:t xml:space="preserve"> </w:t>
      </w:r>
      <w:r>
        <w:rPr>
          <w:rFonts w:ascii="Times New Roman" w:hAnsi="Times New Roman"/>
          <w:sz w:val="24"/>
        </w:rPr>
        <w:t xml:space="preserve">denote the final predicted candidate regions and</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ascii="Times New Roman" w:hAnsi="Times New Roman"/>
          <w:sz w:val="24"/>
        </w:rPr>
        <w:t xml:space="preserve"> </w:t>
      </w:r>
      <w:r>
        <w:rPr>
          <w:rFonts w:ascii="Times New Roman" w:hAnsi="Times New Roman"/>
          <w:sz w:val="24"/>
        </w:rPr>
        <w:t xml:space="preserve">the ground-truth ligand regions. Semantic Dice measures overlap between the unions of predicted and ground-truth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rPr>
            <m:sty m:val="p"/>
          </m:rPr>
          <m:t>⋅</m:t>
        </m:r>
        <m:r>
          <m:rPr>
            <m:sty m:val="p"/>
          </m:rPr>
          <m:t>|</m:t>
        </m:r>
      </m:oMath>
      <w:r>
        <w:rPr>
          <w:rFonts w:ascii="Times New Roman" w:hAnsi="Times New Roman"/>
          <w:sz w:val="24"/>
        </w:rPr>
        <w:t xml:space="preserve"> </w:t>
      </w:r>
      <w:r>
        <w:rPr>
          <w:rFonts w:ascii="Times New Roman" w:hAnsi="Times New Roman"/>
          <w:sz w:val="24"/>
        </w:rPr>
        <w:t xml:space="preserve">denotes voxel count; Dice does not use the instance-matching threshold.</w:t>
      </w:r>
    </w:p>
    <w:p>
      <w:pPr>
        <w:pStyle w:val="BodyText"/>
        <w:spacing w:line="480" w:lineRule="auto" w:after="120"/>
        <w:ind w:firstLine="480"/>
      </w:pPr>
      <w:r>
        <w:rPr>
          <w:rFonts w:ascii="Times New Roman" w:hAnsi="Times New Roman"/>
          <w:sz w:val="24"/>
        </w:rPr>
        <w:t xml:space="preserve">For instance-level metrics, a candidate and a ground-truth instance are compatible when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evaluated</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 </w:t>
      </w:r>
      <w:r>
        <w:rPr>
          <w:rFonts w:ascii="Times New Roman" w:hAnsi="Times New Roman"/>
          <w:sz w:val="24"/>
        </w:rPr>
        <w:t xml:space="preserve">and used the Hungarian algorithm</w:t>
      </w:r>
      <w:r>
        <w:rPr>
          <w:rStyle w:val="MDCITE_eJyLdsguzcgztDQ1zSjNS08sykzMiwUASXEHQA"/>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to obtain a maximum one-to-one matching. If</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ascii="Times New Roman" w:hAnsi="Times New Roman"/>
          <w:sz w:val="24"/>
        </w:rPr>
        <w:t xml:space="preserve"> </w:t>
      </w:r>
      <w:r>
        <w:rPr>
          <w:rFonts w:ascii="Times New Roman" w:hAnsi="Times New Roman"/>
          <w:sz w:val="24"/>
        </w:rPr>
        <w:t xml:space="preserve">pairs are matched, instance-level precision and recall are:</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Precision is zero for an empty prediction set; a ground-truth instance cannot contribute more than one successful pair. Ranking candidates by confidence and varying the retained candidate set yields the instance-level precision–recall curve and its area,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and relative candidate count</w:t>
      </w:r>
      <w:r>
        <w:rPr>
          <w:rFonts w:ascii="Times New Roman" w:hAnsi="Times New Roman"/>
          <w:sz w:val="24"/>
        </w:rPr>
        <w:t xml:space="preserve"> </w:t>
      </w:r>
      <m:oMath>
        <m:r>
          <m:t>ρ</m:t>
        </m:r>
      </m:oMath>
      <w:r>
        <w:rPr>
          <w:rFonts w:ascii="Times New Roman" w:hAnsi="Times New Roman"/>
          <w:sz w:val="24"/>
        </w:rPr>
        <w:t xml:space="preserve">, at most</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candidates are examined.</w:t>
      </w:r>
    </w:p>
    <w:p>
      <w:pPr>
        <w:pStyle w:val="BodyText"/>
        <w:spacing w:line="480" w:lineRule="auto" w:after="120"/>
        <w:ind w:firstLine="480"/>
      </w:pPr>
      <w:r>
        <w:rPr>
          <w:rFonts w:ascii="Times New Roman" w:hAnsi="Times New Roman"/>
          <w:sz w:val="24"/>
        </w:rPr>
        <w:t xml:space="preserve">All-ligand evaluation includes 179 PDB entries and 2,502 instances; small-molecule evaluation includes 94 PDB entries and 821 instances. In the small-molecule evaluation, candidates are first assigned across all 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bookmarkEnd w:id="91"/>
    <w:bookmarkStart w:id="92"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w:t>
      </w:r>
      <w:r>
        <w:rPr>
          <w:rStyle w:val="MDCITE_eJyLdsguzcgztDQ1zSjNS08sykzMiwUASXEHQA"/>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92"/>
    <w:bookmarkEnd w:id="93"/>
    <w:bookmarkStart w:id="99" w:name="stage-2-match"/>
    <w:p>
      <w:pPr>
        <w:pStyle w:val="Heading2"/>
        <w:keepNext/>
        <w:spacing w:line="480" w:lineRule="auto"/>
        <w:ind w:firstLine="0"/>
      </w:pPr>
      <w:r>
        <w:rPr>
          <w:rFonts w:ascii="Times New Roman" w:hAnsi="Times New Roman"/>
          <w:sz w:val="24"/>
        </w:rPr>
        <w:t xml:space="preserve">Stage 2: Match</w:t>
      </w:r>
    </w:p>
    <w:bookmarkStart w:id="94" w:name="overview"/>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94"/>
    <w:bookmarkStart w:id="95"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Style w:val="MDCITE_eJyLdihLLC5PzMs0MjA0TywpSc0ryczPiwUAZH0Ikg"/>
          <w:rFonts w:ascii="Times New Roman" w:hAnsi="Times New Roman"/>
          <w:sz w:val="24"/>
          <w:vertAlign w:val="superscript"/>
        </w:rPr>
        <w:t xml:space="preserve">30</w:t>
      </w:r>
      <w:r>
        <w:rPr>
          <w:rFonts w:ascii="Times New Roman" w:hAnsi="Times New Roman"/>
          <w:sz w:val="24"/>
        </w:rPr>
        <w:t xml:space="preserve"> </w:t>
      </w:r>
      <w:r>
        <w:rPr>
          <w:rFonts w:ascii="Times New Roman" w:hAnsi="Times New Roman"/>
          <w:sz w:val="24"/>
        </w:rPr>
        <w:t xml:space="preserve">(</w:t>
      </w:r>
      <w:r>
        <w:rPr>
          <w:rStyle w:val="MDFIGREF_eJyrrk7LTC9KTbMCUrq5qSUZ-Sm6yfk5-UUmNUm1tQC3_wvg"/>
          <w:rFonts w:ascii="Times New Roman" w:hAnsi="Times New Roman"/>
          <w:sz w:val="24"/>
        </w:rPr>
        <w:t xml:space="preserve">Fig. 6b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95"/>
    <w:bookmarkStart w:id="96"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96"/>
    <w:bookmarkStart w:id="97"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97"/>
    <w:bookmarkStart w:id="98"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8"/>
    <w:bookmarkEnd w:id="99"/>
    <w:bookmarkStart w:id="102" w:name="stage-3-build"/>
    <w:p>
      <w:pPr>
        <w:pStyle w:val="Heading2"/>
        <w:keepNext/>
        <w:spacing w:line="480" w:lineRule="auto"/>
        <w:ind w:firstLine="0"/>
      </w:pPr>
      <w:r>
        <w:rPr>
          <w:rFonts w:ascii="Times New Roman" w:hAnsi="Times New Roman"/>
          <w:sz w:val="24"/>
        </w:rPr>
        <w:t xml:space="preserve">Stage 3: Build</w:t>
      </w:r>
    </w:p>
    <w:bookmarkStart w:id="100"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DG-PocketXmol as our default Build engine. Specifically, we extended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a unified generative model for small molecules, to incorporate local cryo-EM density as an explicit conditioning signal, initialising it with official weights and fine-tuning it on eligible small molecules.</w:t>
      </w:r>
    </w:p>
    <w:bookmarkEnd w:id="100"/>
    <w:bookmarkStart w:id="101"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101"/>
    <w:bookmarkEnd w:id="102"/>
    <w:bookmarkStart w:id="136" w:name="end-to-end-evaluation-process"/>
    <w:p>
      <w:pPr>
        <w:pStyle w:val="Heading2"/>
        <w:keepNext/>
        <w:spacing w:line="480" w:lineRule="auto"/>
        <w:ind w:firstLine="0"/>
      </w:pPr>
      <w:r>
        <w:rPr>
          <w:rFonts w:ascii="Times New Roman" w:hAnsi="Times New Roman"/>
          <w:sz w:val="24"/>
        </w:rPr>
        <w:t xml:space="preserve">End-to-end evaluation process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9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0tvHEUQ_iutvWLv7G5sYi8hUuTECMlElgMnBlm9PbW7Lc90j7p7du0kSDlEAg7cEBICDpzgFC5ICCLBf4kI8c_gq-7Z9eYBishDshRL6-lH1VfV3fV1dd3q1DJMO0PRefTV_Yff_pFdG1w7_fnuX_d_Pb33w-kvv53-ePfh59906zocd9ZEx5G35YwKVtgZ5vlHnpzP8_7mdn87z6-SPwq2zvPTe7___fVnp19-8einP_M8Ief5f0MbWRHD0oDWpVK2MUGbybprSvLrhZPjwFJK1kFbc1hJd9TUkP-4c2k-rMVxVRo_nL-bd6Yh1MMs82pKlfRdW5PB5Ni6SgZ03SSbW1fUziryHhaqMhv0em9nldQm71xmtH0XPzfCSUliPpzJErjvV3JCO8k8y2ULCZY9Iqr3tCEfx1d686GvpYIZ4JQYAtBgo5d32u4BVoch2QTbYrbirKlNAbGxdj7sJdVeK4SZ5EDyNP1r27vWBA896ZXW0PlQV-TFdZqLA1tJE01Prxj_zLmImiAYbBT7o9jcSWuLX7h5c7kxg42F6zeTenIk8JnE5bDnNSKH3IwguqsnXdHfFrfFzlS6Ce9NPGSBMxJhbgWZYj3YdXwEwUQjecuFp8AB4btsIyRLr3TxL7BE8bp8fCUHJM_BDq-JPT2RCBRHE46OggKpGCcYFLog3B7hRIDzasoRJpWz3gtZlqKMikKV0nvyXTH6V6y1ZwFBtbaehCNljQ-uSWY5eAnQeoQ7w1dsqLIlKY7sNUCOweBCSC_4zikJtrwuGhK4kKTR6kkVMddhKowVMtjKi0rHuwpGS7BhRiJYEaakQRiqaozxQq6cg3N7bcx4AR8f3Pnurf6DO9-fA1fPw3YiWWnFEYqIlYHDVii--JkOgcM3CG2UIwk2itGJsIbeiVKynFgHGlTC41XhMaEoTbRqpa40lD1oIZHuC5CJKTNuHKScUOCqLqJl6UhMyJBDr2AjDJNYf4PoaH0XTr5JLC-NPruOcAke6foNi16WjxVJ4-Oe1pwIIosa55CezuI8Jg3bRD5hLqUrIYtCc4qSZcu7rrhKSnvOWsYWcFibGV71LN7mxqkOSFptJ5zUzKDVtKosLKuAF26i1sozTYGx5LQUI_AZjDTRVUdjgq_grzTGhiiaMFkdIwIP8hnwizazIRMWVHK-1KZuwhOvPn76Xu58gnpgWQd0Ni9euLDR3zy-sDXY2upt3L5UazXEry0N5HOVBqgz5k_VBC0CsP4PBtRC42gJ454LxI7HWtFVq5oKe56QUvLHxk117Tl6eIVmtq8Vxw531PXZvsNjwyu2sjPMYn2WxfIsa6uzbLU4y_gixTJNAxVdh8OxnsBZfzgNTm7NexezNHDYw19_u1ubCRaiC6D3e5toctWGzv5ikTibpSNnPiUPJW_hnlVHHieOt7-Z0BXn7HxKsvCMyHiLCV8jwNIgMM9UVwwk1OypXRiVut7VZckWuR31U0MO8WIjPOW4OYbMAazE-cc6S6HscTzueRRdYjT_APG5UrnJ4fHYVfzFyYnjVKuJk2XNFsd5mo5BWJ5v4xVSisXasG2FIRW_C9AaNeB7ZCvBDUgz-5JZOdvzSfastZDmeWOT69lZUw5LI7hU3t4cbCaUZ0rxuVyLleZKWw6D1OVieLVdmna_fL08F_wudz79B_uUvAI" id="104" name="Picture"/>
            <a:graphic>
              <a:graphicData uri="http://schemas.openxmlformats.org/drawingml/2006/picture">
                <pic:pic>
                  <pic:nvPicPr>
                    <pic:cNvPr descr="C:/Users/15919/Desktop/论文草稿/temp/manuscript_figures_htra8w07/figure_000019.png" id="105" name="Picture"/>
                    <pic:cNvPicPr>
                      <a:picLocks noChangeArrowheads="1" noChangeAspect="1"/>
                    </pic:cNvPicPr>
                  </pic:nvPicPr>
                  <pic:blipFill>
                    <a:blip r:embed="rId103"/>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19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relative to their templates.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We evaluated two end-to-end tasks: region detection and identity matching across all ligand categories, and full pose reconstruction for eligible small molecules.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19</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eligible small molecules,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DG-PocketXmol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eligible small-molecule subset is correctly detected and matched, we still skip docking without consuming an attempt. This ensures that all evaluated docking tasks use the same downstream tool, DG-PocketXmol. However, a region corresponding to a true non-small-molecule ligand consumes one attempt if it is misidentified as a small molecule. In this case, it is actually an unmatched distractor and counts as a failed attempt.</w:t>
      </w:r>
    </w:p>
    <w:p>
      <w:pPr>
        <w:pStyle w:val="BodyText"/>
        <w:spacing w:line="480" w:lineRule="auto" w:after="120"/>
        <w:ind w:firstLine="480"/>
      </w:pPr>
      <w:r>
        <w:rPr>
          <w:rFonts w:ascii="Times New Roman" w:hAnsi="Times New Roman"/>
          <w:sz w:val="24"/>
        </w:rP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06">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07">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8">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9">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10">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11">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12">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13">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14">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15">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16">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17">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8">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9">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20">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21">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22">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3">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24">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5">
        <w:r>
          <w:rPr>
            <w:rStyle w:val="Hyperlink"/>
          </w:rPr>
          <w:t xml:space="preserve">10.1002/jcc.21334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26">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27">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28">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29">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30">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31">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32">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33">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29.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34">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Vaswani, A. et al.</w:t>
      </w:r>
      <w:r>
        <w:rPr>
          <w:rFonts w:ascii="Times New Roman" w:hAnsi="Times New Roman"/>
          <w:sz w:val="24"/>
        </w:rPr>
        <w:t xml:space="preserve"> </w:t>
      </w:r>
      <w:hyperlink r:id="rId135">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bookmarkEnd w:id="136"/>
    <w:bookmarkEnd w:id="137"/>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yfk5-UUmNcm1tQC4Agvh">
    <w:name w:val="MDFIGREF_eJyrrk7LTC9KTbMCUrq5qSUZ-Sm6yfk5-UUmNcm1tQC4Agvh"/>
    <w:basedOn w:val="BodyTextChar"/>
  </w:style>
  <w:style w:type="character" w:customStyle="1" w:styleId="MDFIGREF_eJyrrk7LTC9KTbMCUrq5qSUZ-Sm6yfk5-UUmNUm1tQC3_wvg">
    <w:name w:val="MDFIGREF_eJyrrk7LTC9KTbMCUrq5qSUZ-Sm6yfk5-UUmNUm1tQC3_wvg"/>
    <w:basedOn w:val="BodyTextChar"/>
  </w:style>
  <w:style w:type="character" w:customStyle="1" w:styleId="MDFIGREF_eJyrrk7LTC9KTbMCUrq5qSUZ-Sm6yfk5-UUmNYm1tQC3_Avf">
    <w:name w:val="MDFIGREF_eJyrrk7LTC9KTbMCUrq5qSUZ-Sm6yfk5-UUmNYm1tQC3_Avf"/>
    <w:basedOn w:val="BodyTextChar"/>
  </w:style>
  <w:style w:type="character" w:customStyle="1" w:styleId="MDFIGREF_eJyrrk7LTC9KTbMCUrq5qSUZ-Sm6yfk5-UUmtbUAoNkLAg">
    <w:name w:val="MDFIGREF_eJyrrk7LTC9KTbMCUrq5qSUZ-Sm6yfk5-UUmtbUAoNkLAg"/>
    <w:basedOn w:val="BodyTextChar"/>
  </w:style>
  <w:style w:type="character" w:customStyle="1" w:styleId="MDFIGREF_eJyrrk7LTC9KTbMCUrr5ZalFZZmp5brJ-Tn5RUY6ILHc1JKM_BSIiEltLQDKTRKG">
    <w:name w:val="MDFIGREF_eJyrrk7LTC9KTbMCUrr5ZalFZZmp5brJ-Tn5RUY6ILHc1JKM_BSIiEltLQDKTRKG"/>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tUoM9SsSa2tBQByYBCd">
    <w:name w:val="MDFIGREF_eJyrrk7LTC9KTbMqLklMTzXUzS9LLUrMydEtSC1Kyy_KTcxLTtUoM9SsSa2tBQByYBCd"/>
    <w:basedOn w:val="BodyTextChar"/>
  </w:style>
  <w:style w:type="character" w:customStyle="1" w:styleId="MDFIGREF_eJyrrk7LTC9KTbMqLklMTzXUzS9LLUrMydEtSC1Kyy_KTcxLTtUoM9SsSa6tBQByWhCb">
    <w:name w:val="MDFIGREF_eJyrrk7LTC9KTbMqLklMTzXUzS9LLUrMydEtSC1Kyy_KTcxLTtUoM9SsSa6tBQByWhCb"/>
    <w:basedOn w:val="BodyTextChar"/>
  </w:style>
  <w:style w:type="character" w:customStyle="1" w:styleId="MDFIGREF_eJyrrk7LTC9KTbMqLklMTzXUzS9LLUrMydEtSC1Kyy_KTcxLTtUoM9SsSamtBQByXRCc">
    <w:name w:val="MDFIGREF_eJyrrk7LTC9KTbMqLklMTzXUzS9LLUrMydEtSC1Kyy_KTcxLTtUoM9SsSamtBQByXRCc"/>
    <w:basedOn w:val="BodyTextChar"/>
  </w:style>
  <w:style w:type="character" w:customStyle="1" w:styleId="MDFIGREF_eJyrrk7LTC9KTbMqLklMTzXUzS9LLUrMydEtSC1Kyy_KTcxLTtUoM9SsSaqtBQByVxCa">
    <w:name w:val="MDFIGREF_eJyrrk7LTC9KTbMqLklMTzXUzS9LLUrMydEtSC1Kyy_KTcxLTtUoM9SsSaqtBQByVxCa"/>
    <w:basedOn w:val="BodyTextChar"/>
  </w:style>
  <w:style w:type="character" w:customStyle="1" w:styleId="MDFIGREF_eJyrrk7LTC9KTbMqLklMTzXUzS9LLUrMydEtSC1Kyy_KTcxLTtUoM9SsSautBQByYxCe">
    <w:name w:val="MDFIGREF_eJyrrk7LTC9KTbMqLklMTzXUzS9LLUrMydEtSC1Kyy_KTcxLTtUoM9SsSautBQByYxCe"/>
    <w:basedOn w:val="BodyTextChar"/>
  </w:style>
  <w:style w:type="character" w:customStyle="1" w:styleId="MDFIGREF_eJyrrk7LTC9KTbMqLklMTzXUzS9LLUrMydEtSC1Kyy_KTcxLTtUoM9SsSaytBQByVBCZ">
    <w:name w:val="MDFIGREF_eJyrrk7LTC9KTbMqLklMTzXUzS9LLUrMydEtSC1Kyy_KTcxLTtUoM9SsSaytBQByVBCZ"/>
    <w:basedOn w:val="BodyTextChar"/>
  </w:style>
  <w:style w:type="character" w:customStyle="1" w:styleId="MDFIGREF_eJyrrk7LTC9KTbMqLklMTzXUzS9LLUrMydEtSC1Kyy_KTcxLTtUoM9SsSdJJra0FAJN2ESs">
    <w:name w:val="MDFIGREF_eJyrrk7LTC9KTbMqLklMTzXUzS9LLUrMydEtSC1Kyy_KTcxLTtUoM9SsSdJJra0FAJN2ESs"/>
    <w:basedOn w:val="BodyTextChar"/>
  </w:style>
  <w:style w:type="character" w:customStyle="1" w:styleId="MDFIGREF_eJyrrk7LTC9KTbMqLklMTzXUzS9LLUrMydEtSC1Kyy_KTcxLTtUoM9SsSdRJqa0FAJNuESk">
    <w:name w:val="MDFIGREF_eJyrrk7LTC9KTbMqLklMTzXUzS9LLUrMydEtSC1Kyy_KTcxLTtUoM9SsSdRJqa0FAJNuESk"/>
    <w:basedOn w:val="BodyTextChar"/>
  </w:style>
  <w:style w:type="character" w:customStyle="1" w:styleId="MDFIGREF_eJyrrk7LTC9KTbMqLklMTzXUzS9LLUrMydEtSC1Kyy_KTcxLTtUoM9SsSdRJqq0FAJNoESc">
    <w:name w:val="MDFIGREF_eJyrrk7LTC9KTbMqLklMTzXUzS9LLUrMydEtSC1Kyy_KTcxLTtUoM9SsSdRJqq0FAJNoESc"/>
    <w:basedOn w:val="BodyTextChar"/>
  </w:style>
  <w:style w:type="character" w:customStyle="1" w:styleId="MDFIGREF_eJyrrk7LTC9KTbMqLklMTzXUzUktS83RTc_JT0rM0c3JTwaSlnllxRplhpo1iY8aJqfU1gIA_AYT6Q">
    <w:name w:val="MDFIGREF_eJyrrk7LTC9KTbMqLklMTzXUzUktS83RTc_JT0rM0c3JTwaSlnllxRplhpo1iY8aJqfU1gIA_AYT6Q"/>
    <w:basedOn w:val="BodyTextChar"/>
  </w:style>
  <w:style w:type="character" w:customStyle="1" w:styleId="MDFIGREF_eJyrrk7LTC9KTbMqLklMTzXUzUktS83RTc_JT0rM0c3JTwaSlnllxRplhpo1qTpptbUA0YwSJg">
    <w:name w:val="MDFIGREF_eJyrrk7LTC9KTbMqLklMTzXUzUktS83RTc_JT0rM0c3JTwaSlnllxRplhpo1qTpptbUA0YwSJg"/>
    <w:basedOn w:val="BodyTextChar"/>
  </w:style>
  <w:style w:type="character" w:customStyle="1" w:styleId="MDFIGREF_eJyrrk7LTC9KTbMqLklMTzXUzUktS83RTc_JT0rM0c3JTwaSlnllxRplhpq1tQCL5RCz">
    <w:name w:val="MDFIGREF_eJyrrk7LTC9KTbMqLklMTzXUzUktS83RTc_JT0rM0c3JTwaSlnllxRplhpq1tQCL5RCz"/>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7" Type="http://schemas.openxmlformats.org/officeDocument/2006/relationships/image" Target="media/rId17.png"/><Relationship Id="rId20" Type="http://schemas.openxmlformats.org/officeDocument/2006/relationships/image" Target="media/rId20.png"/><Relationship Id="rId23" Type="http://schemas.openxmlformats.org/officeDocument/2006/relationships/image" Target="media/rId23.png"/><Relationship Id="rId26" Type="http://schemas.openxmlformats.org/officeDocument/2006/relationships/image" Target="media/rId26.png"/><Relationship Id="rId30" Type="http://schemas.openxmlformats.org/officeDocument/2006/relationships/image" Target="media/rId30.png"/><Relationship Id="rId33" Type="http://schemas.openxmlformats.org/officeDocument/2006/relationships/image" Target="media/rId33.png"/><Relationship Id="rId38" Type="http://schemas.openxmlformats.org/officeDocument/2006/relationships/image" Target="media/rId38.png"/><Relationship Id="rId41" Type="http://schemas.openxmlformats.org/officeDocument/2006/relationships/image" Target="media/rId41.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60" Type="http://schemas.openxmlformats.org/officeDocument/2006/relationships/image" Target="media/rId60.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103" Type="http://schemas.openxmlformats.org/officeDocument/2006/relationships/image" Target="media/rId103.png"/><Relationship Id="rId129" Type="http://schemas.openxmlformats.org/officeDocument/2006/relationships/hyperlink" Target="https://doi.org/10.1002/jcc.20084" TargetMode="External"/><Relationship Id="rId125" Type="http://schemas.openxmlformats.org/officeDocument/2006/relationships/hyperlink" Target="https://doi.org/10.1002/jcc.21334" TargetMode="External"/><Relationship Id="rId134" Type="http://schemas.openxmlformats.org/officeDocument/2006/relationships/hyperlink" Target="https://doi.org/10.1002/nav.3800020109" TargetMode="External"/><Relationship Id="rId120" Type="http://schemas.openxmlformats.org/officeDocument/2006/relationships/hyperlink" Target="https://doi.org/10.1007/978-3-319-46723-8_49" TargetMode="External"/><Relationship Id="rId115" Type="http://schemas.openxmlformats.org/officeDocument/2006/relationships/hyperlink" Target="https://doi.org/10.1016/j.cell.2026.01.003" TargetMode="External"/><Relationship Id="rId117" Type="http://schemas.openxmlformats.org/officeDocument/2006/relationships/hyperlink" Target="https://doi.org/10.1016/j.str.2020.04.018" TargetMode="External"/><Relationship Id="rId113" Type="http://schemas.openxmlformats.org/officeDocument/2006/relationships/hyperlink" Target="https://doi.org/10.1016/j.str.2025.07.002" TargetMode="External"/><Relationship Id="rId107" Type="http://schemas.openxmlformats.org/officeDocument/2006/relationships/hyperlink" Target="https://doi.org/10.1016/j.tibs.2014.10.005" TargetMode="External"/><Relationship Id="rId118" Type="http://schemas.openxmlformats.org/officeDocument/2006/relationships/hyperlink" Target="https://doi.org/10.1021/acs.jmedchem.3c01134" TargetMode="External"/><Relationship Id="rId119" Type="http://schemas.openxmlformats.org/officeDocument/2006/relationships/hyperlink" Target="https://doi.org/10.1021/ci00057a005" TargetMode="External"/><Relationship Id="rId106" Type="http://schemas.openxmlformats.org/officeDocument/2006/relationships/hyperlink" Target="https://doi.org/10.1038/d41586-020-00341-9" TargetMode="External"/><Relationship Id="rId128" Type="http://schemas.openxmlformats.org/officeDocument/2006/relationships/hyperlink" Target="https://doi.org/10.1038/nbt.3988" TargetMode="External"/><Relationship Id="rId116" Type="http://schemas.openxmlformats.org/officeDocument/2006/relationships/hyperlink" Target="https://doi.org/10.1038/s41467-023-36732-5" TargetMode="External"/><Relationship Id="rId108" Type="http://schemas.openxmlformats.org/officeDocument/2006/relationships/hyperlink" Target="https://doi.org/10.1038/s41586-024-07215-4" TargetMode="External"/><Relationship Id="rId122" Type="http://schemas.openxmlformats.org/officeDocument/2006/relationships/hyperlink" Target="https://doi.org/10.1038/s41586-024-07487-w" TargetMode="External"/><Relationship Id="rId133" Type="http://schemas.openxmlformats.org/officeDocument/2006/relationships/hyperlink" Target="https://doi.org/10.1038/s41592-020-01008-z" TargetMode="External"/><Relationship Id="rId110" Type="http://schemas.openxmlformats.org/officeDocument/2006/relationships/hyperlink" Target="https://doi.org/10.1038/s41594-025-01723-1" TargetMode="External"/><Relationship Id="rId124" Type="http://schemas.openxmlformats.org/officeDocument/2006/relationships/hyperlink" Target="https://doi.org/10.1038/s42004-025-01585-0" TargetMode="External"/><Relationship Id="rId127" Type="http://schemas.openxmlformats.org/officeDocument/2006/relationships/hyperlink" Target="https://doi.org/10.1093/nar/28.1.235" TargetMode="External"/><Relationship Id="rId126" Type="http://schemas.openxmlformats.org/officeDocument/2006/relationships/hyperlink" Target="https://doi.org/10.1093/nar/gkad1019" TargetMode="External"/><Relationship Id="rId132" Type="http://schemas.openxmlformats.org/officeDocument/2006/relationships/hyperlink" Target="https://doi.org/10.1109/3dv.2016.79" TargetMode="External"/><Relationship Id="rId130" Type="http://schemas.openxmlformats.org/officeDocument/2006/relationships/hyperlink" Target="https://doi.org/10.1109/cvpr52688.2022.01644" TargetMode="External"/><Relationship Id="rId121" Type="http://schemas.openxmlformats.org/officeDocument/2006/relationships/hyperlink" Target="https://doi.org/10.1109/cvpr52733.2024.00463" TargetMode="External"/><Relationship Id="rId131" Type="http://schemas.openxmlformats.org/officeDocument/2006/relationships/hyperlink" Target="https://doi.org/10.1109/iccv.2017.324" TargetMode="External"/><Relationship Id="rId111" Type="http://schemas.openxmlformats.org/officeDocument/2006/relationships/hyperlink" Target="https://doi.org/10.1126/science.aat4346" TargetMode="External"/><Relationship Id="rId123" Type="http://schemas.openxmlformats.org/officeDocument/2006/relationships/hyperlink" Target="https://doi.org/10.1609/aaai.v32i1.11671" TargetMode="External"/><Relationship Id="rId112" Type="http://schemas.openxmlformats.org/officeDocument/2006/relationships/hyperlink" Target="https://doi.org/10.64898/2026.06.01.729423" TargetMode="External"/><Relationship Id="rId109" Type="http://schemas.openxmlformats.org/officeDocument/2006/relationships/hyperlink" Target="https://doi.org/10.65215/LTSpreprints.2026.04.14.000185" TargetMode="External"/><Relationship Id="rId114" Type="http://schemas.openxmlformats.org/officeDocument/2006/relationships/hyperlink" Target="https://openreview.net/forum?id=kKF8_K-mBbS" TargetMode="External"/><Relationship Id="rId135"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29" Type="http://schemas.openxmlformats.org/officeDocument/2006/relationships/hyperlink" Target="https://doi.org/10.1002/jcc.20084" TargetMode="External"/><Relationship Id="rId125" Type="http://schemas.openxmlformats.org/officeDocument/2006/relationships/hyperlink" Target="https://doi.org/10.1002/jcc.21334" TargetMode="External"/><Relationship Id="rId134" Type="http://schemas.openxmlformats.org/officeDocument/2006/relationships/hyperlink" Target="https://doi.org/10.1002/nav.3800020109" TargetMode="External"/><Relationship Id="rId120" Type="http://schemas.openxmlformats.org/officeDocument/2006/relationships/hyperlink" Target="https://doi.org/10.1007/978-3-319-46723-8_49" TargetMode="External"/><Relationship Id="rId115" Type="http://schemas.openxmlformats.org/officeDocument/2006/relationships/hyperlink" Target="https://doi.org/10.1016/j.cell.2026.01.003" TargetMode="External"/><Relationship Id="rId117" Type="http://schemas.openxmlformats.org/officeDocument/2006/relationships/hyperlink" Target="https://doi.org/10.1016/j.str.2020.04.018" TargetMode="External"/><Relationship Id="rId113" Type="http://schemas.openxmlformats.org/officeDocument/2006/relationships/hyperlink" Target="https://doi.org/10.1016/j.str.2025.07.002" TargetMode="External"/><Relationship Id="rId107" Type="http://schemas.openxmlformats.org/officeDocument/2006/relationships/hyperlink" Target="https://doi.org/10.1016/j.tibs.2014.10.005" TargetMode="External"/><Relationship Id="rId118" Type="http://schemas.openxmlformats.org/officeDocument/2006/relationships/hyperlink" Target="https://doi.org/10.1021/acs.jmedchem.3c01134" TargetMode="External"/><Relationship Id="rId119" Type="http://schemas.openxmlformats.org/officeDocument/2006/relationships/hyperlink" Target="https://doi.org/10.1021/ci00057a005" TargetMode="External"/><Relationship Id="rId106" Type="http://schemas.openxmlformats.org/officeDocument/2006/relationships/hyperlink" Target="https://doi.org/10.1038/d41586-020-00341-9" TargetMode="External"/><Relationship Id="rId128" Type="http://schemas.openxmlformats.org/officeDocument/2006/relationships/hyperlink" Target="https://doi.org/10.1038/nbt.3988" TargetMode="External"/><Relationship Id="rId116" Type="http://schemas.openxmlformats.org/officeDocument/2006/relationships/hyperlink" Target="https://doi.org/10.1038/s41467-023-36732-5" TargetMode="External"/><Relationship Id="rId108" Type="http://schemas.openxmlformats.org/officeDocument/2006/relationships/hyperlink" Target="https://doi.org/10.1038/s41586-024-07215-4" TargetMode="External"/><Relationship Id="rId122" Type="http://schemas.openxmlformats.org/officeDocument/2006/relationships/hyperlink" Target="https://doi.org/10.1038/s41586-024-07487-w" TargetMode="External"/><Relationship Id="rId133" Type="http://schemas.openxmlformats.org/officeDocument/2006/relationships/hyperlink" Target="https://doi.org/10.1038/s41592-020-01008-z" TargetMode="External"/><Relationship Id="rId110" Type="http://schemas.openxmlformats.org/officeDocument/2006/relationships/hyperlink" Target="https://doi.org/10.1038/s41594-025-01723-1" TargetMode="External"/><Relationship Id="rId124" Type="http://schemas.openxmlformats.org/officeDocument/2006/relationships/hyperlink" Target="https://doi.org/10.1038/s42004-025-01585-0" TargetMode="External"/><Relationship Id="rId127" Type="http://schemas.openxmlformats.org/officeDocument/2006/relationships/hyperlink" Target="https://doi.org/10.1093/nar/28.1.235" TargetMode="External"/><Relationship Id="rId126" Type="http://schemas.openxmlformats.org/officeDocument/2006/relationships/hyperlink" Target="https://doi.org/10.1093/nar/gkad1019" TargetMode="External"/><Relationship Id="rId132" Type="http://schemas.openxmlformats.org/officeDocument/2006/relationships/hyperlink" Target="https://doi.org/10.1109/3dv.2016.79" TargetMode="External"/><Relationship Id="rId130" Type="http://schemas.openxmlformats.org/officeDocument/2006/relationships/hyperlink" Target="https://doi.org/10.1109/cvpr52688.2022.01644" TargetMode="External"/><Relationship Id="rId121" Type="http://schemas.openxmlformats.org/officeDocument/2006/relationships/hyperlink" Target="https://doi.org/10.1109/cvpr52733.2024.00463" TargetMode="External"/><Relationship Id="rId131" Type="http://schemas.openxmlformats.org/officeDocument/2006/relationships/hyperlink" Target="https://doi.org/10.1109/iccv.2017.324" TargetMode="External"/><Relationship Id="rId111" Type="http://schemas.openxmlformats.org/officeDocument/2006/relationships/hyperlink" Target="https://doi.org/10.1126/science.aat4346" TargetMode="External"/><Relationship Id="rId123" Type="http://schemas.openxmlformats.org/officeDocument/2006/relationships/hyperlink" Target="https://doi.org/10.1609/aaai.v32i1.11671" TargetMode="External"/><Relationship Id="rId112" Type="http://schemas.openxmlformats.org/officeDocument/2006/relationships/hyperlink" Target="https://doi.org/10.64898/2026.06.01.729423" TargetMode="External"/><Relationship Id="rId109" Type="http://schemas.openxmlformats.org/officeDocument/2006/relationships/hyperlink" Target="https://doi.org/10.65215/LTSpreprints.2026.04.14.000185" TargetMode="External"/><Relationship Id="rId114" Type="http://schemas.openxmlformats.org/officeDocument/2006/relationships/hyperlink" Target="https://openreview.net/forum?id=kKF8_K-mBbS" TargetMode="External"/><Relationship Id="rId135"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2026-10-29T11:16:38Z</dcterms:created>
  <dcterms:modified xsi:type="dcterms:W3CDTF">2026-10-29T11:16:38Z</dcterms:modified>
</cp:coreProperties>
</file>

<file path=docProps/custom.xml><?xml version="1.0" encoding="utf-8"?>
<Properties xmlns="http://schemas.openxmlformats.org/officeDocument/2006/custom-properties" xmlns:vt="http://schemas.openxmlformats.org/officeDocument/2006/docPropsVTypes"/>
</file>