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ascii="Times New Roman" w:hAnsi="Times New Roman"/>
          <w:sz w:val="24"/>
        </w:rP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of 0.541, increasing to 0.663 with deposited receptor structures. Both exceeded the score of 0.255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1.81 Å to 1.21 Å. In end-to-end blind evaluation without deposited receptor structures as input, LigandSeek achieved a success rate of 67.5% across 77 PDB entries. With deposited receptor structures, this rate increased to 71.4%. LigandSeek provides an efficient, fully automated workflow from continuous three-dimensional cryo-EM density maps to all-atom ligand poses.</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ascii="Times New Roman" w:hAnsi="Times New Roman"/>
          <w:sz w:val="24"/>
        </w:rPr>
        <w:t xml:space="preserve">Single-particle cryo-electron microscopy (cryo-EM) has become an important method for determining the three-dimensional structures of macromolecular complexes</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 Deep learning tools such as 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 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ascii="Times New Roman" w:hAnsi="Times New Roman"/>
          <w:sz w:val="24"/>
        </w:rPr>
        <w:t xml:space="preserve">and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ascii="Times New Roman" w:hAnsi="Times New Roman"/>
          <w:sz w:val="24"/>
        </w:rP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rFonts w:ascii="Times New Roman" w:hAnsi="Times New Roman"/>
          <w:sz w:val="24"/>
          <w:vertAlign w:val="superscript"/>
        </w:rPr>
        <w:t xml:space="preserve">6</w:t>
      </w:r>
      <w:r>
        <w:rPr>
          <w:rFonts w:ascii="Times New Roman" w:hAnsi="Times New Roman"/>
          <w:sz w:val="24"/>
        </w:rP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480" w:lineRule="auto" w:after="120"/>
        <w:ind w:firstLine="480"/>
      </w:pPr>
      <w:r>
        <w:rPr>
          <w:rFonts w:ascii="Times New Roman" w:hAnsi="Times New Roman"/>
          <w:sz w:val="24"/>
        </w:rP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rFonts w:ascii="Times New Roman" w:hAnsi="Times New Roman"/>
          <w:sz w:val="24"/>
          <w:vertAlign w:val="superscript"/>
        </w:rPr>
        <w:t xml:space="preserve">7</w:t>
      </w:r>
      <w:r>
        <w:rPr>
          <w:rFonts w:ascii="Times New Roman" w:hAnsi="Times New Roman"/>
          <w:sz w:val="24"/>
        </w:rP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480" w:lineRule="auto" w:after="120"/>
        <w:ind w:firstLine="480"/>
      </w:pPr>
      <w:r>
        <w:rPr>
          <w:rFonts w:ascii="Times New Roman" w:hAnsi="Times New Roman"/>
          <w:sz w:val="24"/>
        </w:rPr>
        <w:t xml:space="preserve">The second is chemical identity matching, the Match bottleneck. Even after a ligand region is located, associating it with the correct chemical identity remains a major challenge. Although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ascii="Times New Roman" w:hAnsi="Times New Roman"/>
          <w:sz w:val="24"/>
        </w:rPr>
        <w:t xml:space="preserve">provides identity matching by docking candidate ligands individually and inferring their identities from the resulting scores. Its computational complexity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is the number of candidate sites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480" w:lineRule="auto" w:after="120"/>
        <w:ind w:firstLine="480"/>
      </w:pPr>
      <w:r>
        <w:rPr>
          <w:rFonts w:ascii="Times New Roman" w:hAnsi="Times New Roman"/>
          <w:sz w:val="24"/>
        </w:rPr>
        <w:t xml:space="preserve">The third is pose reconstruction, the Build bottleneck. After the binding region and chemical identity have been determined, generative docking models such as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ascii="Times New Roman" w:hAnsi="Times New Roman"/>
          <w:sz w:val="24"/>
        </w:rPr>
        <w:t xml:space="preserve">and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ascii="Times New Roman" w:hAnsi="Times New Roman"/>
          <w:sz w:val="24"/>
        </w:rPr>
        <w:t xml:space="preserve">usually rely primarily on receptor structures, failing to exploit experimental density to guide pose generation. Conversely, density-only deep learning tools such as Emap2lig-Build</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rFonts w:ascii="Times New Roman" w:hAnsi="Times New Roman"/>
          <w:sz w:val="24"/>
          <w:vertAlign w:val="superscript"/>
        </w:rPr>
        <w:t xml:space="preserve">11,12,13</w:t>
      </w:r>
      <w:r>
        <w:rPr>
          <w:rFonts w:ascii="Times New Roman" w:hAnsi="Times New Roman"/>
          <w:sz w:val="24"/>
        </w:rPr>
        <w:t xml:space="preserve">. However, they are computationally slow and remain disconnected from upstream localisation and identity matching.</w:t>
      </w:r>
    </w:p>
    <w:p>
      <w:pPr>
        <w:pStyle w:val="BodyText"/>
        <w:spacing w:line="480" w:lineRule="auto" w:after="120"/>
        <w:ind w:firstLine="480"/>
      </w:pPr>
      <w:r>
        <w:rPr>
          <w:rFonts w:ascii="Times New Roman" w:hAnsi="Times New Roman"/>
          <w:sz w:val="24"/>
        </w:rPr>
        <w:t xml:space="preserve">To address these bottlenecks and unify localisation, matching and pose reconstruction, we developed LigandSeek, an automated end-to-end framework based on joint density and receptor modelling</w:t>
      </w:r>
      <w:r>
        <w:rPr>
          <w:rFonts w:ascii="Times New Roman" w:hAnsi="Times New Roman"/>
          <w:sz w:val="24"/>
        </w:rPr>
        <w:t xml:space="preserve"> </w:t>
      </w:r>
      <w:r>
        <w:rPr>
          <w:rFonts w:ascii="Times New Roman" w:hAnsi="Times New Roman"/>
          <w:sz w:val="24"/>
        </w:rPr>
        <w:t xml:space="preserve">(</w:t>
      </w:r>
      <w:r>
        <w:rPr>
          <w:rStyle w:val="MDFIGREF_eJyrrk7LTC9KTbMCUrr5ZalFZZmp5fFlRjogfm5qSUZ-im6ZSW0tAEGtD2Y"/>
          <w:rFonts w:ascii="Times New Roman" w:hAnsi="Times New Roman"/>
          <w:sz w:val="24"/>
        </w:rPr>
        <w:t xml:space="preserve">Figs. 1–2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480" w:lineRule="auto" w:after="120"/>
        <w:ind w:firstLine="480"/>
      </w:pPr>
      <w:r>
        <w:rPr>
          <w:rFonts w:ascii="Times New Roman" w:hAnsi="Times New Roman"/>
          <w:sz w:val="24"/>
        </w:rPr>
        <w:t xml:space="preserve">LigandSeek follows a three-stage Find–Match–Build workflow:</w:t>
      </w:r>
    </w:p>
    <w:p>
      <w:pPr>
        <w:pStyle w:val="Compact"/>
        <w:numPr>
          <w:ilvl w:val="0"/>
          <w:numId w:val="1001"/>
        </w:numPr>
        <w:spacing w:line="480" w:lineRule="auto"/>
      </w:pPr>
      <w:r>
        <w:rPr>
          <w:rFonts w:ascii="Times New Roman" w:hAnsi="Times New Roman"/>
          <w:sz w:val="24"/>
        </w:rP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480" w:lineRule="auto"/>
      </w:pPr>
      <w:r>
        <w:rPr>
          <w:rFonts w:ascii="Times New Roman" w:hAnsi="Times New Roman"/>
          <w:sz w:val="24"/>
        </w:rP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480" w:lineRule="auto"/>
      </w:pPr>
      <w:r>
        <w:rPr>
          <w:rFonts w:ascii="Times New Roman" w:hAnsi="Times New Roman"/>
          <w:sz w:val="24"/>
        </w:rP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480" w:lineRule="auto" w:after="120"/>
        <w:ind w:firstLine="480"/>
      </w:pPr>
      <w:r>
        <w:rPr>
          <w:rFonts w:ascii="Times New Roman" w:hAnsi="Times New Roman"/>
          <w:sz w:val="24"/>
        </w:rP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of 0.541, compared with 0.255 for Emap2lig-Find. Match achieved 86.6% overall matching accuracy, with a mean matching time of 0.09 s per candidate region, substantially faster than conventional reverse docking. Build reduced the median root-mean-square deviation (RMSD) of top-1 poses from 1.81 Å with the official model to 1.21 Å. In end-to-end blind evaluation across 77 complexes containing organic small molecules, LigandSeek achieved an all-atom modelling success rate of 67.5% (top-1 RMSD &lt; 3 Å). LigandSeek connects ligand localisation, identity matching and pose reconstruction to generate accurate all-atom ligand poses from cryo-EM density maps. It provides a new tool for drug discovery and high-throughput cryo-EM screening.</w:t>
      </w:r>
    </w:p>
    <w:bookmarkEnd w:id="10"/>
    <w:bookmarkStart w:id="17"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240" w:lineRule="auto" w:before="0" w:after="0"/>
        <w:ind w:firstLine="0"/>
        <w:jc w:val="center"/>
      </w:pPr>
      <w:r>
        <w:rPr>
          <w:rFonts w:ascii="Times New Roman" w:hAnsi="Times New Roman"/>
          <w:sz w:val="24"/>
        </w:rPr>
        <w:drawing>
          <wp:inline>
            <wp:extent cx="5733415" cy="1941878"/>
            <wp:effectExtent b="0" l="0" r="0" t="0"/>
            <wp:docPr descr="Fig. 1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 title="MDPPTFIG_eJzVVs1uGzcQfhVCpwSItJJsNfY2NWDLcRHADgw7PXULg-KOJNZckiAprZSmQG5tDz216KUP0J76AA3QvkuBJn6MzpCrH9c-BC16qAGZQ3L4zTc_5OwXLcvDtJWz1rvv3_z542_Z29dvbn76GqWOtWHResRaDrxRcyhJaZgXxScenC-K3mC_t18Ux-Cvg7FFcfPLr29_-Orm22_e_fx7USS0orgLp3kFBDWWk7aZg5tLqK_mfdoS3AZp9FXF3fXMotKnrSd1btmiUtrn9UdFaxqCzbPMiylU3HeMBY2bY-MqHnDqJlltXGmdEeC91JNKZf1u94Os4lIXrQNCO3dxuAxLBazO51wh7rOKT2CYzJNettIg3WsAeyo1-Li-Natzb7lAM4ijcAmB-rvdotVML2aKlvgsmAazUaeTUpeoNpbOh9N0tNso4U4ikJimf418YnTweI57ISWeeSEr8Ow51OzCVFxH09ND7e_di6gJgsBGcT6K4jD5Fkek-XIdmP7uivrLdDwRCZST6A4xt1gimEhA1RM56bAee8UO0WtMCpQMdNkOpo0DO0Hf_nj93RkPYorj0UwqjIJx12NlaoZpZA6E0T64mQgUVyUnHM9Z49GVsTMVE25p2k_PWMkD7xCjkHj9p6H6FwFh_wOOL6bApLYz5MIdMK4ZLCw4NKgDV5uQAzIJS1ZxyygrIMMUHOO4gQmSlGtMH9iAeUwpnCGaIY171nkqECm4UohpSlAKEUZLNkR7h7jZ78SCYcoILCTPBBqVmHdYlYWDCd5Xzx6MlBl5dtSjmho8ZFw44z1DdtucOyzWHRtLFfAFY2OuPLQjczkHhvEopQgRkMA5PiATlDGkstyyvTIazIqGRCMBQZDiAwcxrjokVy7Pnp0-vXzIagyV1JGRx_ePnR8f4b0Ibvkhso7mjvpMKjXD-JCRUBtWSo93QARGofUNH4RdgzR2l49YjXkAjhEYsDUBH8P-OQii8nf6HZbunjDViN6yCNpEADaBjTcu5oAciEoVxRBuOR21UmwxKBPQkHyYOoB2SVXkEQ0L6dZtntH7nJwBlVhWBoWZ4o6VRlzHbWPU7VtOD-NB6zPsFusu0Ro83tnZ7Q0Wvf3d3t7jvVdPrBQ5_prGwd-rcZSO13c6RoOAWP8EA49Rqa9h3HuBmPFYCjg2Ykb3LyE5UDyW5lRaT5ebPNTzcynoatNEPJ-fY9zAC7IyzLPYprPYpbOmSWfbPToLUFl0U8_wiLThChsykvVX41F3D5YAWVq46tJfr2P1BB2RJaL3dlCiPo7y-cpHTM2ax4ZSIsgpgqeYU8-0GU65nsChcwbLlpeeAAlvteEtVkNaRMzN0S0DCTW7E4SRkvYErxFZJDmeTwLP8WoB1iiJ-ASoC7QS929N1krZbTyaeezIbFSf4VO11dZ5vhi7ikZMHFukRs6W64Ye12kbFoEJ2m_KFbUEqTVV2yijVhxXoBY_ED4GvGAkoDa-pCGZ5fNTn3Q30kqb9rVJ1LONyHOlGX1H7Q_6g4Ryrxbl5Wn8DNmSeR64VKvlbVnpJl7ervOCv4PWl38BGhmuNA" id="12" name="Picture"/>
            <a:graphic>
              <a:graphicData uri="http://schemas.openxmlformats.org/drawingml/2006/picture">
                <pic:pic>
                  <pic:nvPicPr>
                    <pic:cNvPr descr="C:/Users/15919/Desktop/论文草稿/temp/manuscript_figures_fb08eyee/figure_000001.png" id="13" name="Picture"/>
                    <pic:cNvPicPr>
                      <a:picLocks noChangeArrowheads="1" noChangeAspect="1"/>
                    </pic:cNvPicPr>
                  </pic:nvPicPr>
                  <pic:blipFill>
                    <a:blip r:embed="rId11"/>
                    <a:stretch>
                      <a:fillRect/>
                    </a:stretch>
                  </pic:blipFill>
                  <pic:spPr bwMode="auto">
                    <a:xfrm>
                      <a:off x="0" y="0"/>
                      <a:ext cx="5733415" cy="19418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 | Automated end-to-end Find–Match–Build workflow for reconstructing ligand poses from cryo-EM data.</w:t>
      </w:r>
      <w:r>
        <w:rPr>
          <w:rFonts w:ascii="Times New Roman" w:hAnsi="Times New Roman"/>
          <w:sz w:val="24"/>
        </w:rPr>
        <w:t xml:space="preserve"> </w:t>
      </w:r>
      <w:r>
        <w:rPr>
          <w:rFonts w:ascii="Times New Roman" w:hAnsi="Times New Roman"/>
          <w:sz w:val="24"/>
        </w:rPr>
        <w:t xml:space="preserve">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w:t>
      </w:r>
    </w:p>
    <w:p>
      <w:pPr>
        <w:pStyle w:val="BodyText"/>
        <w:spacing w:line="480" w:lineRule="auto" w:after="120"/>
        <w:ind w:firstLine="480"/>
      </w:pPr>
      <w:r>
        <w:rPr>
          <w:rFonts w:ascii="Times New Roman" w:hAnsi="Times New Roman"/>
          <w:sz w:val="24"/>
        </w:rPr>
        <w:t xml:space="preserve">LigandSeek takes protein and nucleic acid receptor structures, either deposited or automatically modelled by CryoAtom2, together with three-dimensional cryo-EM density maps.</w:t>
      </w:r>
    </w:p>
    <w:p>
      <w:pPr>
        <w:pStyle w:val="BodyText"/>
        <w:spacing w:line="480" w:lineRule="auto" w:after="120"/>
        <w:ind w:firstLine="480"/>
      </w:pPr>
      <w:r>
        <w:rPr>
          <w:rFonts w:ascii="Times New Roman" w:hAnsi="Times New Roman"/>
          <w:sz w:val="24"/>
        </w:rPr>
        <w:t xml:space="preserve">We represent protein and nucleic acid receptors uniformly as</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is the number of receptor atoms, and</w:t>
      </w:r>
      <w:r>
        <w:rPr>
          <w:rFonts w:ascii="Times New Roman" w:hAnsi="Times New Roman"/>
          <w:sz w:val="24"/>
        </w:rPr>
        <w:t xml:space="preserve"> </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is the spatial position of atom</w:t>
      </w:r>
      <w:r>
        <w:rPr>
          <w:rFonts w:ascii="Times New Roman" w:hAnsi="Times New Roman"/>
          <w:sz w:val="24"/>
        </w:rPr>
        <w:t xml:space="preserve"> </w:t>
      </w:r>
      <m:oMath>
        <m:r>
          <m:t>i</m:t>
        </m:r>
      </m:oMath>
      <w:r>
        <w:rPr>
          <w:rFonts w:ascii="Times New Roman" w:hAnsi="Times New Roman"/>
          <w:sz w:val="24"/>
        </w:rPr>
        <w:t xml:space="preserve">. The representation</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ascii="Times New Roman" w:hAnsi="Times New Roman"/>
          <w:sz w:val="24"/>
        </w:rPr>
        <w:t xml:space="preserve">encodes the atom’s attributes, such as its element type and amino acid or nucleotide type. These attributes are represented by a 50-dimensional feature vector for each receptor atom.</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denote the voxelised three-dimensional cryo-EM density map. The receptor structure yields a simulated density map</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of the same dimensions. From</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we construct a 56-channel multi-view density bank</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Style w:val="MDFIGREF_eJyrrk7LTC9KTbMCUrr5ZalFZZmp5fFlRrW1AI3eCn8"/>
          <w:rFonts w:ascii="Times New Roman" w:hAnsi="Times New Roman"/>
          <w:sz w:val="24"/>
        </w:rPr>
        <w:t xml:space="preserve">Fig. 1</w:t>
      </w:r>
      <w:r>
        <w:rPr>
          <w:rFonts w:ascii="Times New Roman" w:hAnsi="Times New Roman"/>
          <w:sz w:val="24"/>
        </w:rPr>
        <w:t xml:space="preserve"> </w:t>
      </w:r>
      <w:r>
        <w:rPr>
          <w:rFonts w:ascii="Times New Roman" w:hAnsi="Times New Roman"/>
          <w:sz w:val="24"/>
        </w:rPr>
        <w:t xml:space="preserve">shows the model inputs, outputs and overall workflow. LigandSeek reconstructs ligand poses end to end through three stages: Find, Match and Build. The 50-dimensional receptor-atom features and the multi-view density bank are the main inputs shared by all three stages.</w:t>
      </w:r>
      <w:r>
        <w:rPr>
          <w:rFonts w:ascii="Times New Roman" w:hAnsi="Times New Roman"/>
          <w:sz w:val="24"/>
        </w:rPr>
        <w:t xml:space="preserve"> </w:t>
      </w:r>
      <w:r>
        <w:rPr>
          <w:rStyle w:val="MDFIGREF_eJyrrk7LTC9KTbMCUrq5qSUZ-Sm6ZSa1tQB3QQlZ"/>
          <w:rFonts w:ascii="Times New Roman" w:hAnsi="Times New Roman"/>
          <w:sz w:val="24"/>
        </w:rPr>
        <w:t xml:space="preserve">Fig. 2</w:t>
      </w:r>
      <w:r>
        <w:rPr>
          <w:rFonts w:ascii="Times New Roman" w:hAnsi="Times New Roman"/>
          <w:sz w:val="24"/>
        </w:rPr>
        <w:t xml:space="preserve"> </w:t>
      </w:r>
      <w:r>
        <w:rPr>
          <w:rFonts w:ascii="Times New Roman" w:hAnsi="Times New Roman"/>
          <w:sz w:val="24"/>
        </w:rPr>
        <w:t xml:space="preserve">shows the overall network architecture, with further details provided in Methods.</w:t>
      </w:r>
    </w:p>
    <w:p>
      <w:pPr>
        <w:pStyle w:val="BodyText"/>
        <w:spacing w:line="480" w:lineRule="auto" w:after="120"/>
        <w:ind w:firstLine="480"/>
      </w:pPr>
      <w:r>
        <w:rPr>
          <w:rFonts w:ascii="Times New Roman" w:hAnsi="Times New Roman"/>
          <w:sz w:val="24"/>
        </w:rPr>
        <w:t xml:space="preserve">Find combines receptor information and experimental density information to predict ligand regions. It produces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ascii="Times New Roman" w:hAnsi="Times New Roman"/>
          <w:sz w:val="24"/>
        </w:rPr>
        <w:t xml:space="preserve">Each</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a 26-connected region in the three-dimensional voxel grid.</w:t>
      </w:r>
    </w:p>
    <w:p>
      <w:pPr>
        <w:pStyle w:val="BodyText"/>
        <w:spacing w:line="480" w:lineRule="auto" w:after="120"/>
        <w:ind w:firstLine="480"/>
      </w:pPr>
      <w:r>
        <w:rPr>
          <w:rFonts w:ascii="Times New Roman" w:hAnsi="Times New Roman"/>
          <w:sz w:val="24"/>
        </w:rPr>
        <w:t xml:space="preserve">Match uses the density bank</w:t>
      </w:r>
      <w:r>
        <w:rPr>
          <w:rFonts w:ascii="Times New Roman" w:hAnsi="Times New Roman"/>
          <w:sz w:val="24"/>
        </w:rPr>
        <w:t xml:space="preserve"> </w:t>
      </w:r>
      <m:oMath>
        <m:r>
          <m:t>M</m:t>
        </m:r>
      </m:oMath>
      <w:r>
        <w:rPr>
          <w:rFonts w:ascii="Times New Roman" w:hAnsi="Times New Roman"/>
          <w:sz w:val="24"/>
        </w:rPr>
        <w:t xml:space="preserve">, the receptor pocket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surrounding each blob and auxiliary features from Find (</w:t>
      </w:r>
      <m:oMath>
        <m:r>
          <m:rPr>
            <m:sty m:val="p"/>
          </m:rPr>
          <m:t>A</m:t>
        </m:r>
        <m:r>
          <m:rPr>
            <m:sty m:val="p"/>
          </m:rPr>
          <m:t>U</m:t>
        </m:r>
        <m:r>
          <m:rPr>
            <m:sty m:val="p"/>
          </m:rPr>
          <m:t>X</m:t>
        </m:r>
      </m:oMath>
      <w:r>
        <w:rPr>
          <w:rFonts w:ascii="Times New Roman" w:hAnsi="Times New Roman"/>
          <w:sz w:val="24"/>
        </w:rPr>
        <w:t xml:space="preserve">) to associate the predicted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with user-provided ligand identities</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in the PDB entry. Here,</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denotes the number of ligand identities present in that complex. Specifically, it determines whether each blob is a false-positive Find prediction and, if not, identifies its corresponding ligand identity:</w:t>
      </w:r>
    </w:p>
    <w:p>
      <w:pPr>
        <w:pStyle w:val="BodyText"/>
        <w:keepLines/>
        <w:spacing w:line="240" w:lineRule="auto" w:before="180" w:after="220"/>
        <w:ind w:firstLine="0"/>
        <w:jc w:val="center"/>
      </w:pPr>
      <m:oMathPara>
        <m:oMathParaPr>
          <m:jc m:val="center"/>
        </m:oMathParaPr>
        <m:oMath>
          <m:eqArr>
            <m:e>
              <m:r>
                <w:rPr>
                  <w:sz w:val="20"/>
                </w:rPr>
                <m:rPr>
                  <m:sty m:val="bi"/>
                </m:rPr>
                <m:t>M</m:t>
              </m:r>
              <m:r>
                <w:rPr>
                  <w:sz w:val="20"/>
                </w:rPr>
                <m:rPr>
                  <m:sty m:val="bi"/>
                </m:rPr>
                <m:t>a</m:t>
              </m:r>
              <m:r>
                <w:rPr>
                  <w:sz w:val="20"/>
                </w:rPr>
                <m:rPr>
                  <m:sty m:val="bi"/>
                </m:rPr>
                <m:t>t</m:t>
              </m:r>
              <m:r>
                <w:rPr>
                  <w:sz w:val="20"/>
                </w:rPr>
                <m:rPr>
                  <m:sty m:val="bi"/>
                </m:rPr>
                <m:t>c</m:t>
              </m:r>
              <m:r>
                <w:rPr>
                  <w:sz w:val="20"/>
                </w:rPr>
                <m:rPr>
                  <m:sty m:val="bi"/>
                </m:rPr>
                <m:t>h</m:t>
              </m:r>
              <m:r>
                <w:rPr>
                  <w:sz w:val="20"/>
                </w:rPr>
                <m:rPr>
                  <m:sty m:val="p"/>
                </m:rPr>
                <m:t>(</m:t>
              </m:r>
              <m:r>
                <w:rPr>
                  <w:sz w:val="20"/>
                </w:rPr>
                <m:t>M</m:t>
              </m:r>
              <m:r>
                <w:rPr>
                  <w:sz w:val="20"/>
                </w:rPr>
                <m:rPr>
                  <m:sty m:val="p"/>
                </m:rPr>
                <m:t>,</m:t>
              </m:r>
              <m:r>
                <w:rPr>
                  <w:sz w:val="20"/>
                </w:rPr>
                <m:t>A</m:t>
              </m:r>
              <m:r>
                <w:rPr>
                  <w:sz w:val="20"/>
                </w:rPr>
                <m:rPr>
                  <m:sty m:val="p"/>
                </m:rPr>
                <m:t>,</m:t>
              </m:r>
              <m:r>
                <w:rPr>
                  <w:sz w:val="20"/>
                </w:rPr>
                <m:t>A</m:t>
              </m:r>
              <m:r>
                <w:rPr>
                  <w:sz w:val="20"/>
                </w:rPr>
                <m:t>U</m:t>
              </m:r>
              <m:r>
                <w:rPr>
                  <w:sz w:val="20"/>
                </w:rPr>
                <m:t>X</m:t>
              </m:r>
              <m:r>
                <w:rPr>
                  <w:sz w:val="20"/>
                </w:rPr>
                <m:rPr>
                  <m:sty m:val="p"/>
                </m:rPr>
                <m:t>;</m:t>
              </m:r>
              <m:sSub>
                <m:e>
                  <m:r>
                    <w:rPr>
                      <w:sz w:val="20"/>
                    </w:rPr>
                    <m:t>B</m:t>
                  </m:r>
                </m:e>
                <m:sub>
                  <m:r>
                    <w:rPr>
                      <w:sz w:val="20"/>
                    </w:rPr>
                    <m:t>j</m:t>
                  </m:r>
                </m:sub>
              </m:sSub>
              <m:r>
                <w:rPr>
                  <w:sz w:val="20"/>
                </w:rPr>
                <m:rPr>
                  <m:sty m:val="p"/>
                </m:rPr>
                <m:t>,</m:t>
              </m:r>
              <m:r>
                <w:rPr>
                  <w:sz w:val="20"/>
                </w:rPr>
                <m:rPr>
                  <m:sty m:val="p"/>
                </m:rPr>
                <m:t>{</m:t>
              </m:r>
              <m:sSub>
                <m:e>
                  <m:r>
                    <w:rPr>
                      <w:sz w:val="20"/>
                    </w:rPr>
                    <m:t>S</m:t>
                  </m:r>
                </m:e>
                <m:sub>
                  <m:r>
                    <w:rPr>
                      <w:sz w:val="20"/>
                    </w:rPr>
                    <m:t>k</m:t>
                  </m:r>
                </m:sub>
              </m:sSub>
              <m:sSubSup>
                <m:e>
                  <m:r>
                    <w:rPr>
                      <w:sz w:val="20"/>
                    </w:rPr>
                    <m:rPr>
                      <m:sty m:val="p"/>
                    </m:rPr>
                    <m:t>}</m:t>
                  </m:r>
                </m:e>
                <m:sub>
                  <m:r>
                    <w:rPr>
                      <w:sz w:val="20"/>
                    </w:rPr>
                    <m:t>k</m:t>
                  </m:r>
                  <m:r>
                    <w:rPr>
                      <w:sz w:val="20"/>
                    </w:rPr>
                    <m:rPr>
                      <m:sty m:val="p"/>
                    </m:rPr>
                    <m:t>=</m:t>
                  </m:r>
                  <m:r>
                    <w:rPr>
                      <w:sz w:val="20"/>
                    </w:rPr>
                    <m:t>1</m:t>
                  </m:r>
                </m:sub>
                <m:sup>
                  <m:r>
                    <w:rPr>
                      <w:sz w:val="20"/>
                    </w:rPr>
                    <m:t>K</m:t>
                  </m:r>
                </m:sup>
              </m:sSubSup>
              <m:r>
                <w:rPr>
                  <w:sz w:val="20"/>
                </w:rPr>
                <m:rPr>
                  <m:sty m:val="p"/>
                </m:rPr>
                <m:t>)</m:t>
              </m:r>
              <m:r>
                <w:rPr>
                  <w:sz w:val="20"/>
                </w:rPr>
                <m:t>&amp;</m:t>
              </m:r>
              <m:r>
                <w:rPr>
                  <w:sz w:val="20"/>
                </w:rPr>
                <m:rPr>
                  <m:sty m:val="p"/>
                </m:rPr>
                <m:t>=</m:t>
              </m:r>
              <m:d>
                <m:dPr>
                  <m:begChr m:val="{"/>
                  <m:sepChr m:val=""/>
                  <m:endChr m:val=""/>
                  <m:grow/>
                </m:dPr>
                <m:e>
                  <m:m>
                    <m:mPr>
                      <m:baseJc m:val="center"/>
                      <m:plcHide m:val="on"/>
                      <m:mcs>
                        <m:mc>
                          <m:mcPr>
                            <m:mcJc m:val="left"/>
                            <m:count m:val="1"/>
                          </m:mcPr>
                        </m:mc>
                        <m:mc>
                          <m:mcPr>
                            <m:mcJc m:val="left"/>
                            <m:count m:val="1"/>
                          </m:mcPr>
                        </m:mc>
                      </m:mcs>
                    </m:mPr>
                    <m:mr>
                      <m:e>
                        <m:r>
                          <w:rPr>
                            <w:sz w:val="20"/>
                          </w:rPr>
                          <m:rPr>
                            <m:sty m:val="p"/>
                          </m:rPr>
                          <m:t>(</m:t>
                        </m:r>
                        <m:r>
                          <w:rPr>
                            <w:sz w:val="20"/>
                          </w:rPr>
                          <m:t>1</m:t>
                        </m:r>
                        <m:r>
                          <w:rPr>
                            <w:sz w:val="20"/>
                          </w:rPr>
                          <m:rPr>
                            <m:sty m:val="p"/>
                          </m:rPr>
                          <m:t>,</m:t>
                        </m:r>
                        <m:sSub>
                          <m:e>
                            <m:r>
                              <w:rPr>
                                <w:sz w:val="20"/>
                              </w:rPr>
                              <m:t>S</m:t>
                            </m:r>
                          </m:e>
                          <m:sub>
                            <m:r>
                              <w:rPr>
                                <w:sz w:val="20"/>
                              </w:rPr>
                              <m:t>k</m:t>
                            </m:r>
                          </m:sub>
                        </m:sSub>
                        <m:r>
                          <w:rPr>
                            <w:sz w:val="20"/>
                          </w:rPr>
                          <m:rPr>
                            <m:sty m:val="p"/>
                          </m:rPr>
                          <m:t>)</m:t>
                        </m:r>
                        <m:r>
                          <w:rPr>
                            <w:sz w:val="20"/>
                          </w:rPr>
                          <m:rPr>
                            <m:sty m:val="p"/>
                          </m:rPr>
                          <m:t>,</m:t>
                        </m:r>
                      </m:e>
                      <m:e>
                        <m:eqArr>
                          <m:e>
                            <m:r>
                              <w:rPr>
                                <w:sz w:val="20"/>
                              </w:rPr>
                              <m:t>&amp;</m:t>
                            </m:r>
                            <m:r>
                              <w:rPr>
                                <w:sz w:val="20"/>
                              </w:rPr>
                              <m:rPr>
                                <m:nor/>
                                <m:sty m:val="p"/>
                              </m:rPr>
                              <m:t>if </m:t>
                            </m:r>
                            <m:sSub>
                              <m:e>
                                <m:r>
                                  <w:rPr>
                                    <w:sz w:val="20"/>
                                  </w:rPr>
                                  <m:t>B</m:t>
                                </m:r>
                              </m:e>
                              <m:sub>
                                <m:r>
                                  <w:rPr>
                                    <w:sz w:val="20"/>
                                  </w:rPr>
                                  <m:t>j</m:t>
                                </m:r>
                              </m:sub>
                            </m:sSub>
                            <m:r>
                              <w:rPr>
                                <w:sz w:val="20"/>
                              </w:rPr>
                              <m:rPr>
                                <m:nor/>
                                <m:sty m:val="p"/>
                              </m:rPr>
                              <m:t> is not a false positive and corresponds to ligand identity </m:t>
                            </m:r>
                            <m:sSub>
                              <m:e>
                                <m:r>
                                  <w:rPr>
                                    <w:sz w:val="20"/>
                                  </w:rPr>
                                  <m:t>S</m:t>
                                </m:r>
                              </m:e>
                              <m:sub>
                                <m:r>
                                  <w:rPr>
                                    <w:sz w:val="20"/>
                                  </w:rPr>
                                  <m:t>k</m:t>
                                </m:r>
                              </m:sub>
                            </m:sSub>
                          </m:e>
                        </m:eqArr>
                      </m:e>
                    </m:mr>
                    <m:mr>
                      <m:e>
                        <m:r>
                          <w:rPr>
                            <w:sz w:val="20"/>
                          </w:rPr>
                          <m:rPr>
                            <m:sty m:val="p"/>
                          </m:rPr>
                          <m:t>(</m:t>
                        </m:r>
                        <m:r>
                          <w:rPr>
                            <w:sz w:val="20"/>
                          </w:rPr>
                          <m:t>0</m:t>
                        </m:r>
                        <m:r>
                          <w:rPr>
                            <w:sz w:val="20"/>
                          </w:rPr>
                          <m:rPr>
                            <m:sty m:val="p"/>
                          </m:rPr>
                          <m:t>,</m:t>
                        </m:r>
                        <m:r>
                          <w:rPr>
                            <w:sz w:val="20"/>
                          </w:rPr>
                          <m:rPr>
                            <m:sty m:val="p"/>
                          </m:rPr>
                          <m:t>∅</m:t>
                        </m:r>
                        <m:r>
                          <w:rPr>
                            <w:sz w:val="20"/>
                          </w:rPr>
                          <m:rPr>
                            <m:sty m:val="p"/>
                          </m:rPr>
                          <m:t>)</m:t>
                        </m:r>
                        <m:r>
                          <w:rPr>
                            <w:sz w:val="20"/>
                          </w:rPr>
                          <m:rPr>
                            <m:sty m:val="p"/>
                          </m:rPr>
                          <m:t>,</m:t>
                        </m:r>
                      </m:e>
                      <m:e>
                        <m:r>
                          <w:rPr>
                            <w:sz w:val="20"/>
                          </w:rPr>
                          <m:rPr>
                            <m:nor/>
                            <m:sty m:val="p"/>
                          </m:rPr>
                          <m:t>if </m:t>
                        </m:r>
                        <m:sSub>
                          <m:e>
                            <m:r>
                              <w:rPr>
                                <w:sz w:val="20"/>
                              </w:rPr>
                              <m:t>B</m:t>
                            </m:r>
                          </m:e>
                          <m:sub>
                            <m:r>
                              <w:rPr>
                                <w:sz w:val="20"/>
                              </w:rPr>
                              <m:t>j</m:t>
                            </m:r>
                          </m:sub>
                        </m:sSub>
                        <m:r>
                          <w:rPr>
                            <w:sz w:val="20"/>
                          </w:rPr>
                          <m:rPr>
                            <m:nor/>
                            <m:sty m:val="p"/>
                          </m:rPr>
                          <m:t> is a false positive</m:t>
                        </m:r>
                      </m:e>
                    </m:mr>
                  </m:m>
                </m:e>
              </m:d>
            </m:e>
          </m:eqArr>
        </m:oMath>
      </m:oMathPara>
    </w:p>
    <w:p>
      <w:pPr>
        <w:pStyle w:val="FirstParagraph"/>
        <w:spacing w:line="480" w:lineRule="auto" w:after="120"/>
        <w:ind w:firstLine="480"/>
      </w:pPr>
      <w:r>
        <w:rPr>
          <w:rFonts w:ascii="Times New Roman" w:hAnsi="Times New Roman"/>
          <w:sz w:val="24"/>
        </w:rPr>
        <w:t xml:space="preserve">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pPr>
        <w:pStyle w:val="BodyText"/>
        <w:spacing w:line="480" w:lineRule="auto" w:after="120"/>
        <w:ind w:firstLine="480"/>
      </w:pPr>
      <w:r>
        <w:rPr>
          <w:rFonts w:ascii="Times New Roman" w:hAnsi="Times New Roman"/>
          <w:sz w:val="24"/>
        </w:rPr>
        <w:t xml:space="preserve">Build takes a specified initial binding site</w:t>
      </w:r>
      <w:r>
        <w:rPr>
          <w:rFonts w:ascii="Times New Roman" w:hAnsi="Times New Roman"/>
          <w:sz w:val="24"/>
        </w:rPr>
        <w:t xml:space="preserve"> </w:t>
      </w:r>
      <m:oMath>
        <m:r>
          <m:t>p</m:t>
        </m:r>
        <m:r>
          <m:rPr>
            <m:sty m:val="p"/>
          </m:rPr>
          <m:t>∈</m:t>
        </m:r>
        <m:sSup>
          <m:e>
            <m:r>
              <m:t>R</m:t>
            </m:r>
          </m:e>
          <m:sup>
            <m:r>
              <m:t>3</m:t>
            </m:r>
          </m:sup>
        </m:sSup>
      </m:oMath>
      <w:r>
        <w:rPr>
          <w:rFonts w:ascii="Times New Roman" w:hAnsi="Times New Roman"/>
          <w:sz w:val="24"/>
        </w:rPr>
        <w:t xml:space="preserve">, a small-molecule identity represented by SMILES and the surrounding pocket environment</w:t>
      </w:r>
      <w:r>
        <w:rPr>
          <w:rFonts w:ascii="Times New Roman" w:hAnsi="Times New Roman"/>
          <w:sz w:val="24"/>
        </w:rPr>
        <w:t xml:space="preserve"> </w:t>
      </w:r>
      <m:oMath>
        <m:r>
          <m:t>P</m:t>
        </m:r>
      </m:oMath>
      <w:r>
        <w:rPr>
          <w:rFonts w:ascii="Times New Roman" w:hAnsi="Times New Roman"/>
          <w:sz w:val="24"/>
        </w:rPr>
        <w:t xml:space="preserve">. It also accepts optional guiding density information</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and generates all-atom coordinates for the small molecule.</w:t>
      </w:r>
    </w:p>
    <w:p>
      <w:pPr>
        <w:pStyle w:val="BodyText"/>
        <w:spacing w:line="480" w:lineRule="auto" w:after="120"/>
        <w:ind w:firstLine="480"/>
      </w:pPr>
      <w:r>
        <w:rPr>
          <w:rFonts w:ascii="Times New Roman" w:hAnsi="Times New Roman"/>
          <w:sz w:val="24"/>
        </w:rPr>
        <w:t xml:space="preserve">We tested the framework on a non-redundant set of 179 PDB entries. To evaluate Find’s localisation performance, we computed semantic and instance-level metrics for each full density map. To evaluate Match’s identity matching and Build’s molecular docking performance, we assessed the relevant ligands from these PDB entries.</w:t>
      </w:r>
    </w:p>
    <w:p>
      <w:pPr>
        <w:pStyle w:val="CaptionedFigure"/>
        <w:keepNext/>
        <w:spacing w:line="240" w:lineRule="auto" w:before="0" w:after="0"/>
        <w:ind w:firstLine="0"/>
        <w:jc w:val="center"/>
      </w:pPr>
      <w:r>
        <w:rPr>
          <w:rFonts w:ascii="Times New Roman" w:hAnsi="Times New Roman"/>
          <w:sz w:val="24"/>
        </w:rPr>
        <w:drawing>
          <wp:inline>
            <wp:extent cx="2856613" cy="3374391"/>
            <wp:effectExtent b="0" l="0" r="0" t="0"/>
            <wp:docPr descr="Fig. 2 | Network architecture and data flow of LigandSeek’s Find–Match–Build framework. a, Shared inputs. Experimental cryo-electron microscopy density M_{\mathrm{exp}}, simulated receptor density M_{\mathrm{sim}}, difference density M_{\mathrm{diff}} and positive difference density M_{\mathrm{diff}}^{+} 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 b, Joint voxel and point-cloud localisation in Find. A 3D U-Net combines density and receptor-atom features to predict voxelwise ligand-region probabilities. In parallel, Point Transformer V3 encodes receptor atoms and pseudo 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 atoms provide local cues for Match. c, Foreground classification and identity assignment in Match. The candidate encoder processes a 48³ grid centred on each blob with a U-Net to generate voxel summary h_j^{\mathrm{vox}}. Find-derived blob, pocket and pseudo atom features modulate h_j^{\mathrm{vox}} via dual pooling, cross-attention and FiLM, yielding candidate representation h_j. The identity encoder uses SMI-TED language embeddings to query GNN-encoded molecular graph features via graph attention, while context attention incorporates other ligand identities in the same PDB entry, yielding identity representation g_k. Finally, a foreground head predicts foreground probability p_j^{\mathrm{fg}} from h_j, and learned cosine scoring between h_j and g_k produces the assignment matrix s_{j,k}. d, Pose reconstruction in Build. The blob geometric centre p, Match-assigned ligand identity and pocket environment are supplied to docking tools to generate ligand poses. The default tool is PocketXMol fine-tuned with density guidance. Vina, DiffDock and EMERALD are also supported." title="MDPPTFIG_eJztW81uHLkRfhViTgkyrdF_7IEtQGtZhheSIFj2IkAmMDjs6m5GbJIh2TMaZwP4FuSQU4IAQV4gp1xyS4AEyKMskN19jFSR3aORfxBHsuSd7BiwppssFqvYXxWrit2_7Fkeqt6Q9b75_d___ad_DI4hVCb_-jXdrFkbLnp91nPgjZpATnSPhqPRCw_Oj0YbO_c37o9GB-DPg7Gj0bd_-dvXf_j1t7_9zTd__udolBiORu_kqHkNxK2QZVZHgmyyTR2C2yCNfllzd95YJPlp78F0aNlFrbQfTh-OelUIdjgYeFFBzf2asaCxszCu5gFvXTmYGpdbZwR4L3VZq8Hm-vruoOZSj3p7xO3UxZ-zMFPApsMJV8j3ac1LeJSmJ7pBR0G05wD2SGrwsX3hbjr0lgucBvkobEJGm9vro157-6xR1MSbYFqeLTmNlDpHskI6H47S0PWWCHuSAEnS9Ke9PjQ6eBzHvZASxzyXNXh2AlP2zNRcx6mrfe3f2Re5JhbEbBzvx_HyUdIt_qKYr-YLs7ndif4qDU-CBHomUR2S3CJGwE0ASQ9lucY22Zc4b8BHcc64E5UMIELjgHFUOueBs0KZKTMFO5Iltp0BnH_1-o-eHaLuX73-3TEPosLfzxqpclY4xAvxWiMBQhLjVlfmBvqzu5LxVp4eX4IV7rOzijvImdS2QaNnjy8sOJxPB66YcDOTgUK8OaNZLYUzXhg7YzmgZGG2BApehVA9NGgOVesD6w_ygaYopIADIxpalc4DhorkqIf-rBnTL9CfOEPYO34wqOOcsWXQdvpEGGmi1NgUZqxuFbNRr9iWRp623OAKt2swuLgpA_umPlGVQaf8oF3V7yoE-szLulE8IMwdCLDBuBWC7xDB_qYAlDdlUC87gnNZFOBAC1gh9w6Rm39y5BYfl8HSQf_OQsCbBHoYiFuDRiknsLLU91nqWWNXxnotY6Ufey1-P3qbn50b_1l7vbL_G8pIdsBCBWzMPbBCgsoxk3qhNdmHkh7jTnIRrzJMnhxkC80OIhtMtqhW4lmjc3ClYR4moBlOFSSmYcFx7ZOxEVUfkzWhmpxKJU94473kSFsbEypsWowVMlNkHYVnPzgwT36I4qmAGR6OJZm6eDjTIMtqbBpXGZMzhAkJ5nG6PrPO5E0szHC2s5uJimsNimFIHWQ2kbiiraND_fX5Gjt1JoDUkb9uhAIpGBdyIfjmwdSeVRzd5c56llO6SVOhqgVwqm14huKbqCG5HCmwi9iVYGoIDhlKPV-QVSXjtisZ4yVY4T773Egd2MRcQAKLpftMKNPkTBlBJhfxgtiJtbE1ts-2DtiL7AQCE6YeUx1yjuUr1kGAvcRmMGgTkEvRzjZFW2YqFt8yByVNgTYz5mOpMCYA9AVPsYU7rhSoPjuNcj7vjBoc-2Ir4R15v2EjUQ8PTW7aBs9rq4DqeChRhTabXU6FBohqkdEkKZKnMM4ah4pjc1qbBdNBr-VMU1bJmD2uEXRqpplwFC6TZvvKVvzQqHwr87HWi3LOBHWzGsgjSF8ziY6FUxCkZthfxOVsFyp6N071I8_G6KjYGNVH0_bkLiIFvLncnS5XlpJxlKwh14kPIbpTJnCNZI7ZffsIOuVZ3kQ3h-omb9hn00qi6HCBDjVOOFZm_I41xhknMocEGiYanBZXjMVC6srZ3LazEUuwwn12iNAr0XYQO0Jx3Ckx_E0mRXBC9OgQvQj2lJpCYvI6CUHsebWI2mT5jrXnLIRxtn3vX39lpcM9U-BQqs8iY-CiipBlU4kWxFvPhYZQgibLg9bAfVPX3K3yjvfmHdV_zTvC3s8_cig-uWluYD5uHXgZk4G1uG9naC24yST3jeGpEedoBm948cvdusbolYq_K3NYmcP_lzksQ248kRwDMQyjrDEqpqcxCMQQL9AW2e6Xh_LouM9mlDnHnG--OV5NkJdA309R876-_S5NGTgFTfOwqouZGgqXzo6fZs8fHzDFddnwEiOqegw5ASmmar9owM3Yk5OTLI3KcUdQIHBPcBhicVtdbhUE1tQ0h2eXNAhUAhOHy46F1ApHYkqD4rQJSCsmpStSx8IQ5lLATg8-YxTNzRaQPtdoBfQPAHr5AUA_X3agY4jDlUKQcMo6uySjAp53ybRf7FhI_1eoeV-E89YbDHcQ4dz4MOAttK8ClNso3jtTL4GYq7jilgo5tGEr4E5jYCCMlxpiXZE25zGEKcBqM_7eomMZ_BfidwmkXEWL31uApuNjOjbDRGihHo4Pz8mLJVDgU2DX_8_O9RoBZv9dDJbeJlYndLd9QrcMGw4ds_t4TG20D64R3cl__AwmlZPiWdrlKyXpqG0JdLtth_S-pPk7bfb9dLqapR0Gg_mrxbhZ-0pIPCsCPZHOpG2IXiig152UTC8V5EhCwX8wRvkrh6stQ4u48glAORS8USHSMukRcsT-J8d4R28_ZKEhQeJpbfdaSdnInGsBa-wLqXmfHciiwOdwHsV7fPz42f7RQZSJK2-iYMYFyK86Nfxr93o_67Pe_OO-3ua9nd3dja2Lra0fb2_d3_jygZViiP9bXPAPwkXu-PStD_1aDsjrOjxwGBVX52zctQHqQKUX4CppPYGDNNSTUykIGnQjTian9GmHFzTLo-Egfl45iF9XDtqPKweL31YOAtQW1dQNDpE2vCxkSZXgl8V4_R7MAAap4eU6_dtcs7pERWSO3Dd28Yo-vsTr005HfDRzOS5FSgJyWsEjfNSeafOo4rqEfefMlCp7nhgSv67DWxAhNSLPy6ELEySug7cWYaykPZRK0Yx0HcenC44xgAO0EroskOYZzhL7r9zMiQZX-dGdt7jC4-mxyRe_xuTDi8LV9IsPjl08jN9fstnD7jvM2E7dVEIX1N_CFakEkbWobYmRKv52TK3z4Qn6aUYXSI1ePaRp-eTIJ9rLq46a-rVJog8uL_lQaUafv97f2dxJXN5JRc_lcfx6dOGaDwOXqmtevFa6XS9v588F_-_1fvUfjAF0lw" id="15" name="Picture"/>
            <a:graphic>
              <a:graphicData uri="http://schemas.openxmlformats.org/drawingml/2006/picture">
                <pic:pic>
                  <pic:nvPicPr>
                    <pic:cNvPr descr="C:/Users/15919/Desktop/论文草稿/temp/manuscript_figures_fb08eyee/figure_000002.png" id="16" name="Picture"/>
                    <pic:cNvPicPr>
                      <a:picLocks noChangeArrowheads="1" noChangeAspect="1"/>
                    </pic:cNvPicPr>
                  </pic:nvPicPr>
                  <pic:blipFill>
                    <a:blip r:embed="rId14"/>
                    <a:stretch>
                      <a:fillRect/>
                    </a:stretch>
                  </pic:blipFill>
                  <pic:spPr bwMode="auto">
                    <a:xfrm>
                      <a:off x="0" y="0"/>
                      <a:ext cx="2856613" cy="337439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Network architecture and data flow of LigandSeek’s Find–Match–Build framework.</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Shared inputs. Experimental cryo-electron microscopy density</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simulated receptor density</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difference density</w:t>
      </w:r>
      <w:r>
        <w:rPr>
          <w:rFonts w:ascii="Times New Roman" w:hAnsi="Times New Roman"/>
          <w:sz w:val="24"/>
        </w:rPr>
        <w:t xml:space="preserve"> </w:t>
      </w:r>
      <m:oMath>
        <m:sSub>
          <m:e>
            <m:r>
              <m:t>M</m:t>
            </m:r>
          </m:e>
          <m:sub>
            <m:r>
              <m:rPr>
                <m:sty m:val="p"/>
              </m:rPr>
              <m:t>d</m:t>
            </m:r>
            <m:r>
              <m:rPr>
                <m:sty m:val="p"/>
              </m:rPr>
              <m:t>i</m:t>
            </m:r>
            <m:r>
              <m:rPr>
                <m:sty m:val="p"/>
              </m:rPr>
              <m:t>f</m:t>
            </m:r>
            <m:r>
              <m:rPr>
                <m:sty m:val="p"/>
              </m:rPr>
              <m:t>f</m:t>
            </m:r>
          </m:sub>
        </m:sSub>
      </m:oMath>
      <w:r>
        <w:rPr>
          <w:rFonts w:ascii="Times New Roman" w:hAnsi="Times New Roman"/>
          <w:sz w:val="24"/>
        </w:rPr>
        <w:t xml:space="preserve"> </w:t>
      </w:r>
      <w:r>
        <w:rPr>
          <w:rFonts w:ascii="Times New Roman" w:hAnsi="Times New Roman"/>
          <w:sz w:val="24"/>
        </w:rPr>
        <w:t xml:space="preserve">and positive difference density</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Times New Roman" w:hAnsi="Times New Roman"/>
          <w:sz w:val="24"/>
        </w:rPr>
        <w:t xml:space="preserve"> </w:t>
      </w:r>
      <w:r>
        <w:rPr>
          <w:rFonts w:ascii="Times New Roman" w:hAnsi="Times New Roman"/>
          <w:sz w:val="24"/>
        </w:rPr>
        <w:t xml:space="preserve">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Joint voxel and point-cloud localisation in Find. A 3D U-Net combines density and receptor-atom features to predict voxelwise ligand-region probabilities. In parallel, Point Transformer V3 encodes receptor atoms and pseudo 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 atoms provide local cues for Match.</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Foreground classification and identity assignment in Match. The candidate encoder processes a 48³ grid centred on each blob with a U-Net to generate voxel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Find-derived blob, pocket and pseudo atom features modulate</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via dual pooling, cross-attention and FiLM, yielding candidate representation</w:t>
      </w:r>
      <w:r>
        <w:rPr>
          <w:rFonts w:ascii="Times New Roman" w:hAnsi="Times New Roman"/>
          <w:sz w:val="24"/>
        </w:rPr>
        <w:t xml:space="preserve"> </w:t>
      </w:r>
      <m:oMath>
        <m:sSub>
          <m:e>
            <m:r>
              <m:t>h</m:t>
            </m:r>
          </m:e>
          <m:sub>
            <m:r>
              <m:t>j</m:t>
            </m:r>
          </m:sub>
        </m:sSub>
      </m:oMath>
      <w:r>
        <w:rPr>
          <w:rFonts w:ascii="Times New Roman" w:hAnsi="Times New Roman"/>
          <w:sz w:val="24"/>
        </w:rPr>
        <w:t xml:space="preserve">. The identity encoder uses SMI-TED language embeddings to query GNN-encoded molecular graph features via graph attention, while context attention incorporates other ligand identities in the same PDB entry, yielding identity representation</w:t>
      </w:r>
      <w:r>
        <w:rPr>
          <w:rFonts w:ascii="Times New Roman" w:hAnsi="Times New Roman"/>
          <w:sz w:val="24"/>
        </w:rPr>
        <w:t xml:space="preserve"> </w:t>
      </w:r>
      <m:oMath>
        <m:sSub>
          <m:e>
            <m:r>
              <m:t>g</m:t>
            </m:r>
          </m:e>
          <m:sub>
            <m:r>
              <m:t>k</m:t>
            </m:r>
          </m:sub>
        </m:sSub>
      </m:oMath>
      <w:r>
        <w:rPr>
          <w:rFonts w:ascii="Times New Roman" w:hAnsi="Times New Roman"/>
          <w:sz w:val="24"/>
        </w:rPr>
        <w:t xml:space="preserve">. Finally, a foreground head predicts foreground probability</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 </w:t>
      </w:r>
      <w:r>
        <w:rPr>
          <w:rFonts w:ascii="Times New Roman" w:hAnsi="Times New Roman"/>
          <w:sz w:val="24"/>
        </w:rPr>
        <w:t xml:space="preserve">from</w:t>
      </w:r>
      <w:r>
        <w:rPr>
          <w:rFonts w:ascii="Times New Roman" w:hAnsi="Times New Roman"/>
          <w:sz w:val="24"/>
        </w:rPr>
        <w:t xml:space="preserve"> </w:t>
      </w:r>
      <m:oMath>
        <m:sSub>
          <m:e>
            <m:r>
              <m:t>h</m:t>
            </m:r>
          </m:e>
          <m:sub>
            <m:r>
              <m:t>j</m:t>
            </m:r>
          </m:sub>
        </m:sSub>
      </m:oMath>
      <w:r>
        <w:rPr>
          <w:rFonts w:ascii="Times New Roman" w:hAnsi="Times New Roman"/>
          <w:sz w:val="24"/>
        </w:rPr>
        <w:t xml:space="preserve">, and learned cosine scoring between</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ascii="Times New Roman" w:hAnsi="Times New Roman"/>
          <w:sz w:val="24"/>
        </w:rPr>
        <w:t xml:space="preserve">produces the assignment matrix</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Pose reconstruction in Build. The blob geometric centre</w:t>
      </w:r>
      <w:r>
        <w:rPr>
          <w:rFonts w:ascii="Times New Roman" w:hAnsi="Times New Roman"/>
          <w:sz w:val="24"/>
        </w:rPr>
        <w:t xml:space="preserve"> </w:t>
      </w:r>
      <m:oMath>
        <m:r>
          <m:t>p</m:t>
        </m:r>
      </m:oMath>
      <w:r>
        <w:rPr>
          <w:rFonts w:ascii="Times New Roman" w:hAnsi="Times New Roman"/>
          <w:sz w:val="24"/>
        </w:rPr>
        <w:t xml:space="preserve">, Match-assigned ligand identity and pocket environment are supplied to docking tools to generate ligand poses. The default tool is PocketXMol fine-tuned with density guidance. Vina, DiffDock and EMERALD are also supported.</w:t>
      </w:r>
    </w:p>
    <w:bookmarkEnd w:id="17"/>
    <w:bookmarkStart w:id="76" w:name="results"/>
    <w:p>
      <w:pPr>
        <w:pStyle w:val="Heading1"/>
        <w:keepNext/>
        <w:spacing w:line="480" w:lineRule="auto"/>
        <w:ind w:firstLine="0"/>
      </w:pPr>
      <w:r>
        <w:rPr>
          <w:rFonts w:ascii="Times New Roman" w:hAnsi="Times New Roman"/>
          <w:sz w:val="24"/>
        </w:rPr>
        <w:t xml:space="preserve">Results</w:t>
      </w:r>
    </w:p>
    <w:bookmarkStart w:id="30" w:name="stage-1"/>
    <w:p>
      <w:pPr>
        <w:pStyle w:val="Heading2"/>
        <w:keepNext/>
        <w:spacing w:line="480" w:lineRule="auto"/>
        <w:ind w:firstLine="0"/>
      </w:pPr>
      <w:r>
        <w:rPr>
          <w:rFonts w:ascii="Times New Roman" w:hAnsi="Times New Roman"/>
          <w:sz w:val="24"/>
        </w:rPr>
        <w:t xml:space="preserve">Stage 1</w:t>
      </w:r>
    </w:p>
    <w:bookmarkStart w:id="18" w:name="stage-1-evaluation-metrics"/>
    <w:p>
      <w:pPr>
        <w:pStyle w:val="Heading3"/>
        <w:keepNext/>
        <w:spacing w:line="480" w:lineRule="auto"/>
        <w:ind w:firstLine="0"/>
      </w:pPr>
      <w:r>
        <w:rPr>
          <w:rFonts w:ascii="Times New Roman" w:hAnsi="Times New Roman"/>
          <w:sz w:val="24"/>
        </w:rPr>
        <w:t xml:space="preserve">Stage 1: Evaluation metrics</w:t>
      </w:r>
    </w:p>
    <w:p>
      <w:pPr>
        <w:pStyle w:val="FirstParagraph"/>
        <w:spacing w:line="480" w:lineRule="auto" w:after="120"/>
        <w:ind w:firstLine="480"/>
      </w:pPr>
      <w:r>
        <w:rPr>
          <w:rFonts w:ascii="Times New Roman" w:hAnsi="Times New Roman"/>
          <w:sz w:val="24"/>
        </w:rPr>
        <w:t xml:space="preserve">For a given PDB structure, let the model predict</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ascii="Times New Roman" w:hAnsi="Times New Roman"/>
          <w:sz w:val="24"/>
        </w:rPr>
        <w:t xml:space="preserve">three-dimensional candidate blobs,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The structure contains</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ascii="Times New Roman" w:hAnsi="Times New Roman"/>
          <w:sz w:val="24"/>
        </w:rPr>
        <w:t xml:space="preserve">ground-truth ligand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where</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denotes the ligand region of instance</w:t>
      </w:r>
      <w:r>
        <w:rPr>
          <w:rFonts w:ascii="Times New Roman" w:hAnsi="Times New Roman"/>
          <w:sz w:val="24"/>
        </w:rPr>
        <w:t xml:space="preserve"> </w:t>
      </w:r>
      <m:oMath>
        <m:r>
          <m:t>j</m:t>
        </m:r>
      </m:oMath>
      <w:r>
        <w:rPr>
          <w:rFonts w:ascii="Times New Roman" w:hAnsi="Times New Roman"/>
          <w:sz w:val="24"/>
        </w:rPr>
        <w:t xml:space="preserve">. We set the bidirectional coverage threshold to</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We evaluated Find at both the semantic and instance levels. At the semantic level, the Dice score measured the overlap between the unions of predicted and ground-truth ligand regions:</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480" w:lineRule="auto" w:after="120"/>
        <w:ind w:firstLine="480"/>
      </w:pPr>
      <w:r>
        <w:rPr>
          <w:rFonts w:ascii="Times New Roman" w:hAnsi="Times New Roman"/>
          <w:sz w:val="24"/>
        </w:rPr>
        <w:t xml:space="preserve">where</w:t>
      </w:r>
      <w:r>
        <w:rPr>
          <w:rFonts w:ascii="Times New Roman" w:hAnsi="Times New Roman"/>
          <w:sz w:val="24"/>
        </w:rPr>
        <w:t xml:space="preserve"> </w:t>
      </w:r>
      <m:oMath>
        <m:r>
          <m:rPr>
            <m:sty m:val="p"/>
          </m:rPr>
          <m:t>|</m:t>
        </m:r>
        <m:r>
          <m:t>​</m:t>
        </m:r>
        <m:r>
          <m:rPr>
            <m:sty m:val="p"/>
          </m:rPr>
          <m:t>⋅</m:t>
        </m:r>
        <m:r>
          <m:rPr>
            <m:sty m:val="p"/>
          </m:rPr>
          <m:t>|</m:t>
        </m:r>
        <m:r>
          <m:t>​</m:t>
        </m:r>
      </m:oMath>
      <w:r>
        <w:rPr>
          <w:rFonts w:ascii="Times New Roman" w:hAnsi="Times New Roman"/>
          <w:sz w:val="24"/>
        </w:rPr>
        <w:t xml:space="preserve"> </w:t>
      </w:r>
      <w:r>
        <w:rPr>
          <w:rFonts w:ascii="Times New Roman" w:hAnsi="Times New Roman"/>
          <w:sz w:val="24"/>
        </w:rPr>
        <w:t xml:space="preserve">denotes the number of voxels in a region.</w:t>
      </w:r>
    </w:p>
    <w:p>
      <w:pPr>
        <w:pStyle w:val="BodyText"/>
        <w:spacing w:line="480" w:lineRule="auto" w:after="120"/>
        <w:ind w:firstLine="480"/>
      </w:pPr>
      <w:r>
        <w:rPr>
          <w:rFonts w:ascii="Times New Roman" w:hAnsi="Times New Roman"/>
          <w:sz w:val="24"/>
        </w:rPr>
        <w:t xml:space="preserve">At the instance level, predicted instances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ascii="Times New Roman" w:hAnsi="Times New Roman"/>
          <w:sz w:val="24"/>
        </w:rPr>
        <w:t xml:space="preserve">and ground-truth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ascii="Times New Roman" w:hAnsi="Times New Roman"/>
          <w:sz w:val="24"/>
        </w:rPr>
        <w:t xml:space="preserve">form the two vertex sets of a bipartite graph. An edge connects</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if each covers at least a fraction</w:t>
      </w:r>
      <w:r>
        <w:rPr>
          <w:rFonts w:ascii="Times New Roman" w:hAnsi="Times New Roman"/>
          <w:sz w:val="24"/>
        </w:rPr>
        <w:t xml:space="preserve"> </w:t>
      </w:r>
      <m:oMath>
        <m:r>
          <m:t>τ</m:t>
        </m:r>
      </m:oMath>
      <w:r>
        <w:rPr>
          <w:rFonts w:ascii="Times New Roman" w:hAnsi="Times New Roman"/>
          <w:sz w:val="24"/>
        </w:rPr>
        <w:t xml:space="preserve"> </w:t>
      </w:r>
      <w:r>
        <w:rPr>
          <w:rFonts w:ascii="Times New Roman" w:hAnsi="Times New Roman"/>
          <w:sz w:val="24"/>
        </w:rPr>
        <w:t xml:space="preserve">of the other. We then used the Hungarian algorithm to obtain a maximum matching between the two sets. Let</w:t>
      </w:r>
      <w:r>
        <w:rPr>
          <w:rFonts w:ascii="Times New Roman" w:hAnsi="Times New Roman"/>
          <w:sz w:val="24"/>
        </w:rPr>
        <w:t xml:space="preserve"> </w:t>
      </w:r>
      <m:oMath>
        <m:sSubSup>
          <m:e>
            <m:r>
              <m:t>N</m:t>
            </m:r>
          </m:e>
          <m:sub>
            <m:r>
              <m:t>τ</m:t>
            </m:r>
          </m:sub>
          <m:sup>
            <m:r>
              <m:rPr>
                <m:sty m:val="p"/>
              </m:rPr>
              <m:t>1</m:t>
            </m:r>
            <m:r>
              <m:rPr>
                <m:sty m:val="p"/>
              </m:rPr>
              <m:t>t</m:t>
            </m:r>
            <m:r>
              <m:rPr>
                <m:sty m:val="p"/>
              </m:rPr>
              <m:t>o</m:t>
            </m:r>
            <m:r>
              <m:rPr>
                <m:sty m:val="p"/>
              </m:rPr>
              <m:t>1</m:t>
            </m:r>
          </m:sup>
        </m:sSubSup>
      </m:oMath>
      <w:r>
        <w:rPr>
          <w:rFonts w:ascii="Times New Roman" w:hAnsi="Times New Roman"/>
          <w:sz w:val="24"/>
        </w:rPr>
        <w:t xml:space="preserve"> </w:t>
      </w:r>
      <w:r>
        <w:rPr>
          <w:rFonts w:ascii="Times New Roman" w:hAnsi="Times New Roman"/>
          <w:sz w:val="24"/>
        </w:rPr>
        <w:t xml:space="preserve">be the number of successfully matched instance pairs. We define one-to-one precision and recall as:</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ascii="Times New Roman" w:hAnsi="Times New Roman"/>
          <w:sz w:val="24"/>
        </w:rPr>
        <w:t xml:space="preserve">These quantities yield the one-to-one F1 score at threshold</w:t>
      </w:r>
      <w:r>
        <w:rPr>
          <w:rFonts w:ascii="Times New Roman" w:hAnsi="Times New Roman"/>
          <w:sz w:val="24"/>
        </w:rPr>
        <w:t xml:space="preserve"> </w:t>
      </w:r>
      <m:oMath>
        <m:r>
          <m:t>τ</m:t>
        </m:r>
      </m:oMath>
      <w:r>
        <w:rPr>
          <w:rFonts w:ascii="Times New Roman" w:hAnsi="Times New Roman"/>
          <w:sz w:val="24"/>
        </w:rPr>
        <w:t xml:space="preserve">,</w:t>
      </w:r>
      <w:r>
        <w:rPr>
          <w:rFonts w:ascii="Times New Roman" w:hAnsi="Times New Roman"/>
          <w:sz w:val="24"/>
        </w:rPr>
        <w:t xml:space="preserve"> </w:t>
      </w:r>
      <m:oMath>
        <m:sSub>
          <m:e>
            <m:r>
              <m:rPr>
                <m:sty m:val="p"/>
              </m:rPr>
              <m:t>1to1F1</m:t>
            </m:r>
          </m:e>
          <m:sub>
            <m:r>
              <m:t>τ</m:t>
            </m:r>
          </m:sub>
        </m:sSub>
      </m:oMath>
      <w:r>
        <w:rPr>
          <w:rFonts w:ascii="Times New Roman" w:hAnsi="Times New Roman"/>
          <w:sz w:val="24"/>
        </w:rPr>
        <w:t xml:space="preserve">. Ranking predicted instances by their mean voxel probability yields the corresponding one-to-one precision–recall area under the curve (PRAUC),</w:t>
      </w:r>
      <w:r>
        <w:rPr>
          <w:rFonts w:ascii="Times New Roman" w:hAnsi="Times New Roman"/>
          <w:sz w:val="24"/>
        </w:rPr>
        <w:t xml:space="preserve"> </w:t>
      </w:r>
      <m:oMath>
        <m:sSub>
          <m:e>
            <m:r>
              <m:rPr>
                <m:sty m:val="p"/>
              </m:rPr>
              <m:t>1to1PRAUC</m:t>
            </m:r>
          </m:e>
          <m:sub>
            <m:r>
              <m:t>τ</m:t>
            </m:r>
          </m:sub>
        </m:sSub>
      </m:oMath>
      <w:r>
        <w:rPr>
          <w:rFonts w:ascii="Times New Roman" w:hAnsi="Times New Roman"/>
          <w:sz w:val="24"/>
        </w:rPr>
        <w:t xml:space="preserve">. We use</w:t>
      </w:r>
      <w:r>
        <w:rPr>
          <w:rFonts w:ascii="Times New Roman" w:hAnsi="Times New Roman"/>
          <w:sz w:val="24"/>
        </w:rPr>
        <w:t xml:space="preserve"> </w:t>
      </w:r>
      <w:r>
        <w:rPr>
          <w:rFonts w:ascii="Times New Roman" w:hAnsi="Times New Roman"/>
          <w:sz w:val="24"/>
        </w:rPr>
        <w:t xml:space="preserve">“1to1”</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sz w:val="24"/>
        </w:rPr>
        <w:t xml:space="preserve">“one-to-one”</w:t>
      </w:r>
      <w:r>
        <w:rPr>
          <w:rFonts w:ascii="Times New Roman" w:hAnsi="Times New Roman"/>
          <w:sz w:val="24"/>
        </w:rPr>
        <w:t xml:space="preserve"> </w:t>
      </w:r>
      <w:r>
        <w:rPr>
          <w:rFonts w:ascii="Times New Roman" w:hAnsi="Times New Roman"/>
          <w:sz w:val="24"/>
        </w:rPr>
        <w:t xml:space="preserve">interchangeably depending on the context.</w:t>
      </w:r>
    </w:p>
    <w:p>
      <w:pPr>
        <w:pStyle w:val="BodyText"/>
        <w:spacing w:line="480" w:lineRule="auto" w:after="120"/>
        <w:ind w:firstLine="480"/>
      </w:pPr>
      <w:r>
        <w:rPr>
          <w:rFonts w:ascii="Times New Roman" w:hAnsi="Times New Roman"/>
          <w:sz w:val="24"/>
        </w:rPr>
        <w:t xml:space="preserve">One-to-one metrics exclude both one-to-many and many-to-one matches between predicted and ground-truth instances. For example, if one predicted blob covers several ground-truth ligands, at most one pair can count as a successful match. These metrics require accurate instance localisation and separation, penalising incorrect splitting or merging as well as localisation errors. They therefore provide a precise assessment of the model’s performance.</w:t>
      </w:r>
    </w:p>
    <w:p>
      <w:pPr>
        <w:pStyle w:val="BodyText"/>
        <w:spacing w:line="480" w:lineRule="auto" w:after="120"/>
        <w:ind w:firstLine="480"/>
      </w:pPr>
      <w:r>
        <w:rPr>
          <w:rFonts w:ascii="Times New Roman" w:hAnsi="Times New Roman"/>
          <w:sz w:val="24"/>
        </w:rPr>
        <w:t xml:space="preserve">We also evaluated the fraction of detected instances as a function of relative candidate count, which normalises the number of examined candidates by the ground-truth instance count per PDB. A ground-truth instance was considered detected if it was matched to a predicted blob at the</w:t>
      </w:r>
      <w:r>
        <w:rPr>
          <w:rFonts w:ascii="Times New Roman" w:hAnsi="Times New Roman"/>
          <w:sz w:val="24"/>
        </w:rPr>
        <w:t xml:space="preserve"> </w:t>
      </w:r>
      <m:oMath>
        <m:r>
          <m:t>τ</m:t>
        </m:r>
        <m:r>
          <m:rPr>
            <m:sty m:val="p"/>
          </m:rPr>
          <m:t>=</m:t>
        </m:r>
        <m:r>
          <m:t>0.3</m:t>
        </m:r>
      </m:oMath>
      <w:r>
        <w:rPr>
          <w:rFonts w:ascii="Times New Roman" w:hAnsi="Times New Roman"/>
          <w:sz w:val="24"/>
        </w:rPr>
        <w:t xml:space="preserve"> </w:t>
      </w:r>
      <w:r>
        <w:rPr>
          <w:rFonts w:ascii="Times New Roman" w:hAnsi="Times New Roman"/>
          <w:sz w:val="24"/>
        </w:rPr>
        <w:t xml:space="preserve">bidirectional coverage threshold.</w:t>
      </w:r>
    </w:p>
    <w:p>
      <w:pPr>
        <w:pStyle w:val="BodyText"/>
        <w:spacing w:line="480" w:lineRule="auto" w:after="120"/>
        <w:ind w:firstLine="480"/>
      </w:pPr>
      <w:r>
        <w:rPr>
          <w:rFonts w:ascii="Times New Roman" w:hAnsi="Times New Roman"/>
          <w:sz w:val="24"/>
        </w:rPr>
        <w:t xml:space="preserve">All metrics were evaluated across all ligands and for small molecules only. In the small-molecule evaluation, non-small-molecule ground-truth ligands, such as sugars and metal ions, and the candidate blobs matched to them were excluded from numerators, denominators and candidate counts.</w:t>
      </w:r>
    </w:p>
    <w:bookmarkEnd w:id="18"/>
    <w:bookmarkStart w:id="25" w:name="stage-1-results"/>
    <w:p>
      <w:pPr>
        <w:pStyle w:val="Heading3"/>
        <w:keepNext/>
        <w:spacing w:line="480" w:lineRule="auto"/>
        <w:ind w:firstLine="0"/>
      </w:pPr>
      <w:r>
        <w:rPr>
          <w:rFonts w:ascii="Times New Roman" w:hAnsi="Times New Roman"/>
          <w:sz w:val="24"/>
        </w:rPr>
        <w:t xml:space="preserve">Stage 1: Results</w:t>
      </w:r>
    </w:p>
    <w:p>
      <w:pPr>
        <w:pStyle w:val="CaptionedFigure"/>
        <w:keepNext/>
        <w:spacing w:line="240" w:lineRule="auto" w:before="0" w:after="0"/>
        <w:ind w:firstLine="0"/>
        <w:jc w:val="center"/>
      </w:pPr>
      <w:r>
        <w:rPr>
          <w:rFonts w:ascii="Times New Roman" w:hAnsi="Times New Roman"/>
          <w:sz w:val="24"/>
        </w:rPr>
        <w:drawing>
          <wp:inline>
            <wp:extent cx="5724762" cy="6353811"/>
            <wp:effectExtent b="0" l="0" r="0" t="0"/>
            <wp:docPr descr="Fig. 3 | Ligand-region detection by LigandSeek-Find. LigandSeek-Find uses deposited or CryoAtom2-reconstructed receptor structures and is compared with the density-only baseline Emap2lig-Find. The left column shows all ligands (179 PDB entries, 2,502 instances); the right shows only small molecules (94 PDB entries, 821 instances). a, b, Per-PDB Dice scores and one-to-one PRAUC at thresholds of 0.3 and 0.5. Error bars show 95% intervals for the mean from 10,000 bootstrap resamples of PDB entries. c, d, Direct comparisons of LigandSeek-Find using CryoAtom2-reconstructed receptors with Emap2lig-Find. LigandSeek-Find performs better, comparably or worse on 112/40/27 PDB entries for all ligands and 40/36/18 for small molecules, respectively. e, f, One-to-one precision and recall at threshold of 0.3. Each point represents one PDB entry; open white circles and thick bars indicate the median and interquartile range, respectively." title="MDPPTFIG_eJztWF9vIzUQ_ypWJCSQkuxm2_TP3lGppFeEVI6od_fEosrxOlmrXtvYzr_jeEY88ATiBcQzT3wAToJPw_U-BjP2Jk17JziB-hCpkZK1PePfjMfeX8bzVctQX7Vy0rr64eVfP_2ROE8nvHf18vtXv_zcNcYvWm3SstxpOeMl6g3yonjmuHVF0esf9g6L4oS7S69NUbz-7fdXP37z-rtvr379sygiYFG8FVHRmiNaFHZqKlTHiYWhikuUM2q80OqipvZyakDz89bDeW7IopbK5fMPi1blvcmTxLGK19R1teEKhGNta-qhayfJXNvSWM24c0JNaplkabqXoKmidYRoQxseT_xScjLPZ1QC7ic1eDSI5lEvWWmg7iXn5kwo7sL4Rm-eO0MZmAEcCUMAlO2mRavpnk8lDtGp1w1mo44zhSpBbSys82dxatoogSQ6ED2NP037VCvvYB51TAiY81TU3JHHfE7OdU1VMF0dK_dWWUCNEAg2Cv1RaA7i2sIT3Hy-Dky2u3L9eZweHfG4J2E56LmBo8LtjIPqqZh0yQ55Qc7EhKqyY_kEQkpK7jnD4JLRshE94fyycwqL7SKuj-h3uuD_sSyyBT7eCiuZOrBUcqOd8Lwk2pKBXepjr-sMtoVp5bydMhRBjxsPCnFkCpgEoIhwhOnaUAs6c-Er4isOiLASv-xoJZdkRB3Ho04e1dRkUkzijpKnoCj52MN8Oa0VcZWeA6aURAYvHXm_t39IhicfEa68Fdy1SdbupxkR4BZV8Pp-8CCYs2JS-WZ-MOlqhKm15AzeLwA63L2Jc5D1NlDuT9ddv_J0CyLc3gIft_sUjLYgwm0y5LaDZHEiGCeO6RXTacU7XgOncTI8P342INQD-4C00hLISo9J2t0Jmmm33yWPrAW2HFHrAjORw_57QDkezFDpCKQjgbpqThUZW12TXtpO05SMtPZAsdQA4zpaG6QvgN5gr3u2uutzyrYgwvdsddenoNyCCLeBpSAz800OJhxkbEgXb-Z5eAP5t9zOxQzuVp52G8twi5cpR0bcA521G9t0BIkXsBpcrhwHsiS9Xpbspkm2v0legfg2czzkS9Da2Ut6B0F4K3drIw8avBjMuFzec99dn3q-BRG-5767PgXjLYhwm3x2nZHBOBMOiwdIKNBBEtlM0Jr8DPIyyipiNKRioBbgcDUhq2toavmAYNGIzCu4FBMmLJNNCugrwS5jTgdMKBgFecziSkGj6ZDifTml1gsJN1OqJvyfKAxrOEetL9qktS5otfr72e7-XrbY2-nvHPR6Lx4awXL4NjUu-k41rtLS-RvFrQYBsP4LBkzDe_8axr4TiB6PIZE-0WxaQ3AjkuWSYqXHVcI43HVcoZoNBcM9xw57PBtaUnLH0MogT0JlMQmFxaSpKyabZcXE89rAMtUUpgjjL8ZigkWKi_EoPeBLzpM4cJHiZ6dr1AQWIko8eD1oYd0R2sPVGmFr1n5cuxQdpBjBM80uHVF6UOEeH0O2P684LR2ABLyVIOx8HATM66kbBiJq8kYQRlKYUyElWsR2mB8bNId_b-5Zhc0x6JyDlSC_0VkrJTfxsOcMRHg0_1SXmxVImi_GtsYnbBxZxJojWa5rj2EcxXwBWQfKm-MKWgzVmlPbKINWeK5AjXX-Yw7XHWyANiYv0Sydnbmoe91aaaNc6eh6ct2kuYS3FFAO-1k_orxVC_flUaiYbrRp7qmQq-HNtlRNvJxZ7wt8j1pf_w2Cq9t0" id="20" name="Picture"/>
            <a:graphic>
              <a:graphicData uri="http://schemas.openxmlformats.org/drawingml/2006/picture">
                <pic:pic>
                  <pic:nvPicPr>
                    <pic:cNvPr descr="C:/Users/15919/Desktop/论文草稿/temp/manuscript_figures_fb08eyee/figure_000003.png" id="21" name="Picture"/>
                    <pic:cNvPicPr>
                      <a:picLocks noChangeArrowheads="1" noChangeAspect="1"/>
                    </pic:cNvPicPr>
                  </pic:nvPicPr>
                  <pic:blipFill>
                    <a:blip r:embed="rId19"/>
                    <a:stretch>
                      <a:fillRect/>
                    </a:stretch>
                  </pic:blipFill>
                  <pic:spPr bwMode="auto">
                    <a:xfrm>
                      <a:off x="0" y="0"/>
                      <a:ext cx="5724762"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Ligand-region detection by LigandSeek-Find.</w:t>
      </w:r>
      <w:r>
        <w:rPr>
          <w:rFonts w:ascii="Times New Roman" w:hAnsi="Times New Roman"/>
          <w:sz w:val="24"/>
        </w:rPr>
        <w:t xml:space="preserve"> </w:t>
      </w:r>
      <w:r>
        <w:rPr>
          <w:rFonts w:ascii="Times New Roman" w:hAnsi="Times New Roman"/>
          <w:sz w:val="24"/>
        </w:rPr>
        <w:t xml:space="preserve">LigandSeek-Find uses deposited or CryoAtom2-reconstructed receptor structures and is compared with the density-only baseline Emap2lig-Find. The left column shows all ligands (179 PDB entries, 2,502 instances); the right shows only small molecules (94 PDB entries, 821 instances).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Per-PDB Dice scores and one-to-one PRAUC at thresholds of 0.3 and 0.5. Error bars show 95% intervals for the mean from 10,000 bootstrap resamples of PDB entries.</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Direct comparisons of LigandSeek-Find using CryoAtom2-reconstructed receptors with Emap2lig-Find. LigandSeek-Find performs better, comparably or worse on 112/40/27 PDB entries for all ligands and 40/36/18 for small molecules, respectively.</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One-to-one precision and recall at threshold of 0.3. Each point represents one PDB entry; open white circles and thick bars indicate the median and interquartile range, respectively.</w:t>
      </w:r>
    </w:p>
    <w:p>
      <w:pPr>
        <w:pStyle w:val="BodyText"/>
        <w:spacing w:line="480" w:lineRule="auto" w:after="120"/>
        <w:ind w:firstLine="480"/>
      </w:pPr>
      <w:r>
        <w:rPr>
          <w:rFonts w:ascii="Times New Roman" w:hAnsi="Times New Roman"/>
          <w:sz w:val="24"/>
        </w:rPr>
        <w:t xml:space="preserve">Panels a, c and e of</w:t>
      </w:r>
      <w:r>
        <w:rPr>
          <w:rFonts w:ascii="Times New Roman" w:hAnsi="Times New Roman"/>
          <w:sz w:val="24"/>
        </w:rPr>
        <w:t xml:space="preserve"> </w:t>
      </w:r>
      <w:r>
        <w:rPr>
          <w:rStyle w:val="MDFIGREF_eJyrrk7LTC9KTbMqLklMTzXUzU3MzNMtzqwoSMxLzamtBQDDLQxG"/>
          <w:rFonts w:ascii="Times New Roman" w:hAnsi="Times New Roman"/>
          <w:sz w:val="24"/>
        </w:rPr>
        <w:t xml:space="preserve">Fig. 3</w:t>
      </w:r>
      <w:r>
        <w:rPr>
          <w:rFonts w:ascii="Times New Roman" w:hAnsi="Times New Roman"/>
          <w:sz w:val="24"/>
        </w:rPr>
        <w:t xml:space="preserve"> </w:t>
      </w:r>
      <w:r>
        <w:rPr>
          <w:rFonts w:ascii="Times New Roman" w:hAnsi="Times New Roman"/>
          <w:sz w:val="24"/>
        </w:rPr>
        <w:t xml:space="preserve">show predictions on the full test set. Panels b, d and f show evaluations restricted to small molecules.</w:t>
      </w:r>
    </w:p>
    <w:p>
      <w:pPr>
        <w:pStyle w:val="BodyText"/>
        <w:spacing w:line="480" w:lineRule="auto" w:after="120"/>
        <w:ind w:firstLine="480"/>
      </w:pPr>
      <w:r>
        <w:rPr>
          <w:rFonts w:ascii="Times New Roman" w:hAnsi="Times New Roman"/>
          <w:sz w:val="24"/>
        </w:rPr>
        <w:t xml:space="preserve">We compared LigandSeek-Find using either deposited or CryoAtom2-reconstructed receptors with the density-only method Emap2lig-Find</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the full test set, their mean Dice scores were 0.584, 0.477 and 0.050, respectively. Their mean</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scores were 0.663, 0.541 and 0.255, respectively</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rK0FANzYDSM"/>
          <w:rFonts w:ascii="Times New Roman" w:hAnsi="Times New Roman"/>
          <w:sz w:val="24"/>
        </w:rPr>
        <w:t xml:space="preserve">Fig. 3a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the stricter matching threshold of 0.5, their mean</w:t>
      </w:r>
      <w:r>
        <w:rPr>
          <w:rFonts w:ascii="Times New Roman" w:hAnsi="Times New Roman"/>
          <w:sz w:val="24"/>
        </w:rPr>
        <w:t xml:space="preserve"> </w:t>
      </w:r>
      <m:oMath>
        <m:sSub>
          <m:e>
            <m:r>
              <m:rPr>
                <m:sty m:val="p"/>
              </m:rPr>
              <m:t>one-to-one PRAUC</m:t>
            </m:r>
          </m:e>
          <m:sub>
            <m:r>
              <m:t>0.5</m:t>
            </m:r>
          </m:sub>
        </m:sSub>
      </m:oMath>
      <w:r>
        <w:rPr>
          <w:rFonts w:ascii="Times New Roman" w:hAnsi="Times New Roman"/>
          <w:sz w:val="24"/>
        </w:rPr>
        <w:t xml:space="preserve"> </w:t>
      </w:r>
      <w:r>
        <w:rPr>
          <w:rFonts w:ascii="Times New Roman" w:hAnsi="Times New Roman"/>
          <w:sz w:val="24"/>
        </w:rPr>
        <w:t xml:space="preserve">scores were 0.558, 0.447 and 0.126, respectively. LigandSeek-Find outperformed Emap2lig-Find even without deposited receptor structures as input, and this trend persisted in the small-molecule test subset.</w:t>
      </w:r>
    </w:p>
    <w:p>
      <w:pPr>
        <w:pStyle w:val="BodyText"/>
        <w:spacing w:line="480" w:lineRule="auto" w:after="120"/>
        <w:ind w:firstLine="480"/>
      </w:pPr>
      <w:r>
        <w:rPr>
          <w:rFonts w:ascii="Times New Roman" w:hAnsi="Times New Roman"/>
          <w:sz w:val="24"/>
        </w:rPr>
        <w:t xml:space="preserve">Panels c and d compare LigandSeek-Find directly against Emap2lig-Find using</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w:t>
      </w:r>
      <w:r>
        <w:rPr>
          <w:rStyle w:val="MDFIGREF_eJyrrk7LTC9KTbMqLklMTzXUzU3MzNMtzqwoSMxLzalJ1kmprQUA9xANtQ"/>
          <w:rFonts w:ascii="Times New Roman" w:hAnsi="Times New Roman"/>
          <w:sz w:val="24"/>
        </w:rPr>
        <w:t xml:space="preserve">Fig. 3c, 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With CryoAtom2-reconstructed receptors, LigandSeek-Find outperformed Emap2lig-Find on 112 structures, performed comparably on 40 and was inferior on only 27 across the full test set</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rq0FANzeDSU"/>
          <w:rFonts w:ascii="Times New Roman" w:hAnsi="Times New Roman"/>
          <w:sz w:val="24"/>
        </w:rPr>
        <w:t xml:space="preserve">Fig. 3c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demonstrating a substantial overall advantage. Emap2lig primarily targets small-molecule identification and modelling, and its detection performance was better for small molecules than across all ligand categories, as shown in</w:t>
      </w:r>
      <w:r>
        <w:rPr>
          <w:rFonts w:ascii="Times New Roman" w:hAnsi="Times New Roman"/>
          <w:sz w:val="24"/>
        </w:rPr>
        <w:t xml:space="preserve"> </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4359734"/>
            <wp:effectExtent b="0" l="0" r="0" t="0"/>
            <wp:docPr descr="Fig. 4 | Ligand-instance detection by LigandSeek-Find and Emap2lig-Find. a–c, All ligands (179 PDBs, 2,502 instances). d–f, Small molecules only (94 PDBs, 821 instances). Left and middle, LigandSeek-Find with deposited receptors (GT) and CryoAtom2-reconstructed receptors (CA2), respectively. Right, Emap2lig-Find. The x-axis shows the number of candidates examined relative to the reference instance count per PDB; 100% denotes equal counts. The y-axis shows the percentage of distinct instances detected. Green lines and circles show the PDB-equal mean, and blue lines and diamonds show the median. Grey points and violins show PDB distributions at relative candidate counts of 50%, 100%, 200% and 300%." title="MDPPTFIG_eJzVVk-LWzcQ_yrCEEjA9rO9dpN9TQMbJxsKm7Bs0lNfWWS9sS1WT1IlPf9JU-illB56auilX6CH0hx6Sgvtdylsko_RGenZ601yCC0pdMH7RtJvfjOaGUnzRcvyMG_lrPXy6e_nP_6RHUpddu7zIOad27VU5fnXP58___X82fMXz552rQ2rVpu1HHijFlCS3jgvik88OF8U_dF-f78o7oA_C8YWxatffnvxwzevvvv25U9_FkUyUBTvZEHzCoh9SmCj1bojtQ9cC-gIU1kFQRpNQMEtiacVd2e1RZVPWzeXuWWrSmmfLz8qWvMQbJ5lXsyh4r5rLGhcnBpX8YBDN8uWxpXWGQHeSz2rVDbo9T7IKi510bpFbMcufh6GtQK2zBdcIe_HFZ_BOJknXLZBEPYMwB5JDT7O74yWubdcoBnkUTiFRINhr2g1w5Na0RSvg2k4GzhpYiwQNpXOh6Ok2mtAuJIcSJ6mf418aHTwqMe9kBJ1HskKPHsAS3ZiKq6j6fmB9m9di6yJgsgmcTyJ4jjtLX7RzcfbwAyGG9cfJ_XkSKCcxO2Q5xZrCNwCEHooZ102ZE_YkZxxTPcm06yEAILCyybrZvEhwFmHKojhgN2tuB0oOYszXbIVksX3GoR_sVX2X_n4XhLF__rqe_E_iHKbHSjFVCwYz672r--z4zu3fZsN2qPegG3qy1_rshK3NG2zhxVHjcooEHgAPaMbh13dHzZ6Nwb9S1pHMA2xACtZlgrabxTnUoY5lq81XgYomQMBNhiHztx7dC1qjt3aHARTDTq4aJDb1eI16PhgcK2NE97SKViAWnfZiZzNQ_u1wmeP5sBWHb6Snvm5WXoWcELX1QQcM1Mm0KAsecCNwYpXeHWQHcWJlAUT0Q6m4IBO3fb4CVPrwCxyYBQ-ZP1e7wruSZvI83nNVUL4ZH_9un1UFKADXpLkQyl9kFqEizg2xxvQ_3sOQDO6_3wMjpBOUBqILHKhA51ksgKu2xE0UTXs6JSSV4byvVWqAOd0ZF8zayTVJiEX0qBaA0Tm6JuTk5quGoSEi-BsI9dslXYy6l1px2BgPVFIiHIPhcv3D13Gt1qf4Qu1fZlao-t7e8P-aDXcG-1f3xs-uWmlyPHXPFb8nR6r0vHlG69Uw4Bc_4QD1ULtYEvj3onETKdSwB0j6grTnJhS4DCKc2k9HVraoV4cS0FHlgbiweLYYeq9ICvjPIu9QxZbh6zpHLLdxiELUFncpq5RRdpwOpUzdNafTie9G7AGyNLEaY_-hl2rZ7gRWTb3BqNOAuXjzR4xNVs_LlxKDnKK4JERZ55pM55zPYMD58xyDrz0SNInvs1CPJZpEjkvVHcMJNbsjSBMlLSHUimySHLUTwLPsRYBmyMSp4g5QStx_dJgC8ou89HIYxfAJsv7ptxtJXi-mrqKvpg4tkrNA1tvm4g4T8uwCkzQelOuiBIEa6q2ASMqfjekFpuSe2AqRgKi8R4LySxfHPmEvZA2aFrXJrmeXYg8V5pR77Y_GowSy1tRlJe7sfXZkXkeuFSb6V1Z6SZe3m7zgr9brS__BoPC1-8" id="23" name="Picture"/>
            <a:graphic>
              <a:graphicData uri="http://schemas.openxmlformats.org/drawingml/2006/picture">
                <pic:pic>
                  <pic:nvPicPr>
                    <pic:cNvPr descr="C:/Users/15919/Desktop/论文草稿/temp/manuscript_figures_fb08eyee/figure_000004.png" id="24" name="Picture"/>
                    <pic:cNvPicPr>
                      <a:picLocks noChangeArrowheads="1" noChangeAspect="1"/>
                    </pic:cNvPicPr>
                  </pic:nvPicPr>
                  <pic:blipFill>
                    <a:blip r:embed="rId22"/>
                    <a:stretch>
                      <a:fillRect/>
                    </a:stretch>
                  </pic:blipFill>
                  <pic:spPr bwMode="auto">
                    <a:xfrm>
                      <a:off x="0" y="0"/>
                      <a:ext cx="5733415" cy="435973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Ligand-instance detection by LigandSeek-Find and Emap2lig-Find.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All ligands (179 PDBs, 2,502 instances). d–f, Small molecules only (94 PDBs, 821 instances). Left and middle, LigandSeek-Find with deposited receptors (GT) and CryoAtom2-reconstructed receptors (CA2), respectively. Right, Emap2lig-Find. The x-axis shows the number of candidates examined relative to the reference instance count per PDB; 100% denotes equal counts. The y-axis shows the percentage of distinct instances detected. Green lines and circles show the PDB-equal mean, and blue lines and diamonds show the median. Grey points and violins show PDB distributions at relative candidate counts of 50%, 100%, 200% and 300%.</w:t>
      </w:r>
    </w:p>
    <w:p>
      <w:pPr>
        <w:pStyle w:val="BodyText"/>
        <w:spacing w:line="480" w:lineRule="auto" w:after="120"/>
        <w:ind w:firstLine="480"/>
      </w:pPr>
      <w:r>
        <w:rPr>
          <w:rStyle w:val="MDFIGREF_eJyrrk7LTC9KTbNKy8xL0c3Py6nUzcwrLknMS07VTc7PLchJLcnMz6utBQBF4BAX"/>
          <w:rFonts w:ascii="Times New Roman" w:hAnsi="Times New Roman"/>
          <w:sz w:val="24"/>
        </w:rPr>
        <w:t xml:space="preserve">Fig. 4</w:t>
      </w:r>
      <w:r>
        <w:rPr>
          <w:rFonts w:ascii="Times New Roman" w:hAnsi="Times New Roman"/>
          <w:sz w:val="24"/>
        </w:rPr>
        <w:t xml:space="preserve"> </w:t>
      </w:r>
      <w:r>
        <w:rPr>
          <w:rFonts w:ascii="Times New Roman" w:hAnsi="Times New Roman"/>
          <w:sz w:val="24"/>
        </w:rPr>
        <w:t xml:space="preserve">shows the number of ground-truth instances recovered at different candidate count thresholds. At equal candidate counts, LigandSeek2-Find recovered more ligand instances than Emap2lig-Find</w:t>
      </w:r>
      <w:r>
        <w:rPr>
          <w:rFonts w:ascii="Times New Roman" w:hAnsi="Times New Roman"/>
          <w:sz w:val="24"/>
        </w:rPr>
        <w:t xml:space="preserve"> </w:t>
      </w:r>
      <w:r>
        <w:rPr>
          <w:rFonts w:ascii="Times New Roman" w:hAnsi="Times New Roman"/>
          <w:sz w:val="24"/>
        </w:rPr>
        <w:t xml:space="preserve">(</w:t>
      </w:r>
      <w:r>
        <w:rPr>
          <w:rStyle w:val="MDFIGREF_eJyrrk7LTC9KTbNKy8xL0c3Py6nUzcwrLknMS07VTc7PLchJLcnMz6utBQBF4BAX"/>
          <w:rFonts w:ascii="Times New Roman" w:hAnsi="Times New Roman"/>
          <w:sz w:val="24"/>
        </w:rPr>
        <w:t xml:space="preserve">Fig. 4</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 relative candidate count of 100% limits the number of predicted candidates examined to the ground-truth instance count in that PDB. At 100%, mean detection completion across all ligands was 55.6% with CA2 and 66.4% with GT, compared with 25.9% for Emap2lig-Find. In the small-molecule subset, the corresponding values were 59.8% and 70.5%, compared with 44.2% for Emap2lig-Find. At 300%, the candidate count limit was three times the ground-truth instance count. Small-molecule completion reached 68.5% for CA2 and 73.3% for GT, whereas Emap2lig-Find reached 51.6%. LigandSeek2-Find therefore concentrated more true ligand instances among the highest-ranked candidates under both receptor conditions.</w:t>
      </w:r>
    </w:p>
    <w:p>
      <w:pPr>
        <w:pStyle w:val="BodyText"/>
        <w:spacing w:line="480" w:lineRule="auto" w:after="120"/>
        <w:ind w:firstLine="480"/>
      </w:pPr>
      <w:r>
        <w:rPr>
          <w:rFonts w:ascii="Times New Roman" w:hAnsi="Times New Roman"/>
          <w:sz w:val="24"/>
        </w:rPr>
        <w:t xml:space="preserve">Across the 179 test PDB entries, each complex contained an average of 14.0 ground-truth ligand instances, whereas Emap2lig-Find predicted an average of 353.9 candidate regions per entry. This flood of false positives severely undermined its precision despite acceptable recall</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UmrrQUA9yANuQ"/>
          <w:rFonts w:ascii="Times New Roman" w:hAnsi="Times New Roman"/>
          <w:sz w:val="24"/>
        </w:rPr>
        <w:t xml:space="preserve">Fig. 3e, 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Low precision directly depressed the semantic Dice score of Emap2lig-Find. However, true-positive instances generally ranked above false-positive instances among its predictions</w:t>
      </w:r>
      <w:r>
        <w:rPr>
          <w:rFonts w:ascii="Times New Roman" w:hAnsi="Times New Roman"/>
          <w:sz w:val="24"/>
        </w:rPr>
        <w:t xml:space="preserve"> </w:t>
      </w:r>
      <w:r>
        <w:rPr>
          <w:rFonts w:ascii="Times New Roman" w:hAnsi="Times New Roman"/>
          <w:sz w:val="24"/>
        </w:rPr>
        <w:t xml:space="preserve">(</w:t>
      </w:r>
      <w:r>
        <w:rPr>
          <w:rStyle w:val="MDFIGREF_eJyrrk7LTC9KTbNKy8xL0c3Py6nUzcwrLknMS07VTc7PLchJLcnMz6utBQBF4BAX"/>
          <w:rFonts w:ascii="Times New Roman" w:hAnsi="Times New Roman"/>
          <w:sz w:val="24"/>
        </w:rPr>
        <w:t xml:space="preserve">Fig. 4</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Both the detected instances ratio and one-to-one PRAUC are strongly influenced by candidate ranking quality, and their scores were somewhat higher than semantic Dice. Because downstream tasks cannot tolerate overwhelming candidate pools, inflating recall at the expense of precision is impractical. In contrast, LigandSeek-Find balanced precision and recall effectively</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UmrrQUA9yANuQ"/>
          <w:rFonts w:ascii="Times New Roman" w:hAnsi="Times New Roman"/>
          <w:sz w:val="24"/>
        </w:rPr>
        <w:t xml:space="preserve">Fig. 3e, f</w:t>
      </w:r>
      <w:r>
        <w:rPr>
          <w:rFonts w:ascii="Times New Roman" w:hAnsi="Times New Roman"/>
          <w:sz w:val="24"/>
        </w:rPr>
        <w:t xml:space="preserve">).</w:t>
      </w:r>
    </w:p>
    <w:bookmarkEnd w:id="25"/>
    <w:bookmarkStart w:id="29" w:name="stage-1-representative-cases"/>
    <w:p>
      <w:pPr>
        <w:pStyle w:val="Heading3"/>
        <w:keepNext/>
        <w:spacing w:line="480" w:lineRule="auto"/>
        <w:ind w:firstLine="0"/>
      </w:pPr>
      <w:r>
        <w:rPr>
          <w:rFonts w:ascii="Times New Roman" w:hAnsi="Times New Roman"/>
          <w:sz w:val="24"/>
        </w:rPr>
        <w:t xml:space="preserve">Stage 1: Representative cases</w:t>
      </w:r>
    </w:p>
    <w:p>
      <w:pPr>
        <w:pStyle w:val="FirstParagraph"/>
        <w:spacing w:line="480" w:lineRule="auto" w:after="120"/>
        <w:ind w:firstLine="480"/>
      </w:pPr>
      <w:r>
        <w:rPr>
          <w:rFonts w:ascii="Times New Roman" w:hAnsi="Times New Roman"/>
          <w:sz w:val="24"/>
        </w:rPr>
        <w:t xml:space="preserve">Four representative cases showed that LigandSeek-Find covered ligand regions more completely than the density-only method Emap2lig-Find and detected regions that it missed</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fNQwOaW2FgAZVg9w"/>
          <w:rFonts w:ascii="Times New Roman" w:hAnsi="Times New Roman"/>
          <w:sz w:val="24"/>
        </w:rPr>
        <w:t xml:space="preserve">Fig. 5a–d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the viral replication-associated protein complex 9PQM, both methods detected most of the region occupied by the ATP analogue ATPγS. LigandSeek-Find and Emap2lig-Find achieved Dice scores of 0.816 and 0.766 for this ligand instance, respectively</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rK0FAN2PDRc"/>
          <w:rFonts w:ascii="Times New Roman" w:hAnsi="Times New Roman"/>
          <w:sz w:val="24"/>
        </w:rPr>
        <w:t xml:space="preserve">Fig. 5a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For cholesterol in 9UWI, Emap2lig-Find predictions were concentrated within the ground-truth ligand region, achieving a precision of 0.990 but covering only 0.300 of that region. LigandSeek-Find increased coverage to 0.812, recovering more of the missed ligand region</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q0FAN2SDRg"/>
          <w:rFonts w:ascii="Times New Roman" w:hAnsi="Times New Roman"/>
          <w:sz w:val="24"/>
        </w:rPr>
        <w:t xml:space="preserve">Fig. 5b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the NADPH binding site in 9WUP, Emap2lig-Find produced no prediction overlapping the ground-truth ligand region. LigandSeek-Find covered 0.922 of that region in the same comparison</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rq0FAN2VDRk"/>
          <w:rFonts w:ascii="Times New Roman" w:hAnsi="Times New Roman"/>
          <w:sz w:val="24"/>
        </w:rPr>
        <w:t xml:space="preserve">Fig. 5c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Similarly, at the ADP site in 9RMI, Emap2lig-Find covered only 0.103 of the ground-truth region, whereas LigandSeek-Find covered 0.883</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a0FAN2YDRo"/>
          <w:rFonts w:ascii="Times New Roman" w:hAnsi="Times New Roman"/>
          <w:sz w:val="24"/>
        </w:rPr>
        <w:t xml:space="preserve">Fig. 5d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These local comparisons demonstrated advantages in both detecting ligand regions and delineating their spatial boundaries more accurately.</w:t>
      </w:r>
    </w:p>
    <w:p>
      <w:pPr>
        <w:pStyle w:val="BodyText"/>
        <w:spacing w:line="480" w:lineRule="auto" w:after="120"/>
        <w:ind w:firstLine="480"/>
      </w:pPr>
      <w:r>
        <w:rPr>
          <w:rFonts w:ascii="Times New Roman" w:hAnsi="Times New Roman"/>
          <w:sz w:val="24"/>
        </w:rPr>
        <w:t xml:space="preserve">LigandSeek-Find retained its main detection and coverage advantages in these cases when deposited receptor structures were replaced with receptors automatically reconstructed by CryoAtom2. With reconstructed receptors, the instance Dice scores for 9PQM, 9UWI and 9WUP were 0.816, 0.848 and 0.715, respectively. These scores were close to those obtained with deposited receptors and exceeded those of Emap2lig-Find</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fNQwObm2FgAZUw9v"/>
          <w:rFonts w:ascii="Times New Roman" w:hAnsi="Times New Roman"/>
          <w:sz w:val="24"/>
        </w:rPr>
        <w:t xml:space="preserve">Fig. 5a–c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9RMI case illustrated a loss of precision after receptor replacement. For this ligand instance, the predicted region extended beyond the ligand, reducing precision from 0.607 to 0.396 and the Dice score from 0.719 to 0.532</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a0FAN2YDRo"/>
          <w:rFonts w:ascii="Times New Roman" w:hAnsi="Times New Roman"/>
          <w:sz w:val="24"/>
        </w:rPr>
        <w:t xml:space="preserve">Fig. 5d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Nevertheless, the prediction still covered 0.810 of the ground-truth ligand region, and its Dice score exceeded the 0.131 achieved by Emap2lig-Find. Thus, across these four cases, LigandSeek-Find usually retained good detection performance with CryoAtom2-reconstructed receptors when deposited receptor structures were unavailable.</w:t>
      </w:r>
    </w:p>
    <w:p>
      <w:pPr>
        <w:pStyle w:val="CaptionedFigure"/>
        <w:keepNext/>
        <w:spacing w:line="240" w:lineRule="auto" w:before="0" w:after="0"/>
        <w:ind w:firstLine="0"/>
        <w:jc w:val="center"/>
      </w:pPr>
      <w:r>
        <w:rPr>
          <w:rFonts w:ascii="Times New Roman" w:hAnsi="Times New Roman"/>
          <w:sz w:val="24"/>
        </w:rPr>
        <w:drawing>
          <wp:inline>
            <wp:extent cx="4717929" cy="5828030"/>
            <wp:effectExtent b="0" l="0" r="0" t="0"/>
            <wp:docPr descr="Fig. 5 | Small-molecule region detection under different receptor conditions. a–d,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 title="MDPPTFIG_eJzVVs1uHEUQfpXWnhLJu7O7eIk9BEvLOg6RbGuxE-XAIKt3pman5Z7pVnfvXwgSJxASiAMoFx4ATnDgBhK8AQ-BZJLHoKp79ifxWopAQcLSerq7qr767er6uKG5Kxoxazz_9ter736LrONj6Fx9_dOL7z-7-vJZS2s3b-ywhgGr5BQyYh3ESfLIgrFJ0untd_aT5BDspVM6SV78-Mtfzz5_8dUXz3_4PUkCZpLcBFrxEggw0Ju5mpiUW2iWXFRET7l2QlUXJTeXE42cHzbuzmLN5qWsbDx7N2kUzuk4imxaQMltS2mokJgrU3KHWzOOZspk2qgUrBXVuJRRt91-OyINSeOA0IbGf87dQgKbxVMuEfdBiRYNgnrii5YcxHsJoI9FBdafb-xmsdU8RTWII_EIgbq77aRRb88mko74xKkas2YnSVFlyJYLY91xEG3XTEgJBgRLw796faQqZ1GO21QIlHkoSrDsFGbsTJW88qqLfmW30jxqgCCwkd-P_HIQfPNfNPPJKjDd3aXpT4J4MMRRTrw7ZLnGagEzBWQ9EuMW67Gn7LzkUjZLJSHFMDADYwwty8BBSkFmkyoDwzKR52CgcsiQgnbKsFRVmSAW2yKFLqh9o5H4F_6y_8rGN5It_uen32T_gyjvsP7D4R8_nzNRsf3hByfsVv_-OR7Gu-3O7R2WFlhm1oFR0nM8evyA3Rocn-2w9-Jeu4scp_3D4fue9vjRkN06PRySdKfT3r3NON5EJHvq2QlJ1rCoX1O1TkEuWuxhAUxC7thUoIsqZ8DTghk1Y7ZQM8sc0vOJlFjApZYwZzPhCibFmPBD-VuGPmUidZCx0YIde9o5wGXziNrBhDqWx8lAKyuIbXktWqzPRmrOqDUGXRbwahFLrWKEECRPcgw7YmASc5ZKhT12or3hluHdI4oR48IFr7CTv-LHdf07_nxgFqrvVNndOCfdL8vUBnn_BZbP2Ci87U1nJq8GZIflRpUhrE5t2jRSDvV4syieHHNxLV5ewU3m3sh8kw_3Sq67aJ1n325YH7PrCgOwzCM1shBVil2IOL5x12NBP5hrMHhHKsclcuClcXVZ-VeAuZm6jsuz0AyxmS7WStb4BLzyqIkeYZVhoNPNYNhtpbylMqhofFHTo4zVCGuHlBFktzeMVNqUS2ixs6UGhgkiXwuH2QbAxG7zlokQKMRACeJcMOwZxTtsJCfAoELz8Emvo7kq8PWlqa9RSJhGEzxGc5v0zUX3yrtCL-1B4yMcP1ZjR2P3TufOfnd_3tvr7rXfaj-9q0Ua46-eRPhrTSKZ4bNrI0iNgFj_BAPF3MTACsa8FojKc5HCoUonlI6AZED6bNpCaEvNmDyspkORUiumTXo6HeIDDTYlLYM48iNg5CfAqB4Ao835L3JQanSzmqCI0O4iF2M01l7ko_YeLACicHDRpr9eS1djdERk9B7s4YqmQ1wPlz5ialZ2rE0KBnKK4LFKsRdWalDwagx9g82iAJ5ZBOkQ3pLgSz8cIuZadENBQI2uBWEkhT4SUpJGWnv5sOAxXjRwaUHLHHnwMjhPf2mzYopexqOdxRGPjWYnKtucE3k8z01JX0wcm4fJkC1WE6I_JzLMHUuJXpcrcqXEVldtzYxc_rsE1dhr7gM2N1ogN3YJF9Ty6bENvOvVkpvolQqmR-slj2XFaDDf73V7AWUrF-Xlnp9rN9Y8dlzI5fHmWlZ1vKxe5QV_B41P_gZ6lXoh" id="27" name="Picture"/>
            <a:graphic>
              <a:graphicData uri="http://schemas.openxmlformats.org/drawingml/2006/picture">
                <pic:pic>
                  <pic:nvPicPr>
                    <pic:cNvPr descr="C:/Users/15919/Desktop/论文草稿/temp/manuscript_figures_fb08eyee/figure_000005.png" id="28" name="Picture"/>
                    <pic:cNvPicPr>
                      <a:picLocks noChangeArrowheads="1" noChangeAspect="1"/>
                    </pic:cNvPicPr>
                  </pic:nvPicPr>
                  <pic:blipFill>
                    <a:blip r:embed="rId26"/>
                    <a:stretch>
                      <a:fillRect/>
                    </a:stretch>
                  </pic:blipFill>
                  <pic:spPr bwMode="auto">
                    <a:xfrm>
                      <a:off x="0" y="0"/>
                      <a:ext cx="4717929" cy="582803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5 | Small-molecule region detection under different receptor conditions.</w:t>
      </w:r>
      <w:r>
        <w:rPr>
          <w:rFonts w:ascii="Times New Roman" w:hAnsi="Times New Roman"/>
          <w:sz w:val="24"/>
        </w:rPr>
        <w:t xml:space="preserve"> </w:t>
      </w:r>
      <w:r>
        <w:rPr>
          <w:rFonts w:ascii="Times New Roman" w:hAnsi="Times New Roman"/>
          <w:b/>
          <w:bCs/>
          <w:sz w:val="24"/>
        </w:rPr>
        <w:t xml:space="preserve">a–d</w:t>
      </w:r>
      <w:r>
        <w:rPr>
          <w:rFonts w:ascii="Times New Roman" w:hAnsi="Times New Roman"/>
          <w:sz w:val="24"/>
        </w:rPr>
        <w:t xml:space="preserve">,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w:t>
      </w:r>
    </w:p>
    <w:bookmarkEnd w:id="29"/>
    <w:bookmarkEnd w:id="30"/>
    <w:bookmarkStart w:id="39" w:name="stage-2"/>
    <w:p>
      <w:pPr>
        <w:pStyle w:val="Heading2"/>
        <w:keepNext/>
        <w:spacing w:line="480" w:lineRule="auto"/>
        <w:ind w:firstLine="0"/>
      </w:pPr>
      <w:r>
        <w:rPr>
          <w:rFonts w:ascii="Times New Roman" w:hAnsi="Times New Roman"/>
          <w:sz w:val="24"/>
        </w:rPr>
        <w:t xml:space="preserve">Stage 2</w:t>
      </w:r>
    </w:p>
    <w:bookmarkStart w:id="31" w:name="stage-2-evaluation-protocol"/>
    <w:p>
      <w:pPr>
        <w:pStyle w:val="Heading3"/>
        <w:keepNext/>
        <w:spacing w:line="480" w:lineRule="auto"/>
        <w:ind w:firstLine="0"/>
      </w:pPr>
      <w:r>
        <w:rPr>
          <w:rFonts w:ascii="Times New Roman" w:hAnsi="Times New Roman"/>
          <w:sz w:val="24"/>
        </w:rPr>
        <w:t xml:space="preserve">Stage 2: Evaluation protocol</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denote the</w:t>
      </w:r>
      <w:r>
        <w:rPr>
          <w:rFonts w:ascii="Times New Roman" w:hAnsi="Times New Roman"/>
          <w:sz w:val="24"/>
        </w:rPr>
        <w:t xml:space="preserve"> </w:t>
      </w:r>
      <m:oMath>
        <m:r>
          <m:t>i</m:t>
        </m:r>
      </m:oMath>
      <w:r>
        <w:rPr>
          <w:rFonts w:ascii="Times New Roman" w:hAnsi="Times New Roman"/>
          <w:sz w:val="24"/>
        </w:rPr>
        <w:t xml:space="preserve">-th candidate blob predicted by Find, and let</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denote the ground-truth ligand region of instance</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in the same PDB entry. Their bidirectional coverage is defined as:</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ascii="Times New Roman" w:hAnsi="Times New Roman"/>
          <w:sz w:val="24"/>
        </w:rPr>
        <w:t xml:space="preserve">where</w:t>
      </w:r>
      <w:r>
        <w:rPr>
          <w:rFonts w:ascii="Times New Roman" w:hAnsi="Times New Roman"/>
          <w:sz w:val="24"/>
        </w:rPr>
        <w:t xml:space="preserve"> </w:t>
      </w:r>
      <m:oMath>
        <m:sSubSup>
          <m:e>
            <m:r>
              <m:t>c</m:t>
            </m:r>
          </m:e>
          <m:sub>
            <m:r>
              <m:t>i</m:t>
            </m:r>
            <m:r>
              <m:t>j</m:t>
            </m:r>
          </m:sub>
          <m:sup>
            <m:r>
              <m:t>B</m:t>
            </m:r>
          </m:sup>
        </m:sSubSup>
      </m:oMath>
      <w:r>
        <w:rPr>
          <w:rFonts w:ascii="Times New Roman" w:hAnsi="Times New Roman"/>
          <w:sz w:val="24"/>
        </w:rPr>
        <w:t xml:space="preserve"> </w:t>
      </w:r>
      <w:r>
        <w:rPr>
          <w:rFonts w:ascii="Times New Roman" w:hAnsi="Times New Roman"/>
          <w:sz w:val="24"/>
        </w:rPr>
        <w:t xml:space="preserve">is the fraction of the blob covered by the ground-truth ligand region, and</w:t>
      </w:r>
      <w:r>
        <w:rPr>
          <w:rFonts w:ascii="Times New Roman" w:hAnsi="Times New Roman"/>
          <w:sz w:val="24"/>
        </w:rPr>
        <w:t xml:space="preserve"> </w:t>
      </w:r>
      <m:oMath>
        <m:sSubSup>
          <m:e>
            <m:r>
              <m:t>c</m:t>
            </m:r>
          </m:e>
          <m:sub>
            <m:r>
              <m:t>i</m:t>
            </m:r>
            <m:r>
              <m:t>j</m:t>
            </m:r>
          </m:sub>
          <m:sup>
            <m:r>
              <m:t>G</m:t>
            </m:r>
          </m:sup>
        </m:sSubSup>
      </m:oMath>
      <w:r>
        <w:rPr>
          <w:rFonts w:ascii="Times New Roman" w:hAnsi="Times New Roman"/>
          <w:sz w:val="24"/>
        </w:rPr>
        <w:t xml:space="preserve"> </w:t>
      </w:r>
      <w:r>
        <w:rPr>
          <w:rFonts w:ascii="Times New Roman" w:hAnsi="Times New Roman"/>
          <w:sz w:val="24"/>
        </w:rPr>
        <w:t xml:space="preserve">is the fraction of the ground-truth ligand region covered by the blob. For each candidate blob</w:t>
      </w:r>
      <w:r>
        <w:rPr>
          <w:rFonts w:ascii="Times New Roman" w:hAnsi="Times New Roman"/>
          <w:sz w:val="24"/>
        </w:rPr>
        <w:t xml:space="preserve"> </w:t>
      </w:r>
      <m:oMath>
        <m:sSub>
          <m:e>
            <m:r>
              <m:t>B</m:t>
            </m:r>
          </m:e>
          <m:sub>
            <m:r>
              <m:t>i</m:t>
            </m:r>
          </m:sub>
        </m:sSub>
      </m:oMath>
      <w:r>
        <w:rPr>
          <w:rFonts w:ascii="Times New Roman" w:hAnsi="Times New Roman"/>
          <w:sz w:val="24"/>
        </w:rPr>
        <w:t xml:space="preserve">, the indices of ground-truth instances meeting a bidirectional coverage threshold of 0.30 are collected into the set:</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ascii="Times New Roman" w:hAnsi="Times New Roman"/>
          <w:sz w:val="24"/>
        </w:rPr>
        <w:t xml:space="preserve">A candidate blob</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is labeled as foreground if</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ascii="Times New Roman" w:hAnsi="Times New Roman"/>
          <w:sz w:val="24"/>
        </w:rPr>
        <w:t xml:space="preserve">is non-empty (i.e. sharing at least 30% bidirectional coverage with a ground-truth ligand); otherwise, it is labeled as background. For each foreground blob, we assign a unique ground-truth ligand instance by maximising the geometric mean of the two coverage fractions:</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ascii="Times New Roman" w:hAnsi="Times New Roman"/>
          <w:sz w:val="24"/>
        </w:rPr>
        <w:t xml:space="preserve">The SMILES string of this instance defines the ground-truth ligand identity for</w:t>
      </w:r>
      <w:r>
        <w:rPr>
          <w:rFonts w:ascii="Times New Roman" w:hAnsi="Times New Roman"/>
          <w:sz w:val="24"/>
        </w:rPr>
        <w:t xml:space="preserve"> </w:t>
      </w:r>
      <m:oMath>
        <m:sSub>
          <m:e>
            <m:r>
              <m:t>B</m:t>
            </m:r>
          </m:e>
          <m:sub>
            <m:r>
              <m:t>i</m:t>
            </m:r>
          </m:sub>
        </m:sSub>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After training LigandSeek-Find, we used it to run inference with deposited receptors on 1,650 training and 200 validation PDB entries. The resulting candidate blobs and associated auxiliary features formed the training and validation sets for Match.</w:t>
      </w:r>
    </w:p>
    <w:p>
      <w:pPr>
        <w:pStyle w:val="BodyText"/>
        <w:spacing w:line="480" w:lineRule="auto" w:after="120"/>
        <w:ind w:firstLine="480"/>
      </w:pPr>
      <w:r>
        <w:rPr>
          <w:rFonts w:ascii="Times New Roman" w:hAnsi="Times New Roman"/>
          <w:sz w:val="24"/>
        </w:rPr>
        <w:t xml:space="preserve">We also ran inference with LigandSeek-Find on the 179 test PDB entries using both deposited and CryoAtom2-reconstructed receptors. These conditions yielded 1,238 and 1,160 blobs defined as foreground blobs with corresponding parsable ligands, alongside 413 and 489 false-positive blobs, respectively. The Match test set incorporated all these candidate blobs without manual pre-filtering, ensuring that the benchmark accurately reflected real-world pipeline performance.</w:t>
      </w:r>
    </w:p>
    <w:p>
      <w:pPr>
        <w:pStyle w:val="BodyText"/>
        <w:spacing w:line="480" w:lineRule="auto" w:after="120"/>
        <w:ind w:firstLine="480"/>
      </w:pPr>
      <w:r>
        <w:rPr>
          <w:rFonts w:ascii="Times New Roman" w:hAnsi="Times New Roman"/>
          <w:sz w:val="24"/>
        </w:rPr>
        <w:t xml:space="preserve">We refer to the main model, which integrates the full voxel features, pocket context and auxiliary information, as strongest. The full voxel features comprise the 56-channel multi-view density bank and 50-dimensional receptor-atom features scattered onto the voxel grid. For comparison, we trained three ablation models under identical protocols: voxel-only (using only the full voxel features), density-only (using only the experimental density), and pocket-only (using only the pocket information).</w:t>
      </w:r>
    </w:p>
    <w:bookmarkEnd w:id="31"/>
    <w:bookmarkStart w:id="38" w:name="stage-2-results"/>
    <w:p>
      <w:pPr>
        <w:pStyle w:val="Heading3"/>
        <w:keepNext/>
        <w:spacing w:line="480" w:lineRule="auto"/>
        <w:ind w:firstLine="0"/>
      </w:pPr>
      <w:r>
        <w:rPr>
          <w:rFonts w:ascii="Times New Roman" w:hAnsi="Times New Roman"/>
          <w:sz w:val="24"/>
        </w:rPr>
        <w:t xml:space="preserve">Stage 2: Results</w:t>
      </w:r>
    </w:p>
    <w:p>
      <w:pPr>
        <w:pStyle w:val="CaptionedFigure"/>
        <w:keepNext/>
        <w:spacing w:line="240" w:lineRule="auto" w:before="0" w:after="0"/>
        <w:ind w:firstLine="0"/>
        <w:jc w:val="center"/>
      </w:pPr>
      <w:r>
        <w:rPr>
          <w:rFonts w:ascii="Times New Roman" w:hAnsi="Times New Roman"/>
          <w:sz w:val="24"/>
        </w:rPr>
        <w:drawing>
          <wp:inline>
            <wp:extent cx="5733415" cy="5752164"/>
            <wp:effectExtent b="0" l="0" r="0" t="0"/>
            <wp:docPr descr="Fig. 6 | Foreground F1 and ligand identity matching accuracy of each model with deposited receptors (a) and CryoAtom2-reconstructed receptors (b). 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 title="MDPPTFIG_eJzVVltvHDUU_itHK1WiYrOz9yRDqRRtElQpraK0iAcGRY7Hu2Nlxja2Z2e3lFcQQkhIIF5AvMIL_AAq2j9DLz-Dc8azl95oRcUDkTZzbB9_5zsXH_uzlmE-a8XQevL9_Uc_PoicZzPRf3L_u8c__3T-6OGfT3_5ov9u_68HXz_67duOMX7RakPLCqfzuUhp3yROkg-dsC5JeqP93n6SHAp36bVJkqe___H4hy-ffvPVk18fJkkwkCRvZEGxQhB6UN6xLGV2xzBpaZEz46VW5wWzl6VBtY9b16rYwKLIlYur95NW5r2Jo8jxTBTMdbQRChen2hbM49DOokrb1FjNhXNSzYo86ne746hgUiWt64R2auvPbb_MBVTxnOWIe6NAOpNgnvSilQbpXgphTqQSrp7fGlWxM4yjGcTJcQqB-sNu0mqGZ2VOU6z0usFs1GmnVCmqTaV1_iRs7TZKuBIIBKbhXyMfa-Ud7mOOS4l77shCOLglKjjTBVO16exAuZeu1agBgsAu6vFFLU6Cb_UXad5dB6Y_XFG_G7YHIp5yUrtDzA3WjbBzgarHctaBMdyDY23FzOoS3TzuAcNPLmf0kalQXvolYMp4RsFjnJeW8SXoKQjGMyh0KnKopM8gFUY76UUKVnBhvLYO3mFXa8CJXeoDrwssI8G1ct6W_DnNi6sdYu0D9_80nG8RNPgfcJzkml9W0gmYWl2AzwRgL2jXgpMLYAu07DJdgZ4Ly_Icbt-8cXJ0uw2uoFGhc8HxQDicKGfM4ne6XSJtKIRnOeABdHV2DeYQa8V14IylEleQd4k2LFOzhkS_ewVJQK_bvdKBj15RLm3otcejHnAElSnzBCE-LaUVwHOGXWIqOaNzX1tdFWWbirHKJFZjr90f7AFD_Q3hDtzJMDTAdWEsBWWwt_-io_294drZ0Xj4vIe9lY8N-dfWc-3KcP9tXOmNu691Zbj3Eld2dzeuDP7JldMmb3SsEd-TKdAqX0K30927QmRWnQBdZAo7NUp1HU1LNIp-MSf8ezgjKdvkHLo603YJFXOgtAeWppL8RJJLEMqibyJtYzBcmXtqKQjIgC4A7PENM8BweYRyyPFQskKrlAynFDIBRzePzg5ODnduHG61I4ojqQi8ZqhrhbDsrMISEJFrGxjV_AxzVTtKJwCoDCk_vrSKKGH5SqxqK9AiccfCPt0MoBLoaNBGGOaxePoNxisbIQVx0Btsq722hp7th3TNXG99gnfv-s5tjXYHg2FvtBjtjvq98fDeNSN5jL_mGmZvdA2nllUv3L8NAmL9GwzchtERaxj7RiB6iodCHGpeFpjBgGRFXh8Tl0njqA2Sh2p-Kjk1QRrwW_NTizF3nKxM4qh-CUX1Qyhq3kHR9jMo8qIw6KYqcYs0_nwqZ0jWnU8vuntiKUQUJs679DfuGDVDR2SK6APsxEDvIpRPVz5iatY8NpQCQUYRPMF2TIdhklE_PLBWV5lgqUOQHuGtFpwR3IdJxNxs3TIQUKMXgnCRS3Ms85wsklzvDwKLsbIE9hcSp6hzhlbq9WcGa6XoWTwaOXzfwEV1E-_6rUcSixdTW9AXEweL8CyC5fp5VM_TsljgYab1plxRiy_rYV21jTJq1d8VqMHn1gcCrw4SUBuPhQ9m2fzEBd2NtNKmdaUD9WgjsjhXQK_S_VF_FFBeqkV5OaofdVsyiz2T-Wp6W85VEy9n1nnB3_XW538DmwAszg" id="33" name="Picture"/>
            <a:graphic>
              <a:graphicData uri="http://schemas.openxmlformats.org/drawingml/2006/picture">
                <pic:pic>
                  <pic:nvPicPr>
                    <pic:cNvPr descr="C:/Users/15919/Desktop/论文草稿/temp/manuscript_figures_fb08eyee/figure_000006.png" id="34" name="Picture"/>
                    <pic:cNvPicPr>
                      <a:picLocks noChangeArrowheads="1" noChangeAspect="1"/>
                    </pic:cNvPicPr>
                  </pic:nvPicPr>
                  <pic:blipFill>
                    <a:blip r:embed="rId32"/>
                    <a:stretch>
                      <a:fillRect/>
                    </a:stretch>
                  </pic:blipFill>
                  <pic:spPr bwMode="auto">
                    <a:xfrm>
                      <a:off x="0" y="0"/>
                      <a:ext cx="5733415" cy="57521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6 | Foreground F1 and ligand identity matching accuracy of each model with deposited receptors (a) and CryoAtom2-reconstructed receptors (b).</w:t>
      </w:r>
      <w:r>
        <w:rPr>
          <w:rFonts w:ascii="Times New Roman" w:hAnsi="Times New Roman"/>
          <w:sz w:val="24"/>
        </w:rPr>
        <w:t xml:space="preserve"> </w:t>
      </w:r>
      <w:r>
        <w:rPr>
          <w:rFonts w:ascii="Times New Roman" w:hAnsi="Times New Roman"/>
          <w:sz w:val="24"/>
        </w:rPr>
        <w:t xml:space="preserve">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w:t>
      </w:r>
    </w:p>
    <w:p>
      <w:pPr>
        <w:pStyle w:val="BodyText"/>
        <w:spacing w:line="480" w:lineRule="auto" w:after="120"/>
        <w:ind w:firstLine="480"/>
      </w:pPr>
      <w:r>
        <w:rPr>
          <w:rStyle w:val="MDFIGREF_eJyrrk7LTC9KTbMqLklMTzXSLUpMSSzSLUjMLKpJrK0FALa-C9E"/>
          <w:rFonts w:ascii="Times New Roman" w:hAnsi="Times New Roman"/>
          <w:sz w:val="24"/>
        </w:rPr>
        <w:t xml:space="preserve">Fig. 6a</w:t>
      </w:r>
      <w:r>
        <w:rPr>
          <w:rFonts w:ascii="Times New Roman" w:hAnsi="Times New Roman"/>
          <w:sz w:val="24"/>
        </w:rPr>
        <w:t xml:space="preserve"> </w:t>
      </w:r>
      <w:r>
        <w:rPr>
          <w:rFonts w:ascii="Times New Roman" w:hAnsi="Times New Roman"/>
          <w:sz w:val="24"/>
        </w:rPr>
        <w:t xml:space="preserve">shows false-positive detection and ligand identity matching for four model variants with deposited receptors.</w:t>
      </w:r>
      <w:r>
        <w:rPr>
          <w:rFonts w:ascii="Times New Roman" w:hAnsi="Times New Roman"/>
          <w:sz w:val="24"/>
        </w:rPr>
        <w:t xml:space="preserve"> </w:t>
      </w:r>
      <w:r>
        <w:rPr>
          <w:rStyle w:val="MDFIGREF_eJyrrk7LTC9KTbMqLklMTzXSLUpMSSzSLUjMLKpJqq0FALbBC9I"/>
          <w:rFonts w:ascii="Times New Roman" w:hAnsi="Times New Roman"/>
          <w:sz w:val="24"/>
        </w:rPr>
        <w:t xml:space="preserve">Fig. 6b</w:t>
      </w:r>
      <w:r>
        <w:rPr>
          <w:rFonts w:ascii="Times New Roman" w:hAnsi="Times New Roman"/>
          <w:sz w:val="24"/>
        </w:rPr>
        <w:t xml:space="preserve"> </w:t>
      </w:r>
      <w:r>
        <w:rPr>
          <w:rFonts w:ascii="Times New Roman" w:hAnsi="Times New Roman"/>
          <w:sz w:val="24"/>
        </w:rPr>
        <w:t xml:space="preserve">shows the corresponding false-positive detection and identity matching results with CryoAtom2-reconstructed receptors. We treated each candidate blob as one sample and computed foreground F1 and ligand identity matching accuracy across blobs. We also calculated matching accuracy separately for small molecules, metal ions, sugars and peptides.</w:t>
      </w:r>
    </w:p>
    <w:p>
      <w:pPr>
        <w:pStyle w:val="BodyText"/>
        <w:spacing w:line="480" w:lineRule="auto" w:after="120"/>
        <w:ind w:firstLine="480"/>
      </w:pPr>
      <w:r>
        <w:rPr>
          <w:rFonts w:ascii="Times New Roman" w:hAnsi="Times New Roman"/>
          <w:sz w:val="24"/>
        </w:rPr>
        <w:t xml:space="preserve">With deposited receptors, strongest achieved an overall matching accuracy of 87.8% and a foreground F1 of 86.0%. Matching accuracy was 92.5% for small molecules and 93.1% for metal ions, both exceeding the 70.8% (201/284) achieved for sugars. The voxel-only model achieved a foreground F1 of 84.1% and an overall matching accuracy of 83.7%. Its matching accuracy was slightly lower than that of strongest (87.8%) but substantially higher than those of density-only (78.6%) and pocket-only (79.4%). These comparisons indicated that the full voxel feature set contributed substantially to ligand discrimination.</w:t>
      </w:r>
    </w:p>
    <w:p>
      <w:pPr>
        <w:pStyle w:val="BodyText"/>
        <w:spacing w:line="480" w:lineRule="auto" w:after="120"/>
        <w:ind w:firstLine="480"/>
      </w:pPr>
      <w:r>
        <w:rPr>
          <w:rFonts w:ascii="Times New Roman" w:hAnsi="Times New Roman"/>
          <w:sz w:val="24"/>
        </w:rPr>
        <w:t xml:space="preserve">With CryoAtom2-reconstructed receptors, strongest still achieved 86.6% overall matching accuracy and a foreground F1 of 82.9%, which showed no marked decline for any of the four models. By contrast, Find showed a little reduction in ligand localisation performance</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Match was therefore more robust to the change in receptor source.</w:t>
      </w:r>
    </w:p>
    <w:p>
      <w:pPr>
        <w:pStyle w:val="CaptionedFigure"/>
        <w:keepNext/>
        <w:spacing w:line="240" w:lineRule="auto" w:before="0" w:after="0"/>
        <w:ind w:firstLine="0"/>
        <w:jc w:val="center"/>
      </w:pPr>
      <w:r>
        <w:rPr>
          <w:rFonts w:ascii="Times New Roman" w:hAnsi="Times New Roman"/>
          <w:sz w:val="24"/>
        </w:rPr>
        <w:drawing>
          <wp:inline>
            <wp:extent cx="5733415" cy="5608064"/>
            <wp:effectExtent b="0" l="0" r="0" t="0"/>
            <wp:docPr descr="Fig. 7 | Ligand identity matching accuracy of strongest versus the number of candidate ligand identities, with deposited receptors (a) and CryoAtom2-reconstructed receptors (b). 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 title="MDPPTFIG_eJzVVl9rJEUQ_yrNgODhZmd2s5s_wxmIGyMH6xmi4oMjobendrfJTHfT3fvvPF-VQwRB8UXxTfRFP4CHd99FzCUfw6rp2T-5RAyKDy7MTHXXr35V3VXdtR9HhvtxlLLo8uunF98-i53nI2hfPv3qxfffnV08_-3qx0_br7X_ePb5xc9fNo3x86jBIgtOF1PIya6XZtn7DqzLslZ3v7WfZUfgzr02WXb1y68vvvns6osnlz89z7LgIMvu5EHxEog9gLect1qNwPktw6UlgODGS63OSm7PJwahH0b3Z6lh87JQLp29nkVj700ax06MoeSuqQ0oVA61LbnHoR3FM21zY7UA56QalUXcTpKduORSZdEBsZ3Y6vOuXxTAZumUF8j7oMSQesE94eIlgrDnAKYvFbhqfmM0S53hAt0gT4FTSNTuJFlUD08nBU3xidc1Zw0nS6lyhA2ldb4fTJMahJoQQIg0vGr5WCvv0I47ISXavCdLcOwhzNipLrmqXI8PlbtVV7EGCiIbVONBJfbC2qovhvlotTHtzjL0R8E8BOIpJ9VyKHKDtQN2Cgg9lqMm22WPWV-OOC5R5qC89AuGCRJj2iouxMRysWB6yFYlwKZYbBPH_BiYmpQDsKQWyCBz7oEV19gkuAabST9mORjtpIecWRBgvLaOvcrvMQL37EIfel22t1CnFfqaiJeQg3tNWpQPS_tPd_tf7Cn7H8T4wV9ko8FGVk-MC-lqNVi7wbYbrFNl6PcnP3SZ0KUBT5VxI8moUx5PLuu09tGmi69WC633upV5a6fNyB06wUAMCC-nUCyarArmb9PfqKpNaEvGGisNQ6iDXfulWDv42sfQd7aD225yu9t3FGyU7LrygSuqbO4ZL4oNhIURXjeODaDAU4AQzTg7OXqDoaFdLIOgsLQq8Lyol8_BosGcXh8o6ZjiHuUC0a0keeV6cdOVchB9hPfs6n6Nurvb251Wd97dSfaSnc7j-0aKFJ_6yuV3unJzy2c37tqaAbn-CQea4UJgRWPvRKKHQyngSItJifsTmCwUnG51N5bGUU3TCtX0RAqqaBqIh9MTi7XrBHnppXHV-eKq8cV134s3217soTS4TDVBE2n82VCOMFh3Nhwke7AAiMPEWUK_3aZRI1yIzJF9excl6oMonyzXiKlZxbEOKQTIaQf7WpxjbnVvzPG2PLRWz8bAc4ckLeJbKqpiDJPIuTbdcBBY4xubMCikOZZFQR5JruyDwFM8O4C3N4lDxJyil0p_bbACxdf5aOSwl7HB7G2dbzZEns6HtqQvJo7NQwtki1UrrOZJDXPPBOnrckWUIFhdtTUYUdV3SWqwtb4FumQkIBoPvg9u-bTvAnYtLdGkVzqEHq9FnhaK0T-Q_W67G1huRVFe3qwa-IbMUzzIxXJ6Uy5UvV_OrPKCz0H0yZ-YaXEW" id="36" name="Picture"/>
            <a:graphic>
              <a:graphicData uri="http://schemas.openxmlformats.org/drawingml/2006/picture">
                <pic:pic>
                  <pic:nvPicPr>
                    <pic:cNvPr descr="C:/Users/15919/Desktop/论文草稿/temp/manuscript_figures_fb08eyee/figure_000007.png" id="37" name="Picture"/>
                    <pic:cNvPicPr>
                      <a:picLocks noChangeArrowheads="1" noChangeAspect="1"/>
                    </pic:cNvPicPr>
                  </pic:nvPicPr>
                  <pic:blipFill>
                    <a:blip r:embed="rId35"/>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7 | Ligand identity matching accuracy of strongest versus the number of candidate ligand identities, with deposited receptors (a) and CryoAtom2-reconstructed receptors (b).</w:t>
      </w:r>
      <w:r>
        <w:rPr>
          <w:rFonts w:ascii="Times New Roman" w:hAnsi="Times New Roman"/>
          <w:sz w:val="24"/>
        </w:rPr>
        <w:t xml:space="preserve"> </w:t>
      </w:r>
      <w:r>
        <w:rPr>
          <w:rFonts w:ascii="Times New Roman" w:hAnsi="Times New Roman"/>
          <w:sz w:val="24"/>
        </w:rPr>
        <w:t xml:space="preserve">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w:t>
      </w:r>
    </w:p>
    <w:p>
      <w:pPr>
        <w:pStyle w:val="BodyText"/>
        <w:spacing w:line="480" w:lineRule="auto" w:after="120"/>
        <w:ind w:firstLine="480"/>
      </w:pPr>
      <w:r>
        <w:rPr>
          <w:rStyle w:val="MDFIGREF_eJyrrk7LTC9KTbMqLklMTzXSLS4pys9LTy0u0S1IzCyqSdRJqq0FAAjSDj4"/>
          <w:rFonts w:ascii="Times New Roman" w:hAnsi="Times New Roman"/>
          <w:sz w:val="24"/>
        </w:rPr>
        <w:t xml:space="preserve">Fig. 7a, b</w:t>
      </w:r>
      <w:r>
        <w:rPr>
          <w:rFonts w:ascii="Times New Roman" w:hAnsi="Times New Roman"/>
          <w:sz w:val="24"/>
        </w:rPr>
        <w:t xml:space="preserve"> </w:t>
      </w:r>
      <w:r>
        <w:rPr>
          <w:rFonts w:ascii="Times New Roman" w:hAnsi="Times New Roman"/>
          <w:sz w:val="24"/>
        </w:rPr>
        <w:t xml:space="preserve">stratifies strongest’s results by the number of unique SMILES identities in each PDB entry, corresponding to the ligand identities competing for assignment to each candidate region. Identity discrimination became more difficult as the number of competing identities increased. For example, with deposited receptors, small-molecule matching accuracy fell from 94.8% in entries with two identities to 65.9% in entries with four. Nevertheless, when fewer than four identities competed, matching accuracy generally exceeded 80% across ligand categories. These cases accounted for approximately 80% of practical tasks, making Match useful for the majority of cases.</w:t>
      </w:r>
    </w:p>
    <w:p>
      <w:pPr>
        <w:pStyle w:val="BodyText"/>
        <w:spacing w:line="480" w:lineRule="auto" w:after="120"/>
        <w:ind w:firstLine="480"/>
      </w:pPr>
      <w:r>
        <w:rPr>
          <w:rFonts w:ascii="Times New Roman" w:hAnsi="Times New Roman"/>
          <w:sz w:val="24"/>
        </w:rPr>
        <w:t xml:space="preserve">Metal ions retained high matching accuracy across all groups and were easier to distinguish from other ligand identities. During identity matching, the model received no prior information about the ligand category of each candidate blob, so this likely reflects their greater chemical separability from the other ligands.</w:t>
      </w:r>
    </w:p>
    <w:p>
      <w:pPr>
        <w:pStyle w:val="BodyText"/>
        <w:spacing w:line="480" w:lineRule="auto" w:after="120"/>
        <w:ind w:firstLine="480"/>
      </w:pPr>
      <w:r>
        <w:rPr>
          <w:rFonts w:ascii="Times New Roman" w:hAnsi="Times New Roman"/>
          <w:sz w:val="24"/>
        </w:rPr>
        <w:t xml:space="preserve">We also evaluated EMERALD-ID, whose supported ligand scope is limited to small molecules. EMERALD-ID individually docks each candidate small-molecule identity at each site and then uses the resulting docking scores to infer the most likely ligand identity. Its computational complexity per PDB entry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counts small-molecule ligand instances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counts small-molecule identities. In contrast, our model supports GPU acceleration through vectorised computation and required a mean of only 0.09 s to match each candidate blob, as measured on an NVIDIA H100 GPU.</w:t>
      </w:r>
    </w:p>
    <w:p>
      <w:pPr>
        <w:pStyle w:val="BodyText"/>
        <w:spacing w:line="480" w:lineRule="auto" w:after="120"/>
        <w:ind w:firstLine="480"/>
      </w:pPr>
      <w:r>
        <w:rPr>
          <w:rFonts w:ascii="Times New Roman" w:hAnsi="Times New Roman"/>
          <w:sz w:val="24"/>
        </w:rPr>
        <w:t xml:space="preserve">By contrast, EMERALD-ID cannot use GPU acceleration and required a mean of 64 min to dock one small-molecule identity at one site on a single CPU core. Its runtime was almost prohibitive for PDB entries in the high-cost tail, which required docking more small molecules. We therefore defined a separate evaluation subset for EMERALD-ID within the original test set. Among entries containing small molecules, we excluded the 10% with the highest</w:t>
      </w:r>
      <w:r>
        <w:rPr>
          <w:rFonts w:ascii="Times New Roman" w:hAnsi="Times New Roman"/>
          <w:sz w:val="24"/>
        </w:rPr>
        <w:t xml:space="preserve"> </w:t>
      </w:r>
      <m:oMath>
        <m:sSub>
          <m:e>
            <m:r>
              <m:t>N</m:t>
            </m:r>
          </m:e>
          <m:sub>
            <m:r>
              <m:t>g</m:t>
            </m:r>
          </m:sub>
        </m:sSub>
        <m:r>
          <m:rPr>
            <m:sty m:val="p"/>
          </m:rPr>
          <m:t>×</m:t>
        </m:r>
        <m:r>
          <m:t>K</m:t>
        </m:r>
      </m:oMath>
      <w:r>
        <w:rPr>
          <w:rFonts w:ascii="Times New Roman" w:hAnsi="Times New Roman"/>
          <w:sz w:val="24"/>
        </w:rPr>
        <w:t xml:space="preserve">, retaining 357 small-molecule sites from 84 PDB entries. We supplied all small-molecule identities from the same PDB entry for matching. Chemical preparation failed at many sites, preventing EMERALD-ID from returning results. We therefore calculated its matching accuracy only for sites that returned valid results.</w:t>
      </w:r>
      <w:r>
        <w:rPr>
          <w:rFonts w:ascii="Times New Roman" w:hAnsi="Times New Roman"/>
          <w:sz w:val="24"/>
        </w:rPr>
        <w:t xml:space="preserve"> </w:t>
      </w:r>
      <w:r>
        <w:rPr>
          <w:rStyle w:val="MDFIGREF_eJyrrk7LTC9KTbMqLklMTzXSLUpMSSzSLUjMLKpJrK0FALa-C9E"/>
          <w:rFonts w:ascii="Times New Roman" w:hAnsi="Times New Roman"/>
          <w:sz w:val="24"/>
        </w:rPr>
        <w:t xml:space="preserve">Fig. 6a</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MDFIGREF_eJyrrk7LTC9KTbMqLklMTzXSLUpMSSzSLUjMLKpJqq0FALbBC9I"/>
          <w:rFonts w:ascii="Times New Roman" w:hAnsi="Times New Roman"/>
          <w:sz w:val="24"/>
        </w:rPr>
        <w:t xml:space="preserve">Fig. 6b</w:t>
      </w:r>
      <w:r>
        <w:rPr>
          <w:rFonts w:ascii="Times New Roman" w:hAnsi="Times New Roman"/>
          <w:sz w:val="24"/>
        </w:rPr>
        <w:t xml:space="preserve"> </w:t>
      </w:r>
      <w:r>
        <w:rPr>
          <w:rFonts w:ascii="Times New Roman" w:hAnsi="Times New Roman"/>
          <w:sz w:val="24"/>
        </w:rPr>
        <w:t xml:space="preserve">show its performance with deposited and CryoAtom2-reconstructed receptors, respectively.</w:t>
      </w:r>
    </w:p>
    <w:bookmarkEnd w:id="38"/>
    <w:bookmarkEnd w:id="39"/>
    <w:bookmarkStart w:id="52" w:name="stage-3"/>
    <w:p>
      <w:pPr>
        <w:pStyle w:val="Heading2"/>
        <w:keepNext/>
        <w:spacing w:line="480" w:lineRule="auto"/>
        <w:ind w:firstLine="0"/>
      </w:pPr>
      <w:r>
        <w:rPr>
          <w:rFonts w:ascii="Times New Roman" w:hAnsi="Times New Roman"/>
          <w:sz w:val="24"/>
        </w:rPr>
        <w:t xml:space="preserve">Stage 3</w:t>
      </w:r>
    </w:p>
    <w:bookmarkStart w:id="43" w:name="X91e1e06dd91711c282eeed02d5c10f441569161"/>
    <w:p>
      <w:pPr>
        <w:pStyle w:val="Heading3"/>
        <w:keepNext/>
        <w:spacing w:line="480" w:lineRule="auto"/>
        <w:ind w:firstLine="0"/>
      </w:pPr>
      <w:r>
        <w:rPr>
          <w:rFonts w:ascii="Times New Roman" w:hAnsi="Times New Roman"/>
          <w:sz w:val="24"/>
        </w:rPr>
        <w:t xml:space="preserve">Stage 3: Comparison of PocketXMol-official and PocketXMol-tuned</w:t>
      </w:r>
    </w:p>
    <w:p>
      <w:pPr>
        <w:pStyle w:val="FirstParagraph"/>
        <w:spacing w:line="480" w:lineRule="auto" w:after="120"/>
        <w:ind w:firstLine="480"/>
      </w:pPr>
      <w:r>
        <w:rPr>
          <w:rFonts w:ascii="Times New Roman" w:hAnsi="Times New Roman"/>
          <w:sz w:val="24"/>
        </w:rPr>
        <w:t xml:space="preserve">We compared the official PocketXMol model with our fine-tuned version. The official model accepts a ligand SMILES string and its binding pocket or binding site, generating 50 candidate poses by default.</w:t>
      </w:r>
    </w:p>
    <w:p>
      <w:pPr>
        <w:pStyle w:val="BodyText"/>
        <w:spacing w:line="480" w:lineRule="auto" w:after="120"/>
        <w:ind w:firstLine="480"/>
      </w:pPr>
      <w:r>
        <w:rPr>
          <w:rFonts w:ascii="Times New Roman" w:hAnsi="Times New Roman"/>
          <w:sz w:val="24"/>
        </w:rPr>
        <w:t xml:space="preserve">PocketXMol provides two pocket definitions for docking: the Envelope pocket and the Centre pocket. The Envelope pocket includes all atoms of a receptor residue if at least one of its atoms lies within a ligand atom’s 10 Å envelope. The Centre pocket includes all receptor atoms within a 15 Å sphere centred on the binding site.</w:t>
      </w:r>
    </w:p>
    <w:p>
      <w:pPr>
        <w:pStyle w:val="BodyText"/>
        <w:spacing w:line="480" w:lineRule="auto" w:after="120"/>
        <w:ind w:firstLine="480"/>
      </w:pPr>
      <w:r>
        <w:rPr>
          <w:rFonts w:ascii="Times New Roman" w:hAnsi="Times New Roman"/>
          <w:sz w:val="24"/>
        </w:rPr>
        <w:t xml:space="preserve">We treated these pocket definitions as separate training and testing conditions. We trained one fine-tuned model for each definition and evaluated each model under its corresponding condition.</w:t>
      </w:r>
    </w:p>
    <w:p>
      <w:pPr>
        <w:pStyle w:val="BodyText"/>
        <w:spacing w:line="480" w:lineRule="auto" w:after="120"/>
        <w:ind w:firstLine="480"/>
      </w:pPr>
      <w:r>
        <w:rPr>
          <w:rFonts w:ascii="Times New Roman" w:hAnsi="Times New Roman"/>
          <w:sz w:val="24"/>
        </w:rPr>
        <w:t xml:space="preserve">To assess fine-tuning, we used all single-residue organic small molecules with no atoms missing relative to their templates from the 179 PDB entries. This test set comprised a total of 446 ligand instances.</w:t>
      </w:r>
    </w:p>
    <w:p>
      <w:pPr>
        <w:pStyle w:val="BodyText"/>
        <w:spacing w:line="480" w:lineRule="auto" w:after="120"/>
        <w:ind w:firstLine="480"/>
      </w:pPr>
      <w:r>
        <w:rPr>
          <w:rFonts w:ascii="Times New Roman" w:hAnsi="Times New Roman"/>
          <w:sz w:val="24"/>
        </w:rPr>
        <w:t xml:space="preserve">We used two complementary docking metrics based on heavy-atom root-mean-square deviation (RMSD). Top-1 RMSD measures the error of the top-1 pose, ranked first by the model’s own score, and reflects accuracy in blind evaluation. Best RMSD measures the lowest error among the 50 generated candidates, defining the best-of-50 pose. This metric measures the upper limit of the model’s pose sampling capacity.</w:t>
      </w:r>
    </w:p>
    <w:p>
      <w:pPr>
        <w:pStyle w:val="BodyText"/>
        <w:spacing w:line="480" w:lineRule="auto" w:after="120"/>
        <w:ind w:firstLine="480"/>
      </w:pPr>
      <w:r>
        <w:rPr>
          <w:rFonts w:ascii="Times New Roman" w:hAnsi="Times New Roman"/>
          <w:sz w:val="24"/>
        </w:rPr>
        <w:t xml:space="preserve">Across the 446 test instances, density-guided PocketXMol-tuned achieved substantially greater pose accuracy than PocketXMol-official under every test condition</w:t>
      </w:r>
      <w:r>
        <w:rPr>
          <w:rFonts w:ascii="Times New Roman" w:hAnsi="Times New Roman"/>
          <w:sz w:val="24"/>
        </w:rPr>
        <w:t xml:space="preserve"> </w:t>
      </w:r>
      <w:r>
        <w:rPr>
          <w:rFonts w:ascii="Times New Roman" w:hAnsi="Times New Roman"/>
          <w:sz w:val="24"/>
        </w:rPr>
        <w:t xml:space="preserve">(</w:t>
      </w:r>
      <w:r>
        <w:rPr>
          <w:rStyle w:val="MDFIGREF_eJyrrk7LTC9KTbMqLklMTzXWzU9Ly0zOTMzRLSnNS02prQUAz88MnA"/>
          <w:rFonts w:ascii="Times New Roman" w:hAnsi="Times New Roman"/>
          <w:sz w:val="24"/>
        </w:rPr>
        <w:t xml:space="preserve">Fig. 8</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improvement was particularly pronounced with the Centre pocket and deposited receptors. Without density guidance, the official model had considerable translational and rotational freedom within the spacious 15 Å pocket, allowing poses to settle in geometrically plausible cavities outside the active binding site. The official model achieved a median top-1 RMSD of 2.31 Å, with only 44.7% of predictions achieving RMSD &lt; 2 Å. Adding local three-dimensional constraints from the cryo-EM density reduced the median top-1 RMSD to 1.29 Å, while the corresponding success rates increased to 73.8% at RMSD &lt; 2 Å and 83.4% at RMSD &lt; 3 Å. For best-of-50 poses, fine-tuning substantially reduced the median minimum RMSD from 1.43 Å to 0.77 Å. The fraction achieving RMSD &lt; 2 Å increased sharply from 61.6% to 93.0%.</w:t>
      </w:r>
    </w:p>
    <w:p>
      <w:pPr>
        <w:pStyle w:val="BodyText"/>
        <w:spacing w:line="480" w:lineRule="auto" w:after="120"/>
        <w:ind w:firstLine="480"/>
      </w:pPr>
      <w:r>
        <w:rPr>
          <w:rFonts w:ascii="Times New Roman" w:hAnsi="Times New Roman"/>
          <w:sz w:val="24"/>
        </w:rPr>
        <w:t xml:space="preserve">Fine-tuning also improved docking accuracy when both models were evaluated on the more tightly defined Envelope pocket. With deposited receptors, median top-1 RMSD fell from 1.55 Å to 1.14 Å. The corresponding success rate at RMSD &lt; 2 Å increased from 62.9% to 78.0%. Median best RMSD fell from 0.94 Å to 0.69 Å, with 97.1% of best-of-50 poses achieving RMSD &lt; 2 Å. These results showed that cryo-EM density provided effective docking guidance.</w:t>
      </w:r>
    </w:p>
    <w:p>
      <w:pPr>
        <w:pStyle w:val="BodyText"/>
        <w:spacing w:line="480" w:lineRule="auto" w:after="120"/>
        <w:ind w:firstLine="480"/>
      </w:pPr>
      <w:r>
        <w:rPr>
          <w:rFonts w:ascii="Times New Roman" w:hAnsi="Times New Roman"/>
          <w:sz w:val="24"/>
        </w:rPr>
        <w:t xml:space="preserve">The fine-tuned model was also effective with CryoAtom2-reconstructed receptors. Replacing deposited receptors with CryoAtom2-reconstructed receptors increased the official model’s median top-1 RMSD from 2.31 Å to 3.01 Å with Centre pockets. Its success rate at RMSD &lt; 2 Å fell to 39.9%. By comparison, PocketXMol-tuned retained a median top-1 RMSD of 1.44 Å and a success rate of 67.5% at RMSD &lt; 2 Å. Its performance substantially exceeded that of the official model even with deposited receptors.</w:t>
      </w:r>
    </w:p>
    <w:p>
      <w:pPr>
        <w:pStyle w:val="CaptionedFigure"/>
        <w:keepNext/>
        <w:spacing w:line="240" w:lineRule="auto" w:before="0" w:after="0"/>
        <w:ind w:firstLine="0"/>
        <w:jc w:val="center"/>
      </w:pPr>
      <w:r>
        <w:rPr>
          <w:rFonts w:ascii="Times New Roman" w:hAnsi="Times New Roman"/>
          <w:sz w:val="24"/>
        </w:rPr>
        <w:drawing>
          <wp:inline>
            <wp:extent cx="5733415" cy="4421778"/>
            <wp:effectExtent b="0" l="0" r="0" t="0"/>
            <wp:docPr descr="Fig. 8 | Comparison of PocketXMol-official and density-guided PocketXMol-tuned on 446 small-molecule docking tasks. a, Distribution of top-1 RMSD, according to each model’s own score. b,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 title="MDPPTFIG_eJztV1GLGzcQ_ivCTy2cvbZj5-7cNJD6klK4hOOSQqFbDlk79orTSkLSeu00hbyU0oc-pRRKS5_71B_QQPvQfxJokp_RGWntc3r3EFpSCPTgbiXNN9-MZmZn5z7vWB7KzoR1Xnz79M8ffst84Au49uLpk-c__dizNqw6e6zjwBu1hIJw00mef-zB-TwfjA8Hh3l-BP48GJvnL3_59fl3X7385usXP_-e54kwz69k1LwCYkvCrpnPpZBcdUOt0QwCBLdBGn1WcXdeW4R-2rnRTCxbVUr7SfN-3ilDsJMs86KEivuesaBRODeu4gG3bpE1xhXWGQHeS72oVDbs969nFZc679wkthMXH_fDWgFrJkuukPejCl2aJvOEyzYIwp4D2GOpwcfznV0z8ZYLNIM8Co-QaDjq5512e1orOuJ1MC1nCydNqQuEzaXz4Tip9lsQSpIDydP0p13fMTp41ONeSIk6D2QFnt2Dhp2aiutouryl_ZWyyJooiGwW97O4nKa7xSe6-XAbmOFo4_rDpJ4cCZSTeB3y3GKtgFsCQu_IRY8dsEdsairLnfRGMzNnJ0acQ_jkrlHbtDOOESgAfQ3r7qKWBRS7sFgUDLVHo-vMV1ypbmUUCIwpKxBGUQ_cn_seuRWSc280Xv8iKuy_8vGN5JS_BRHeY0fSBydnNb3CVHLYnboDdnr3_tEe40JgW4glYxhwUbLKFKCePf7eM9No5lEM_xfSmy6k2VsQ4cuFNAMf2jrygB0oYF_inoUSmDINCrskZNZ4YLwyWGTjPhPY3WTBA_geOwVfK7wbfqaYAB0cdAuYS-pvgzH740vmbQlOCuyJNjZAz96ZRly7f5dxa4E7aofRLMzDq7QbvQ3vbM04G_SJHPQSFH4oGXemxpar5II6Lw-mQju3N9KrLTm5KNHUByaULSKZkBQcj5TAAONccwpKIxFVAAZCxhihlalbm1toadh1IFAjuDrGD3dgg3EYndv0OlojdcDTmAiqA6Nh46lENa4FkBsr8Hsphhgs-sb6aKYppT_H8QSxBcYxQHR-OA7ls8dP9sfkPDhSk4oIKigk11EzQQ4vQdAPi6mWGJ11jz1AtiW4EHPEVxINeUz-Aj9woaykeI-ZOihJHvCZWQJVAIa-jSUVi0ODC0XuhugbdqdEu_0cxo7E5hztFzGnFIJAtbcJAFai4LVPl9uWYpsWjG7gMffaMEyJRIkzAaROqSZr5PeGq0GvYCVUTd_duTMVkxh2FAYsfyn-9lmlceRm5zOc0bazWWe8f-3aaDBejUbDwf7-waMbVooJ_rbjGn-tca1wvLk0p7UMyPVPOFAt1A62NO61SGIe4MiIusIiSEwOFI-FXkrrqY3QDfXyRApqIrQR95YnDmveC7IynWRxSs7ikJy1M3K2OyJnASqL19Q1qkgbzuZygc76s_msfwBrgCwdnPXp56Bn9QIvIgtkHw1xRTM0rk82d8TUbP24cCk5yCmCx1geHmtiWmIBwi3nTFMCLzySDIhvI4jlng6R80J1x0BizS4FYaakvSOVIou0jvppwSf4ykMQJS3niDlFK1H-ymYLyl7lo53HOZjNmrv4euwM03yymruKnpg4tkrjM1tvx-h4TmJY4btB8rZcESUI1lZtC0ZUfG5ILY7lHwK-FLRANParkMzy5bFP2IvVBk1ybZLr2cWST5Rm9N_L4Xg4TixXoigvt-Pwv7PmE3yt1eZ4d610Gy9vt3nB35udL_4COvvZkQ" id="41" name="Picture"/>
            <a:graphic>
              <a:graphicData uri="http://schemas.openxmlformats.org/drawingml/2006/picture">
                <pic:pic>
                  <pic:nvPicPr>
                    <pic:cNvPr descr="C:/Users/15919/Desktop/论文草稿/temp/manuscript_figures_fb08eyee/figure_000008.png" id="42" name="Picture"/>
                    <pic:cNvPicPr>
                      <a:picLocks noChangeArrowheads="1" noChangeAspect="1"/>
                    </pic:cNvPicPr>
                  </pic:nvPicPr>
                  <pic:blipFill>
                    <a:blip r:embed="rId40"/>
                    <a:stretch>
                      <a:fillRect/>
                    </a:stretch>
                  </pic:blipFill>
                  <pic:spPr bwMode="auto">
                    <a:xfrm>
                      <a:off x="0" y="0"/>
                      <a:ext cx="5733415" cy="44217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8 | Comparison of PocketXMol-official and density-guided PocketXMol-tuned on 446 small-molecule docking tasks.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Distribution of top-1 RMSD, according to each model’s own score.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w:t>
      </w:r>
    </w:p>
    <w:bookmarkEnd w:id="43"/>
    <w:bookmarkStart w:id="47" w:name="Xf5ab2934b575ce019262194de9f4d310a201cf1"/>
    <w:p>
      <w:pPr>
        <w:pStyle w:val="Heading3"/>
        <w:keepNext/>
        <w:spacing w:line="480" w:lineRule="auto"/>
        <w:ind w:firstLine="0"/>
      </w:pPr>
      <w:r>
        <w:rPr>
          <w:rFonts w:ascii="Times New Roman" w:hAnsi="Times New Roman"/>
          <w:sz w:val="24"/>
        </w:rPr>
        <w:t xml:space="preserve">Stage 3: Fair comparison with Emap2lig-Build</w:t>
      </w:r>
    </w:p>
    <w:p>
      <w:pPr>
        <w:pStyle w:val="FirstParagraph"/>
        <w:spacing w:line="480" w:lineRule="auto" w:after="120"/>
        <w:ind w:firstLine="480"/>
      </w:pPr>
      <w:r>
        <w:rPr>
          <w:rFonts w:ascii="Times New Roman" w:hAnsi="Times New Roman"/>
          <w:sz w:val="24"/>
        </w:rPr>
        <w:t xml:space="preserve">We performed a fair comparison between LigandSeek’s small-molecule docking engine (PocketXMol-tuned) and Emap2lig-Build, which predicts ligand poses directly from cryo-EM density without receptor information. In its official workflow, Emap2lig-Build accepts a candidate blob predicted by Emap2lig-Find as its guiding region rather than the ground-truth binding site. To mirror this realistic setting fairly, we evaluated PocketXMol-tuned using Centre pockets defined around the centroids of candidate blobs predicted by LigandSeek-Find.</w:t>
      </w:r>
    </w:p>
    <w:p>
      <w:pPr>
        <w:pStyle w:val="BodyText"/>
        <w:spacing w:line="480" w:lineRule="auto" w:after="120"/>
        <w:ind w:firstLine="480"/>
      </w:pPr>
      <w:r>
        <w:rPr>
          <w:rFonts w:ascii="Times New Roman" w:hAnsi="Times New Roman"/>
          <w:sz w:val="24"/>
        </w:rPr>
        <w:t xml:space="preserve">Of the 446 test small-molecule instances, Emap2lig-Find returned qualifying blobs with at least 30% bidirectional coverage for 237 instances. Under the same criterion, LigandSeek-Find successfully detected 304 instances with deposited receptors and 293 instances with CryoAtom2-reconstructed receptors. When restricted to instances jointly detected and evaluable by both pipelines, the original small-molecule test set yielded 231 pairs under the deposited-receptor condition and 228 pairs under the CryoAtom2 condition. These subsets served as the benchmarks for directly comparing PocketXMol-tuned against Emap2lig-Build.</w:t>
      </w:r>
    </w:p>
    <w:p>
      <w:pPr>
        <w:pStyle w:val="CaptionedFigure"/>
        <w:keepNext/>
        <w:spacing w:line="240" w:lineRule="auto" w:before="0" w:after="0"/>
        <w:ind w:firstLine="0"/>
        <w:jc w:val="center"/>
      </w:pPr>
      <w:r>
        <w:rPr>
          <w:rFonts w:ascii="Times New Roman" w:hAnsi="Times New Roman"/>
          <w:sz w:val="24"/>
        </w:rPr>
        <w:drawing>
          <wp:inline>
            <wp:extent cx="5733415" cy="4511649"/>
            <wp:effectExtent b="0" l="0" r="0" t="0"/>
            <wp:docPr descr="Fig. 9 | Docking performance of PocketXMol-tuned and Emap2lig-Build using predicted ligand regions. a,b, Deposited receptor (GT) comparison on 231 instances jointly detected by LigandSeek-Find and Emap2lig-Find. c,d, CryoAtom2-reconstructed receptor (CA2) comparison on 228 instances jointly detected by both methods. PocketXMol-tuned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 title="MDPPTFIG_eJzVVl-PGzUQ_yrWPrVSNpvkkmuzlJOOXK9CylXR3SEhsejk7DpZc7u2ZXvzpxSJlwrxwBMVL3wBHhB94KkgwQPfBOnafgxm7E0uIZU4gYp0URKPPTO_Gc_Y4_k8UNTmQUyC189_vfr-t-iYiyw8oTbNww8qXmRXz368evnz1YuXr148byplF0GDBJoZWcxYhnqDOEk-MkybJGn3-u1-khwxc2mlSpI3P_3y6ruv3nzz9esffk8SbyBJbmRB0JIhurF0yvZCpVnGU8uyULMplyLMGc1CK92I8ilVFtYvSqovKwWanwQP5rEii7IQJp6_nwS5tSqOIpPmrKSmKRUTwJxIXVILUz2N5lJnSsuUGcPFtCyiTqu1H5WUiyQ4QLSRdsOZXRaMzOMZLQD3wxI8HHjzKBetJFD2kjE15IIZt74xm8dG0RTMAE4BSwDU6baSoJ6eVgUu0crKGrMWR02IH4hNuDZ26FVbtRBwvAPeU_9X08dSWAN61KScg845L5khj9mcnMqSCmc6PxTmrTyH6iEQbOzmY0cO_N7cCG4-WQem0125_sSre0cs5sRtBz2HxMLZmTEQPebTJumTp-RIppcYGcW0S49IGZETMoJlZj8-kUVoK8EyQiEOD0uqOgWf-qNEKuMUV6eFAAel_KExTXTDemfeaXz-QxTI_-XjO8khvQURbtzqCI9vQ4TJEVPScLyBmqVMWanJnUfnd0kqS0U1N1IQ-Hb22oQLKPFwww35THJhiyXJmGXu8o6XZOju7xljlyE-G9tXHleaJG1kDTLQS3loZdmB9yGFm251lW5bHxx2dsx37v-D-bG0OSmZzWVmmrsFqDKgZ3O24-a4kGOSMmG15BmxEkAnUKkJJe0e-eOZZzGiHOB7u0Wsht3a6UZVc_DUEA7JnlY8w5rnS1yTDNnEkju0kd5tgGEVtsnpydlRk5zyaQ6McSMDxpgZG8pJ2GvV3BFu3gCIy6Kwq8K5Dg_oyAW4BdkWzrdOz-Z_fvntPRiwUOOOeIFy9d7wFQPxXM4hgBmnwrjkzXNuLqFZuAbyOP2_4TTJOfCWIV1w2KchhZxC4mxe8rRJjqjJXXFHE_jikw5GFfH3gNgu8_gcHgSfQo-w7g2C3r29vW67t-j22u39bv_pA8XTGH51u0Bv1C5kms53-oQaAbD-DQao2UqzNYy-EYicTHjK4NWsSoieR9KsoNiRmJwrg7cXdyhmI57i3cVJ-ng20nAwTYpWBnHkmrjI9XBR3cJFmx1cZFmpYJuiAhWu7MWET8FZczEZt-6zJWORX7ho4affVGIKG-EZoHf3gcKWDujRao-QmrUf1y55BylGcAjXwxAhBzkVU3aotZxju2cApI14K4ZRcGH9ImBeq24Y8KjRThDGBVfHvCjQItJO3xM0hirCoEtFcgIyp2DF8bcma6FoGw9nBvowMp6fyGyzmaPxYqJLHCFxZOHbN7Jct3FuHdlsYUmK_Pq4glSKYvWprYVByo0rUAVt4SMmS4IESEMJtN4snQ2Nl72mVtLIF9K7Hl2TNC4Ewe653-v0PMpbpTAvD13zuUHT2FJerJY36ULU8TJqnRf4HQRf_AX0UGAF" id="45" name="Picture"/>
            <a:graphic>
              <a:graphicData uri="http://schemas.openxmlformats.org/drawingml/2006/picture">
                <pic:pic>
                  <pic:nvPicPr>
                    <pic:cNvPr descr="C:/Users/15919/Desktop/论文草稿/temp/manuscript_figures_fb08eyee/figure_000009.png" id="46" name="Picture"/>
                    <pic:cNvPicPr>
                      <a:picLocks noChangeArrowheads="1" noChangeAspect="1"/>
                    </pic:cNvPicPr>
                  </pic:nvPicPr>
                  <pic:blipFill>
                    <a:blip r:embed="rId44"/>
                    <a:stretch>
                      <a:fillRect/>
                    </a:stretch>
                  </pic:blipFill>
                  <pic:spPr bwMode="auto">
                    <a:xfrm>
                      <a:off x="0" y="0"/>
                      <a:ext cx="5733415" cy="4511649"/>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9 | Docking performance of PocketXMol-tuned and Emap2lig-Build using predicted ligand regions.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b/>
          <w:bCs/>
          <w:sz w:val="24"/>
        </w:rPr>
        <w:t xml:space="preserve">b</w:t>
      </w:r>
      <w:r>
        <w:rPr>
          <w:rFonts w:ascii="Times New Roman" w:hAnsi="Times New Roman"/>
          <w:sz w:val="24"/>
        </w:rPr>
        <w:t xml:space="preserve">, Deposited receptor (GT) comparison on 231 instances jointly detected by LigandSeek-Find and Emap2lig-Find. c,d, CryoAtom2-reconstructed receptor (CA2) comparison on 228 instances jointly detected by both methods. PocketXMol-tuned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w:t>
      </w:r>
    </w:p>
    <w:p>
      <w:pPr>
        <w:pStyle w:val="BodyText"/>
        <w:spacing w:line="480" w:lineRule="auto" w:after="120"/>
        <w:ind w:firstLine="480"/>
      </w:pPr>
      <w:r>
        <w:rPr>
          <w:rStyle w:val="MDFIGREF_eJyrrk7LTC9KTbMqLklMTzXWLShKTclMLklN0S1KTc_Mz9PNSE1M0S3JB9O1tQC1BBIF"/>
          <w:rFonts w:ascii="Times New Roman" w:hAnsi="Times New Roman"/>
          <w:sz w:val="24"/>
        </w:rPr>
        <w:t xml:space="preserve">Fig. 9</w:t>
      </w:r>
      <w:r>
        <w:rPr>
          <w:rFonts w:ascii="Times New Roman" w:hAnsi="Times New Roman"/>
          <w:sz w:val="24"/>
        </w:rPr>
        <w:t xml:space="preserve"> </w:t>
      </w:r>
      <w:r>
        <w:rPr>
          <w:rFonts w:ascii="Times New Roman" w:hAnsi="Times New Roman"/>
          <w:sz w:val="24"/>
        </w:rPr>
        <w:t xml:space="preserve">compares the LigandSeek and Emap2lig docking modules. Our model maintained higher accuracy across all tested conditions. Among the shared GT instances, median top-1 RMSD was 0.85 Å for PocketXMol-tuned and 1.83 Å for Emap2lig-Build. Median best RMSD was 0.63 Å and 1.32 Å, respectively. This advantage was maintained with CryoAtom2-reconstructed receptors</w:t>
      </w:r>
      <w:r>
        <w:rPr>
          <w:rFonts w:ascii="Times New Roman" w:hAnsi="Times New Roman"/>
          <w:sz w:val="24"/>
        </w:rPr>
        <w:t xml:space="preserve"> </w:t>
      </w:r>
      <w:r>
        <w:rPr>
          <w:rFonts w:ascii="Times New Roman" w:hAnsi="Times New Roman"/>
          <w:sz w:val="24"/>
        </w:rPr>
        <w:t xml:space="preserve">(</w:t>
      </w:r>
      <w:r>
        <w:rPr>
          <w:rStyle w:val="MDFIGREF_eJyrrk7LTC9KTbMqLklMTzXWLShKTclMLklN0S1KTc_Mz9PNSE1M0S3JB9O1tQC1BBIF"/>
          <w:rFonts w:ascii="Times New Roman" w:hAnsi="Times New Roman"/>
          <w:sz w:val="24"/>
        </w:rPr>
        <w:t xml:space="preserve">Fig. 9</w:t>
      </w:r>
      <w:r>
        <w:rPr>
          <w:rFonts w:ascii="Times New Roman" w:hAnsi="Times New Roman"/>
          <w:sz w:val="24"/>
        </w:rPr>
        <w:t xml:space="preserve">).</w:t>
      </w:r>
    </w:p>
    <w:bookmarkEnd w:id="47"/>
    <w:bookmarkStart w:id="51" w:name="stage-3-representative-cases"/>
    <w:p>
      <w:pPr>
        <w:pStyle w:val="Heading3"/>
        <w:keepNext/>
        <w:spacing w:line="480" w:lineRule="auto"/>
        <w:ind w:firstLine="0"/>
      </w:pPr>
      <w:r>
        <w:rPr>
          <w:rFonts w:ascii="Times New Roman" w:hAnsi="Times New Roman"/>
          <w:sz w:val="24"/>
        </w:rPr>
        <w:t xml:space="preserve">Stage 3: Representative cases</w:t>
      </w:r>
    </w:p>
    <w:p>
      <w:pPr>
        <w:pStyle w:val="FirstParagraph"/>
        <w:spacing w:line="480" w:lineRule="auto" w:after="120"/>
        <w:ind w:firstLine="480"/>
      </w:pPr>
      <w:r>
        <w:rPr>
          <w:rFonts w:ascii="Times New Roman" w:hAnsi="Times New Roman"/>
          <w:sz w:val="24"/>
        </w:rPr>
        <w:t xml:space="preserve">We analysed six representative instances to examine how receptor pockets and experimental density provide complementary constraints on pose generation</w:t>
      </w:r>
      <w:r>
        <w:rPr>
          <w:rFonts w:ascii="Times New Roman" w:hAnsi="Times New Roman"/>
          <w:sz w:val="24"/>
        </w:rPr>
        <w:t xml:space="preserve"> </w:t>
      </w:r>
      <w:r>
        <w:rPr>
          <w:rFonts w:ascii="Times New Roman" w:hAnsi="Times New Roman"/>
          <w:sz w:val="24"/>
        </w:rPr>
        <w:t xml:space="preserve">(</w:t>
      </w:r>
      <w:r>
        <w:rPr>
          <w:rStyle w:val="MDFIGREF_eJyrrk7LTC9KTbMqLklMTzXWTU4sTi3WzU3MzKutBQCftQrz"/>
          <w:rFonts w:ascii="Times New Roman" w:hAnsi="Times New Roman"/>
          <w:sz w:val="24"/>
        </w:rPr>
        <w:t xml:space="preserve">Fig. 10</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The first group illustrated typical errors in receptor-only docking without experimental density guidance</w:t>
      </w:r>
      <w:r>
        <w:rPr>
          <w:rFonts w:ascii="Times New Roman" w:hAnsi="Times New Roman"/>
          <w:sz w:val="24"/>
        </w:rPr>
        <w:t xml:space="preserve"> </w:t>
      </w:r>
      <w:r>
        <w:rPr>
          <w:rFonts w:ascii="Times New Roman" w:hAnsi="Times New Roman"/>
          <w:sz w:val="24"/>
        </w:rPr>
        <w:t xml:space="preserve">(</w:t>
      </w:r>
      <w:r>
        <w:rPr>
          <w:rStyle w:val="MDFIGREF_eJyrrk7LTC9KTbMqLklMTzXWTU4sTi3WzU3MzKtJfNQwObm2FgDtUw4o"/>
          <w:rFonts w:ascii="Times New Roman" w:hAnsi="Times New Roman"/>
          <w:sz w:val="24"/>
        </w:rPr>
        <w:t xml:space="preserve">Fig. 10a–c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9Q16, 9UB7 and 9R3D, PocketXMol-official avoided receptor clashes, with zero clashing atom pairs in each case. However, its poses shifted within the pocket cavity or adopted flipped conformations, with only 46%–77% of heavy atoms reaching the recommended density threshold. Under density guidance, PocketXMol-tuned placed ligand atoms accurately within the experimental density, increasing this fraction to 80%–100% and reducing top-1 RMSD sharply to 0.76–1.05 Å, while all three poses remained free of receptor clashes.</w:t>
      </w:r>
    </w:p>
    <w:p>
      <w:pPr>
        <w:pStyle w:val="BodyText"/>
        <w:spacing w:line="480" w:lineRule="auto" w:after="120"/>
        <w:ind w:firstLine="480"/>
      </w:pPr>
      <w:r>
        <w:rPr>
          <w:rFonts w:ascii="Times New Roman" w:hAnsi="Times New Roman"/>
          <w:sz w:val="24"/>
        </w:rPr>
        <w:t xml:space="preserve">The second group illustrated the shortcomings of density-only fitting that ignores receptor steric constraints</w:t>
      </w:r>
      <w:r>
        <w:rPr>
          <w:rFonts w:ascii="Times New Roman" w:hAnsi="Times New Roman"/>
          <w:sz w:val="24"/>
        </w:rPr>
        <w:t xml:space="preserve"> </w:t>
      </w:r>
      <w:r>
        <w:rPr>
          <w:rFonts w:ascii="Times New Roman" w:hAnsi="Times New Roman"/>
          <w:sz w:val="24"/>
        </w:rPr>
        <w:t xml:space="preserve">(</w:t>
      </w:r>
      <w:r>
        <w:rPr>
          <w:rStyle w:val="MDFIGREF_eJyrrk7LTC9KTbMqLklMTzXWTU4sTi3WzU3MzKtJedQwOa22FgDtcQ4u"/>
          <w:rFonts w:ascii="Times New Roman" w:hAnsi="Times New Roman"/>
          <w:sz w:val="24"/>
        </w:rPr>
        <w:t xml:space="preserve">Fig. 10d–f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9U7J, 9WUP and 9WQ3, Emap2lig-Build’s top-1 poses produced 10, 15 and 11 clashing pairs with surrounding receptor atoms, respectively. Its pose in 9WQ3 also deviated markedly from the deposited position, with an RMSD of 9.30 Å. By combining receptor geometry with density information, PocketXMol-tuned eliminated all receptor clashes and consistently achieved RMSD values of 0.52–1.41 Å.</w:t>
      </w:r>
    </w:p>
    <w:p>
      <w:pPr>
        <w:pStyle w:val="BodyText"/>
        <w:spacing w:line="480" w:lineRule="auto" w:after="120"/>
        <w:ind w:firstLine="480"/>
      </w:pPr>
      <w:r>
        <w:rPr>
          <w:rFonts w:ascii="Times New Roman" w:hAnsi="Times New Roman"/>
          <w:sz w:val="24"/>
        </w:rPr>
        <w:t xml:space="preserve">These cases showed that the receptor structure imposes steric constraints, whereas cryo-EM density constrains ligand position and conformation. PocketXMol-tuned combines these complementary sources of information to reconstruct ligand poses with high accuracy.</w:t>
      </w:r>
    </w:p>
    <w:p>
      <w:pPr>
        <w:pStyle w:val="CaptionedFigure"/>
        <w:keepNext/>
        <w:spacing w:line="240" w:lineRule="auto" w:before="0" w:after="0"/>
        <w:ind w:firstLine="0"/>
        <w:jc w:val="center"/>
      </w:pPr>
      <w:r>
        <w:rPr>
          <w:rFonts w:ascii="Times New Roman" w:hAnsi="Times New Roman"/>
          <w:sz w:val="24"/>
        </w:rPr>
        <w:drawing>
          <wp:inline>
            <wp:extent cx="4522429" cy="5828030"/>
            <wp:effectExtent b="0" l="0" r="0" t="0"/>
            <wp:docPr descr="Fig. 10 | Complementary constraints from receptor pockets and experimental density. a–c, Three instances in which PocketXMol-official top-1 poses deviate from experimental density: 9Q16–XG4, 9UB7–Y01 and 9R3D–IHP. d–f,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 title="MDPPTFIG_eJztV91uG0UUfpWRr1op9tpOTBurVEqTphSlVZo2aisWRePds95RZndGM2M7LkXiBhASiAtQb3gAuIJ7kOCCN0Eq7WPwnd2147QpqkBFqkSUZOfnzHf-vpk581HLypC3hqL17Ntfnn73a-SDHNP6069_ev79Z0-_fNKxNpy01kTLkTd6SimLbg_j-NCT83HcG2z2NuN4h_xxMDaOn__4859PPn_-1RfPfvgtjmvMOH4VaCkLYsB6vp1IT75dSFXyZCJtUKY8KqQ7nliIfdC6MhtacVLo0g9n78atPAQ7jCKf5FRI3zGWSkxmxhUyoOvG0cy41DqTkPeqHBc66ne770SsIW5dZbR9V33uhrkmMRtOpQbuzQLmbNfqWS5aSLDsMZHdUyX5anylNxt6KxOoAY7GEID6G9241XQPJpqH5CSYBrMR55WqTCGWKefDXr202whhpjagtrT-17R3TRk81kmfKIU191RBXtymmTgwhSwr1flW6c-dq1BrCAYbVf1R1dyufau-MPPRMjD9jYXpj-rltSGBc1K5w5ZbUIXclCC6q8Yd0euKx2LbFFZTQWWQbi4SU_rgkAWYnzlTCEcJ2WCcsCY5JoxKBIROLDlVrdEiJfgR5h1WG2rlbzQe_8Jr8V_Z-EZyJv_45JvkLYjymriXOyKhQCVZYoejJWa5SnKxX5HowS2j2ybLVKLAH5xO7R7ohRMGXJoqGaim3nksG4rNO713EIgHNzbWxObhtUtoP-z2KlpuHqzvoHvzvf3_yfimyZgi0NlbEOW_IeP1Qtq-VuP2tYnS6RkeJlr6XMxUyEXIaXkIgn2Hl96H5zd2DsG--4f7aO9u7dTsu39nHd3e3Ycdcc2EVbKLwqSkvZh4ApGhQgVKl6j1mZqA547aKWW4ZtLFcdsR1yVMdWYmfG5m_twddME4WY7p4trqbJgwzIWRntDFSsEL7l6wE4eDH4tqN1e896QpYQtH89py4RPjqCN2lrYDB5iw3JEIJPXaqjcYM1pNSYwR-fKVN4aQ1pLkBfhlWWgjn3fEARSkSEClBzd4hbC8iGQwhRdce9Rp4nsd11aQCYdrh9FNwCJOXOYwilpBmEyAFKmq3MpJTucNziyHyyI4xZqk03PwI5CzRksWXZjqCGloQGGJKeBKinnljZ-4DLTDFFiXG512xHZFn8RMeAvUoQIzmICpdGl76UplSJsNEVaixEDkrXSyCT0uYtgLizSKJMDLUnQ7lwYiVLuFLfGTgj1DUzkxxXxKTtyXElRzMlWqA_JTFdSGPbxoxWTOPLZDX_z-KeOkL6R3NVAdsaV15SMDhtwg-T6v0s-GoFwUqfJWy3nF7DGCviamimacHrATRRwj-kRqEOkuf8QIyV8TA2hHzsFwqEshDmBLicpQjeSoRJrse5VOYDwSElSmUOKePeO5ELva-hDV6bIqbW0M-v2N_ubJ4HL_cne9-_iKVckQf02hKl-rUE2dnL1UoTYIwPonGFgWJo6WMO61QKrtTjsmmfA2qpEcgaYINXaB9XwwsofldF8lfCxyJ7k93XfIrE9Yy_Ywqp4HUfU6iJrHQbT6NogCFRZulhMsUTYcZWoMY_1RNupepjlRVA8cdfHT63ZsOYYjKgX6gGtqfjmgvb_wEalZ2nFqUm2g5Aju4czyojTbOR9iWw5nHRPBA6THeIsJJkWoB4F5unRFQY0avRSEkVZ2V2nNGrldra8bcohtRiHJuZlB5gBaqvkznaVQdBaPex4vADGa3cJJufKMkMOTzBX8ReLESf1wEPPlA6Ia52k6CSLh-YaukEpYrGFtIwyp6rsAtXiQ3CA-ONCANM6UUKuV0z1fy562FtI8X5ra9Oi0KYcalyJQNgf9QY1yrhTn5Xr17Flpy2GQSi-GV9u6bOLl7TIv-Lva-vgvJjk4xQ" id="49" name="Picture"/>
            <a:graphic>
              <a:graphicData uri="http://schemas.openxmlformats.org/drawingml/2006/picture">
                <pic:pic>
                  <pic:nvPicPr>
                    <pic:cNvPr descr="C:/Users/15919/Desktop/论文草稿/temp/manuscript_figures_fb08eyee/figure_000010.png" id="50" name="Picture"/>
                    <pic:cNvPicPr>
                      <a:picLocks noChangeArrowheads="1" noChangeAspect="1"/>
                    </pic:cNvPicPr>
                  </pic:nvPicPr>
                  <pic:blipFill>
                    <a:blip r:embed="rId48"/>
                    <a:stretch>
                      <a:fillRect/>
                    </a:stretch>
                  </pic:blipFill>
                  <pic:spPr bwMode="auto">
                    <a:xfrm>
                      <a:off x="0" y="0"/>
                      <a:ext cx="4522429" cy="582803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10 | Complementary constraints from receptor pockets and experimental density.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Three instances in which PocketXMol-official top-1 poses deviate from experimental density: 9Q16–XG4, 9UB7–Y01 and 9R3D–IHP.</w:t>
      </w:r>
      <w:r>
        <w:rPr>
          <w:rFonts w:ascii="Times New Roman" w:hAnsi="Times New Roman"/>
          <w:sz w:val="24"/>
        </w:rPr>
        <w:t xml:space="preserve"> </w:t>
      </w:r>
      <w:r>
        <w:rPr>
          <w:rFonts w:ascii="Times New Roman" w:hAnsi="Times New Roman"/>
          <w:b/>
          <w:bCs/>
          <w:sz w:val="24"/>
        </w:rPr>
        <w:t xml:space="preserve">d–f</w:t>
      </w:r>
      <w:r>
        <w:rPr>
          <w:rFonts w:ascii="Times New Roman" w:hAnsi="Times New Roman"/>
          <w:sz w:val="24"/>
        </w:rPr>
        <w:t xml:space="preserve">,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w:t>
      </w:r>
    </w:p>
    <w:bookmarkEnd w:id="51"/>
    <w:bookmarkEnd w:id="52"/>
    <w:bookmarkStart w:id="75" w:name="end-to-end"/>
    <w:p>
      <w:pPr>
        <w:pStyle w:val="Heading2"/>
        <w:keepNext/>
        <w:spacing w:line="480" w:lineRule="auto"/>
        <w:ind w:firstLine="0"/>
      </w:pPr>
      <w:r>
        <w:rPr>
          <w:rFonts w:ascii="Times New Roman" w:hAnsi="Times New Roman"/>
          <w:sz w:val="24"/>
        </w:rPr>
        <w:t xml:space="preserve">End-to-end</w:t>
      </w:r>
    </w:p>
    <w:bookmarkStart w:id="56" w:name="evaluation-protocol"/>
    <w:p>
      <w:pPr>
        <w:pStyle w:val="Heading3"/>
        <w:keepNext/>
        <w:spacing w:line="480" w:lineRule="auto"/>
        <w:ind w:firstLine="0"/>
      </w:pPr>
      <w:r>
        <w:rPr>
          <w:rFonts w:ascii="Times New Roman" w:hAnsi="Times New Roman"/>
          <w:sz w:val="24"/>
        </w:rPr>
        <w:t xml:space="preserve">Evaluation protocol</w:t>
      </w:r>
    </w:p>
    <w:p>
      <w:pPr>
        <w:pStyle w:val="FirstParagraph"/>
        <w:spacing w:line="480" w:lineRule="auto" w:after="120"/>
        <w:ind w:firstLine="480"/>
      </w:pPr>
      <w:r>
        <w:rPr>
          <w:rFonts w:ascii="Times New Roman" w:hAnsi="Times New Roman"/>
          <w:sz w:val="24"/>
        </w:rPr>
        <w:t xml:space="preserve">In practical cryo-EM structure determination, researchers work with unannotated three-dimensional density maps and unknown binding sites. To assess automated modelling in this setting, we connected Find, Match and Build into a single end-to-end pipeline. We evaluated region detection and identity matching across all ligand categories, and full pose reconstruction for organic small molecules with no missing atoms.</w:t>
      </w:r>
    </w:p>
    <w:p>
      <w:pPr>
        <w:pStyle w:val="CaptionedFigure"/>
        <w:keepNext/>
        <w:spacing w:line="240" w:lineRule="auto" w:before="0" w:after="0"/>
        <w:ind w:firstLine="0"/>
        <w:jc w:val="center"/>
      </w:pPr>
      <w:r>
        <w:rPr>
          <w:rFonts w:ascii="Times New Roman" w:hAnsi="Times New Roman"/>
          <w:sz w:val="24"/>
        </w:rPr>
        <w:drawing>
          <wp:inline>
            <wp:extent cx="5733415" cy="3828804"/>
            <wp:effectExtent b="0" l="0" r="0" t="0"/>
            <wp:docPr descr="Fig. 11 | Charging rules for two end-to-end evaluation settings. a, Ligand-region detection and identity matching across all ligand classes. b, Ligand-region detection, identity matching and pose reconstruction for eligible small molecules, defined as single-residue organic small molecules with no atoms missing. A “+1” indicates that the charged attempt increases by one; the algorithm stops once the attempt limit is reached or no further candidates are generated by the LigandSeek2-Find. “Free skip” means skipping the current candidate without incurring an additional charge. Decision nodes involving ligand hits, ligand types and identity correctness are evaluation criteria based on the reference annotations and are not provided to the model as inputs." title="MDPPTFIG_eJztV19vHDUQ_yrWvpK7vbvkIFlKpChpEFKoohSeWBT5vHN31u3alu29P6VIfagEPPCGkBDwwBM8lRckBJXgu1SU3sdgxt67XNuAKvpHitRIlx3bM78Z2zOemU8Sw_04yVjy6Kv7D7_9I73eu778-e5f939d3vth-ctvyx_vPvz8m7Yxfp5sscSC0-UUChI4zPL8QwfW5Xm3v9fdy_MjcBOvTZ4v7_3-99efLb_84tFPf-Z5RM7z_4ZWvAKChR60uBC6Vl6qUcvWJbhWYfnQE5fgxkutzituJ7VB_o-Sa7PMsHlVKpfN3smTsfcmS1MnxlBx19YGFC4Ota24x6EdpTNtC2O1AOdQQ1WmvU7nzbTiUuXJPqGd2vC56RclsFk25SXivlfxERxG9cSXrjiIdwJgTqQCF-Y3RrPMGS5QDeKUOIVAvZ1OnjTDM9wdTvHa6wazYSdJqQpkG0rr_EkU7TRMuBINiJbGfw19rJV3KMedkBJlPpAVOHYDZuxMV1wF1eMD5S5dC6gRgsAGYTwI5GHcW_iimbfWB9PbWZl-K4pHQzzdSdgOWW7Qc8BOAVmP5ajNul12mx2OuR3R2YRLZnhHzM80A1W0vG7hhwGqqDkdOXPgySFcm3T4qOmlbv45tshelY0v5YL4FTjhLXYiRxwdxcKIvKMADyL4CU4yWQC-Hn7BMObFmDyMC6udY7wsWRkEmSi5c-DabPCvWFuXAaGo0Q6YBaGV87aOasl5AaHlAN8MV5GiSpcgyLO3EHKIEVww7hi9OSWgLieLGhg-SFxJ8aQIm0k_Zkoz7nXlWCXDW9VmB1fgbl6Z9z-HjQ_ufPdG98Gd76-AqVfhODEhScE9wvsx9_gPmKDHnVzee6iMZ1IJCxwjjg0WTCt4O3DxcqQtunrFHFYODhcExIVGrJSVRGGH8cYxpRcYMBQWw9oil2UC41EWQTO3wEagwOKoICUEEyP7JsCk1zpGK19njxcWP8cW8KWbSPM6jF6UjRVw5cKZGso1IYxqazEHXTh6yAy6DgGFazEnMV4UkvIQL5vAa7MjENJRalK6QIOlmmLpTuxNAhxLj5mpGfiFoRDazJ1Co2bhsYyNsbVRiwkMWbCSswEGNIakCqZaGALaigHMldI-sEZMEscZhlX3FPFRnQ4SFVpWUlKUytT-idKO6tv95GMs-tfFftJ_a3t7p9ufb-_2dnc7O7evGSky_DX1P3-m-h-bidlThX-DgFj_BwPFfG1hDWOfCUQPh1LAkRZ1hWcekSyU8eDG0jjyHtqhmp5KQb5DA3FjemqxonCCtBxmaWjC0tCDpU0Llm52YCm9pLhNVaOINP58KEdorDsfDjq7sABI48R5B_-63bZRI9yILBC930eKOjOkT1d7xKtZ23FhUjSQ0wmeaDFxeOFY36sRHFirZ2PghUOQLuGtFpxB_4qTiHkhuqEgoqZPHcKglOZYliVpJDrIR4JnWJUBlmtEDpHnDLWE9ccGa6b0cTwaOWys2GD2PrrnRnfGs_nQVvTFi2Pz2I-xxbovC_O0DHOMV1pv3BW5BLE1XtswI1f4rkAN9nnvgq4YEchNwRfV8umJi7wX1Iqb1pWOpqcXJM9Kxagd3uv3-hHlUi66l-uhm9ygeea5LFfTm3SpmvNyZn0v-NtPPv0HDXSxYQ" id="54" name="Picture"/>
            <a:graphic>
              <a:graphicData uri="http://schemas.openxmlformats.org/drawingml/2006/picture">
                <pic:pic>
                  <pic:nvPicPr>
                    <pic:cNvPr descr="C:/Users/15919/Desktop/论文草稿/temp/manuscript_figures_fb08eyee/figure_000011.png" id="55" name="Picture"/>
                    <pic:cNvPicPr>
                      <a:picLocks noChangeArrowheads="1" noChangeAspect="1"/>
                    </pic:cNvPicPr>
                  </pic:nvPicPr>
                  <pic:blipFill>
                    <a:blip r:embed="rId53"/>
                    <a:stretch>
                      <a:fillRect/>
                    </a:stretch>
                  </pic:blipFill>
                  <pic:spPr bwMode="auto">
                    <a:xfrm>
                      <a:off x="0" y="0"/>
                      <a:ext cx="5733415" cy="382880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11 | Charging rules for two end-to-end evaluation settings.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Ligand-region detection and identity matching across all ligand classes. b, Ligand-region detection, identity matching and pose reconstruction for eligible small molecules, defined as single-residue organic small molecules with no atoms missing. A</w:t>
      </w:r>
      <w:r>
        <w:rPr>
          <w:rFonts w:ascii="Times New Roman" w:hAnsi="Times New Roman"/>
          <w:sz w:val="24"/>
        </w:rPr>
        <w:t xml:space="preserve"> </w:t>
      </w:r>
      <w:r>
        <w:rPr>
          <w:rFonts w:ascii="Times New Roman" w:hAnsi="Times New Roman"/>
          <w:sz w:val="24"/>
        </w:rPr>
        <w:t xml:space="preserve">“+1”</w:t>
      </w:r>
      <w:r>
        <w:rPr>
          <w:rFonts w:ascii="Times New Roman" w:hAnsi="Times New Roman"/>
          <w:sz w:val="24"/>
        </w:rPr>
        <w:t xml:space="preserve"> </w:t>
      </w:r>
      <w:r>
        <w:rPr>
          <w:rFonts w:ascii="Times New Roman" w:hAnsi="Times New Roman"/>
          <w:sz w:val="24"/>
        </w:rPr>
        <w:t xml:space="preserve">indicates that the charged attempt increases by one; the algorithm stops once the attempt limit is reached or no further candidates are generated by the LigandSeek2-Find.</w:t>
      </w:r>
      <w:r>
        <w:rPr>
          <w:rFonts w:ascii="Times New Roman" w:hAnsi="Times New Roman"/>
          <w:sz w:val="24"/>
        </w:rPr>
        <w:t xml:space="preserve"> </w:t>
      </w:r>
      <w:r>
        <w:rPr>
          <w:rFonts w:ascii="Times New Roman" w:hAnsi="Times New Roman"/>
          <w:sz w:val="24"/>
        </w:rPr>
        <w:t xml:space="preserve">“Free skip”</w:t>
      </w:r>
      <w:r>
        <w:rPr>
          <w:rFonts w:ascii="Times New Roman" w:hAnsi="Times New Roman"/>
          <w:sz w:val="24"/>
        </w:rPr>
        <w:t xml:space="preserve"> </w:t>
      </w:r>
      <w:r>
        <w:rPr>
          <w:rFonts w:ascii="Times New Roman" w:hAnsi="Times New Roman"/>
          <w:sz w:val="24"/>
        </w:rPr>
        <w:t xml:space="preserve">means skipping the current candidate without incurring an additional charge. Decision nodes involving ligand hits, ligand types and identity correctness are evaluation criteria based on the reference annotations and are not provided to the model as inputs.</w:t>
      </w:r>
    </w:p>
    <w:p>
      <w:pPr>
        <w:pStyle w:val="BodyText"/>
        <w:spacing w:line="480" w:lineRule="auto" w:after="120"/>
        <w:ind w:firstLine="480"/>
      </w:pPr>
      <w:r>
        <w:rPr>
          <w:rFonts w:ascii="Times New Roman" w:hAnsi="Times New Roman"/>
          <w:sz w:val="24"/>
        </w:rPr>
        <w:t xml:space="preserve">Find ranks candidate ligand regions by descending mean probability, yielding Rank 1, Rank 2 and subsequent candidates. For each PDB entry, the pipeline examines these candidates in order for up to</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attempts. A PDB entry is classified as successful if any attempt within this budget succeeds. The attempt-accounting rules for the two end-to-end evaluation settings are summarised in</w:t>
      </w:r>
      <w:r>
        <w:rPr>
          <w:rFonts w:ascii="Times New Roman" w:hAnsi="Times New Roman"/>
          <w:sz w:val="24"/>
        </w:rPr>
        <w:t xml:space="preserve"> </w:t>
      </w:r>
      <w:r>
        <w:rPr>
          <w:rStyle w:val="MDFIGREF_eJyrrk7LTC9KTbNKNUrVTUxOzi_NK8nMS9ctKs1JLdZNKUpMK6mtBQAQ2w6I"/>
          <w:rFonts w:ascii="Times New Roman" w:hAnsi="Times New Roman"/>
          <w:sz w:val="24"/>
        </w:rPr>
        <w:t xml:space="preserve">Fig. 11</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For end-to-end region detection and identity matching across all ligand categories, we applied the following accounting rules. A false-positive candidate predicted by Find consumes one attempt, after which the pipeline examines the next candidate. If a candidate corresponds to a ground-truth ligand with at least 30% coverage in both directions, Match assigns its ligand identity. Correct identity matching completes the task; incorrect matching consumes one attempt. The pipeline continues until the task succeeds or the</w:t>
      </w:r>
      <w:r>
        <w:rPr>
          <w:rFonts w:ascii="Times New Roman" w:hAnsi="Times New Roman"/>
          <w:sz w:val="24"/>
        </w:rPr>
        <w:t xml:space="preserve"> </w:t>
      </w:r>
      <m:oMath>
        <m:r>
          <m:t>K</m:t>
        </m:r>
      </m:oMath>
      <w:r>
        <w:rPr>
          <w:rFonts w:ascii="Times New Roman" w:hAnsi="Times New Roman"/>
          <w:sz w:val="24"/>
        </w:rPr>
        <w:t xml:space="preserve">-attempt budget is exhausted.</w:t>
      </w:r>
    </w:p>
    <w:p>
      <w:pPr>
        <w:pStyle w:val="BodyText"/>
        <w:spacing w:line="480" w:lineRule="auto" w:after="120"/>
        <w:ind w:firstLine="480"/>
      </w:pPr>
      <w:r>
        <w:rPr>
          <w:rFonts w:ascii="Times New Roman" w:hAnsi="Times New Roman"/>
          <w:sz w:val="24"/>
        </w:rPr>
        <w:t xml:space="preserve">For end-to-end modelling of single-residue small molecules with no missing atoms, false-positive candidates likewise consume one attempt before the next candidate is examined.</w:t>
      </w:r>
    </w:p>
    <w:p>
      <w:pPr>
        <w:pStyle w:val="BodyText"/>
        <w:spacing w:line="480" w:lineRule="auto" w:after="120"/>
        <w:ind w:firstLine="480"/>
      </w:pPr>
      <w:r>
        <w:rPr>
          <w:rFonts w:ascii="Times New Roman" w:hAnsi="Times New Roman"/>
          <w:sz w:val="24"/>
        </w:rPr>
        <w:t xml:space="preserve">If a candidate corresponds to a non-small-molecule ligand but Match assigns a small-molecule identity, the attempt is counted as a failure and charged. Otherwise, the candidate is skipped without consuming the attempt budget.</w:t>
      </w:r>
    </w:p>
    <w:p>
      <w:pPr>
        <w:pStyle w:val="BodyText"/>
        <w:spacing w:line="480" w:lineRule="auto" w:after="120"/>
        <w:ind w:firstLine="480"/>
      </w:pPr>
      <w:r>
        <w:rPr>
          <w:rFonts w:ascii="Times New Roman" w:hAnsi="Times New Roman"/>
          <w:sz w:val="24"/>
        </w:rPr>
        <w:t xml:space="preserve">If a candidate corresponds to a small molecule with at least 30% bidirectional coverage, incorrect identity matching consumes one attempt. A correctly matched small molecule that fails the single-residue, no-missing-atom criteria is skipped without charge. Otherwise, PocketXMol-tuned performs docking, and success is determined from the top-1 or best-of-50 pose and the corresponding RMSD threshold.</w:t>
      </w:r>
    </w:p>
    <w:p>
      <w:pPr>
        <w:pStyle w:val="BodyText"/>
        <w:spacing w:line="480" w:lineRule="auto" w:after="120"/>
        <w:ind w:firstLine="480"/>
      </w:pPr>
      <w:r>
        <w:rPr>
          <w:rFonts w:ascii="Times New Roman" w:hAnsi="Times New Roman"/>
          <w:sz w:val="24"/>
        </w:rPr>
        <w:t xml:space="preserve">According to the aforementioned rules, when a ligand outside the single-residue, complete organic small-molecule subset is correctly detected and matched, we still skip docking and charge no attempt. This ensures that all evaluated docking tasks use the same downstream tool, PocketXMol-tuned. However, a region corresponding to a true non-small-molecule ligand is charged if it is misidentified as a small molecule. In this case, it is actually an unmatched distractor and counts as a failed attempt.</w:t>
      </w:r>
    </w:p>
    <w:bookmarkEnd w:id="56"/>
    <w:bookmarkStart w:id="60" w:name="X5f64bd45b404ca02f1e597fd6c2fd1f17bc94df"/>
    <w:p>
      <w:pPr>
        <w:pStyle w:val="Heading3"/>
        <w:keepNext/>
        <w:spacing w:line="480" w:lineRule="auto"/>
        <w:ind w:firstLine="0"/>
      </w:pPr>
      <w:r>
        <w:rPr>
          <w:rFonts w:ascii="Times New Roman" w:hAnsi="Times New Roman"/>
          <w:sz w:val="24"/>
        </w:rPr>
        <w:t xml:space="preserve">End-to-end region detection and identity matching across ligand categories</w:t>
      </w:r>
    </w:p>
    <w:p>
      <w:pPr>
        <w:pStyle w:val="CaptionedFigure"/>
        <w:keepNext/>
        <w:spacing w:line="240" w:lineRule="auto" w:before="0" w:after="0"/>
        <w:ind w:firstLine="0"/>
        <w:jc w:val="center"/>
      </w:pPr>
      <w:r>
        <w:rPr>
          <w:rFonts w:ascii="Times New Roman" w:hAnsi="Times New Roman"/>
          <w:sz w:val="24"/>
        </w:rPr>
        <w:drawing>
          <wp:inline>
            <wp:extent cx="5733415" cy="3019921"/>
            <wp:effectExtent b="0" l="0" r="0" t="0"/>
            <wp:docPr descr="Fig. 12 | End-to-end ligand-region detection and identity matching. The curves show the percentage of the 179 test PDB entries with successful predictions within an attempt budget of K=1–10.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 title="MDPPTFIG_eJzVVl9vHDUQ_yrWvpK7vdvkKLdKI4VLUiGS6pSGJxZFPu_crZXdtbG996cUiTfEA09FvIB45okPQCX4Lkg0_RjM2HuXC0mlqhUSjXTxePzzb8bj8ex8FWnuiihl0fUPL_7-6Y_4ODm-fvH85S8_d7V2y2iHRQasKueQE2iUZtlnFozNsv5g2B9m2RHYK6d0lr367feXP3776vvvrn_9M8sCW5bdpat5BUQFCXR4WXamss47FXeioFXBtZOqvqy4uWo04j6P9hepZsuqrG26eJhFhXM6jWMrCqi47SoNNS5OlUEOnJpZvFAm10YJsFbWs6qMk17vw7jiss6iA2IbGz88casS2CKd8xJ5P6n4DEbBPOHiNYKwVwD6VNZgvX5rtkit5gLNIE-JKiRK9npZ1E7Pm5JUvHGq5WzhtBMPjrCpNNadhq29FoQrwYHgafjXyieqdhb3cSukxD0XsgLLHsOCnauK1950cVjbe9c8a6AgsomfT7w4CmfzI7r5dBOYZG_t-tOwPTji6E78cchzjVkCZg4IPZGzLusn7Bk7xpt1qgN4zlLOOM4MzDC8LAcHggLNUMlkDrWTbsV8FmBwumTGBWP_6fnf4ZTsPfDxogAmGpQts4VaMIdzDUZguDHXmZp6Tf_BkDmwjo2PPma4ZCTiF9IVzDaCHtG0KRmy5tJfWViTdHWMOweVdmzS5DNwSPgeBOX2xVWpOsMC2NaX6o3qi5pOpYAjJZoKw7WuLq4gP6pA6g4-3Y8rb6bVhH9jP1jK9dZ97b33ugAetwQP7yNwB_135f3rm-evYe7d0sdtaP6v99hlJ1gmPzijmrHOcgNfNtIAZvGm8AhlDNYadm_lCVXpbgHaYYsCDHDrbXjoccV1gviO1_zLnqrL1WstdW9IgrNoTTlgp974E4CrzgawpfPYHWSzmnjmUK667NFFu9viqJWVDnKECNBOGWadaYRrcMuOZxsdJhv4yKzUoVNVgjVY4Cv20Ps33y6_9Bk6iL7Ab_PmmxwNHuzu7vUHy91efzhM-s_2tRQp_tpnxN_oGeWGL-58n1sG5HobDtxGJ9jQmLd-zwZK7qtdIbWlxKQT1vOxFJSWNBGP52OD4bWCrIzS2PdFsW-L4rYrirebophqJR6zbnCL1O5yKmcU7svppPcRrADioLjs4V8_6ep6hgeRObIPhihR44TyeH1GvJqNHzcuBQc5RfBUiSvLajUqeD2DQ2MUZjXPLZL0iW-94BMsKJHzZuuWgcAa3wnCpJT6RJYlWSTZ7w8Cx9JjAHOYxCliztGKX7812YDi23w0s9j_sMniTOXbTRRPl1NT0YgXx5ahbWKrTfvk9bQMS8cErbfpiihBsDZrWzCi_Lgm1diOPQJVMRIQTW86mOXzUxuwN9IaTeu1Cq7HNyJPy5pR1zocJIPAci-K7uXYN31bMk8dl-VavS2XdRsvqzf3gr-D6Ot_APC-GZ8" id="58" name="Picture"/>
            <a:graphic>
              <a:graphicData uri="http://schemas.openxmlformats.org/drawingml/2006/picture">
                <pic:pic>
                  <pic:nvPicPr>
                    <pic:cNvPr descr="C:/Users/15919/Desktop/论文草稿/temp/manuscript_figures_fb08eyee/figure_000012.png" id="59" name="Picture"/>
                    <pic:cNvPicPr>
                      <a:picLocks noChangeArrowheads="1" noChangeAspect="1"/>
                    </pic:cNvPicPr>
                  </pic:nvPicPr>
                  <pic:blipFill>
                    <a:blip r:embed="rId57"/>
                    <a:stretch>
                      <a:fillRect/>
                    </a:stretch>
                  </pic:blipFill>
                  <pic:spPr bwMode="auto">
                    <a:xfrm>
                      <a:off x="0" y="0"/>
                      <a:ext cx="5733415" cy="301992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12 | End-to-end ligand-region detection and identity matching.</w:t>
      </w:r>
      <w:r>
        <w:rPr>
          <w:rFonts w:ascii="Times New Roman" w:hAnsi="Times New Roman"/>
          <w:sz w:val="24"/>
        </w:rPr>
        <w:t xml:space="preserve"> </w:t>
      </w:r>
      <w:r>
        <w:rPr>
          <w:rFonts w:ascii="Times New Roman" w:hAnsi="Times New Roman"/>
          <w:sz w:val="24"/>
        </w:rPr>
        <w:t xml:space="preserve">The curves show the percentage of the 179 test PDB entries with successful predictions within an attempt budget of</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w:t>
      </w:r>
    </w:p>
    <w:p>
      <w:pPr>
        <w:pStyle w:val="BodyText"/>
        <w:spacing w:line="480" w:lineRule="auto" w:after="120"/>
        <w:ind w:firstLine="480"/>
      </w:pPr>
      <w:r>
        <w:rPr>
          <w:rFonts w:ascii="Times New Roman" w:hAnsi="Times New Roman"/>
          <w:sz w:val="24"/>
        </w:rPr>
        <w:t xml:space="preserve">We first evaluated end-to-end ligand-region detection and identity matching in 179 independent test PDB entries</w:t>
      </w:r>
      <w:r>
        <w:rPr>
          <w:rFonts w:ascii="Times New Roman" w:hAnsi="Times New Roman"/>
          <w:sz w:val="24"/>
        </w:rPr>
        <w:t xml:space="preserve"> </w:t>
      </w:r>
      <w:r>
        <w:rPr>
          <w:rFonts w:ascii="Times New Roman" w:hAnsi="Times New Roman"/>
          <w:sz w:val="24"/>
        </w:rPr>
        <w:t xml:space="preserve">(</w:t>
      </w:r>
      <w:r>
        <w:rPr>
          <w:rStyle w:val="MDFIGREF_eJyrrk7LTC9KTbNKNUrVTczJ0U3LzEvRzU0sSc6orQUApM0LCA"/>
          <w:rFonts w:ascii="Times New Roman" w:hAnsi="Times New Roman"/>
          <w:sz w:val="24"/>
        </w:rPr>
        <w:t xml:space="preserve">Fig. 12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These entries contained coexisting ligand categories, including small molecules, ions and sugars. Under the strictest single-attempt condition (</w:t>
      </w:r>
      <m:oMath>
        <m:r>
          <m:t>K</m:t>
        </m:r>
        <m:r>
          <m:rPr>
            <m:sty m:val="p"/>
          </m:rPr>
          <m:t>=</m:t>
        </m:r>
        <m:r>
          <m:t>1</m:t>
        </m:r>
      </m:oMath>
      <w:r>
        <w:rPr>
          <w:rFonts w:ascii="Times New Roman" w:hAnsi="Times New Roman"/>
          <w:sz w:val="24"/>
        </w:rPr>
        <w:t xml:space="preserve">), end-to-end region detection and identity matching succeeded in 120 entries (67.0%) with CryoAtom2-reconstructed receptors (CA2), while region detection alone succeeded in 134 entries (74.9%). With deposited receptors (GT), the corresponding counts were 142 (79.3%) for joint success and 148 (82.7%) for region detection alone. As the attempt budget increased to 10, end-to-end success rates rapidly plateaued at 87.7% with CA2 receptors and 92.2% with GT receptors. By comparison, Emap2lig-Find detected ligand regions but could not identify their chemical identities. It detected regions in only 71 entries (39.7%) at</w:t>
      </w:r>
      <w:r>
        <w:rPr>
          <w:rFonts w:ascii="Times New Roman" w:hAnsi="Times New Roman"/>
          <w:sz w:val="24"/>
        </w:rPr>
        <w:t xml:space="preserve"> </w:t>
      </w:r>
      <m:oMath>
        <m:r>
          <m:t>K</m:t>
        </m:r>
        <m:r>
          <m:rPr>
            <m:sty m:val="p"/>
          </m:rPr>
          <m:t>=</m:t>
        </m:r>
        <m:r>
          <m:t>1</m:t>
        </m:r>
      </m:oMath>
      <w:r>
        <w:rPr>
          <w:rFonts w:ascii="Times New Roman" w:hAnsi="Times New Roman"/>
          <w:sz w:val="24"/>
        </w:rPr>
        <w:t xml:space="preserve"> </w:t>
      </w:r>
      <w:r>
        <w:rPr>
          <w:rFonts w:ascii="Times New Roman" w:hAnsi="Times New Roman"/>
          <w:sz w:val="24"/>
        </w:rPr>
        <w:t xml:space="preserve">and 93 entries (52.0%) within</w:t>
      </w:r>
      <w:r>
        <w:rPr>
          <w:rFonts w:ascii="Times New Roman" w:hAnsi="Times New Roman"/>
          <w:sz w:val="24"/>
        </w:rPr>
        <w:t xml:space="preserve"> </w:t>
      </w:r>
      <m:oMath>
        <m:r>
          <m:t>K</m:t>
        </m:r>
        <m:r>
          <m:rPr>
            <m:sty m:val="p"/>
          </m:rPr>
          <m:t>≤</m:t>
        </m:r>
        <m:r>
          <m:t>10</m:t>
        </m:r>
      </m:oMath>
      <w:r>
        <w:rPr>
          <w:rFonts w:ascii="Times New Roman" w:hAnsi="Times New Roman"/>
          <w:sz w:val="24"/>
        </w:rPr>
        <w:t xml:space="preserve">.</w:t>
      </w:r>
    </w:p>
    <w:bookmarkEnd w:id="60"/>
    <w:bookmarkStart w:id="64" w:name="X6e1b63a4e35e6bf9431f623eff6c1e348a6971c"/>
    <w:p>
      <w:pPr>
        <w:pStyle w:val="Heading3"/>
        <w:keepNext/>
        <w:spacing w:line="480" w:lineRule="auto"/>
        <w:ind w:firstLine="0"/>
      </w:pPr>
      <w:r>
        <w:rPr>
          <w:rFonts w:ascii="Times New Roman" w:hAnsi="Times New Roman"/>
          <w:sz w:val="24"/>
        </w:rPr>
        <w:t xml:space="preserve">End-to-end reconstruction of all-atom small-molecule poses</w:t>
      </w:r>
    </w:p>
    <w:p>
      <w:pPr>
        <w:pStyle w:val="CaptionedFigure"/>
        <w:keepNext/>
        <w:spacing w:line="240" w:lineRule="auto" w:before="0" w:after="0"/>
        <w:ind w:firstLine="0"/>
        <w:jc w:val="center"/>
      </w:pPr>
      <w:r>
        <w:rPr>
          <w:rFonts w:ascii="Times New Roman" w:hAnsi="Times New Roman"/>
          <w:sz w:val="24"/>
        </w:rPr>
        <w:drawing>
          <wp:inline>
            <wp:extent cx="5733415" cy="3463558"/>
            <wp:effectExtent b="0" l="0" r="0" t="0"/>
            <wp:docPr descr="Fig. 13 | End-to-end modelling of single-residue organic small molecules with no missing atoms. Curves show the percentage of the 77 test PDB entries with successful predictions within an attempt budget of K = 1–10. Find and Match denote LigandSeek-Find and LigandSeek-Match, respectively. GT and CA2 denote deposited and CryoAtom2-reconstructed receptor structures, respectively. a, Find+Match curves require end-to-end correct region detection and ligand identity matching, whereas Find and Emap2lig-Find curves require only correct region detection. b, c, Success rates for end-to-end pose reconstruction with PocketXMol-tuned using deposited (GT, b) and CryoAtom2-reconstructed (CA2, c) receptor structures across charged attempts K. Success requires RMSD below 2 Å or 3 Å. Solid lines denote top-1 poses selected by model score; dashed lines denote best-of-50 poses." title="MDPPTFIG_eJztWM1uGzcQfhVCpwSVtPqxnGSbGHBlOyhqB4KdAgW6hUFxR1rCXJIluZKVpkAvRdFDTyl6adFzT32ABmgPfZMCTfIYHZIrWU6cIkgQNAJqeMWfGX4czgxnSH7R0NQVjZQ0nn7_-O8ff0_2e_tPHz968vNPba3deaNJGgasEjPIPdMwzbKPLRibZd3Bre6tLNsDe-aUzrJnv_725Idvnn337dNf_siyiJZlL8JJWoKHgh60bEmFaGmuQXAJnsqodlzJ05Kas0oj36eN2_NUk_NSSJvO72SNwjmdJollBZTUtpUGicSJMiV12DTTZK5Mro1iYC2X01IkvU5nOykpl1ljx6ONTChO3EIAmaczKhD3w5JOYRin93zJksPzngHoQxTRhv611jy1mjKcBnH8GhCot9XJGnXzuBK-i1ZO1Zg1ux_JZY5sE26sO4xDOzUTUqIAUdL4U9cPlHQWx1HLOMcx93kJltyDOTlWJZVh6mJX2itpATVCeLBxaI9DdRjXFkoU88FKMb2tpegP4vAoiPM2Ccvxkmv0EjAzQNYDPm2Tbp88JPsybznVAlxnqXIQwutJTYg3i4AWDuF5BQRtRiVnJHgDcgpgqDZcI3cFkYqUPBiSUKdK2_YiuCjIW9XNG2iAbICMwwpLS2yh5sQVQDQYBtLhHvAW8j03bhAH1pHR3gcEKYYvTWIr5vfWpBIEAXPO_JaJNC4JxX_noNSOjKt8Cg7xNkAfl21WpuoI42IddspXCjtqMuEM9hSrSlTXMui4wstRRlC389HtpAzT1D3xZxQK6xakrMXXQfrQF5lHNcCdqwDcTvdNcf_66tFLkDuX-pNaNe-qHdvkwMdVih-KyQqSg1QOyCHHIJOfAJy1VgxrfYG3SRBHA_rzDMSiTe7eD2zD3d4SJQetLHcQxw_NQu1iUOphKGO4BZypmKdhC7RThsSeClGfg964DbFpSYhugIabwVXfi27KYjw28HnFDWDAXaVOpgw6lEPSFOMsuqCDEHGDC4rgwoSjfzru97kHw2TZJPMCDFB7sR32S6p7yB_9_7n5lBSLl870v7u-bXcdb4CGmxsg42Z7AdsADTfJSTz-EUPxeEjwBLQerDA9AlnLhj6OhEPjSLEzcJ8cKdFylcQkWYUz_UVCvXb3fpOMr_9rYr2GqbhJ2PWrMiyhzCgUixXUTH2CjodQuwE6_U_Onu_-QW7laDFHWXJ8dLJHxiDwytIjf36NF0fSxxI5leA-F-KVfHlSc0q3usEd8ZIDeKX0_jNexIsosZjq4H2SU1vAcwPHeOdpqUlr0ImjLyc_fynfaXzWJI3VC0VjcKPf3-oOzvtb2_3B4ObD25qzFL_agvSVLJgbOn_htaJGQKzXwcBhfmesYMxru5IBQcMlr-DaejP6FcrZiDNvRN9g92Yjgyq0zM8yTJPwSpSER6KkfiNK1p-IEr87cZmywiFcu9MJn_ptfDoZd27CAiCJHacd_Ov221pOcSE8R_TtPtb8MxLWR8s1omlWclyIFAWkXoOHGIAskWpYUDmFXWMUnpBobhGk6_GWhHBKj52IeTF0bYKImryghLHg-oAL4Wf09TA-VijeuAzg2cxXJ8hzjLME-qXGiim5jOdbVqOGx_MjdOC1JyWank9M6Us0HDmPj0hksXpMCv2eDOeOME-v3RW5mGervbZmRq5QLkG1se4uqJL4CnL782Gcls4ObeS9qC25PV2qKHpyUaWpwGyAKLcGvUFEuZLL22U_PIGt1WnqKBfL7vW6kLW-rF7ZBb-dxpf_ALOkJ9s" id="62" name="Picture"/>
            <a:graphic>
              <a:graphicData uri="http://schemas.openxmlformats.org/drawingml/2006/picture">
                <pic:pic>
                  <pic:nvPicPr>
                    <pic:cNvPr descr="C:/Users/15919/Desktop/论文草稿/temp/manuscript_figures_fb08eyee/figure_000013.png" id="63" name="Picture"/>
                    <pic:cNvPicPr>
                      <a:picLocks noChangeArrowheads="1" noChangeAspect="1"/>
                    </pic:cNvPicPr>
                  </pic:nvPicPr>
                  <pic:blipFill>
                    <a:blip r:embed="rId61"/>
                    <a:stretch>
                      <a:fillRect/>
                    </a:stretch>
                  </pic:blipFill>
                  <pic:spPr bwMode="auto">
                    <a:xfrm>
                      <a:off x="0" y="0"/>
                      <a:ext cx="5733415" cy="346355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13 | End-to-end modelling of single-residue organic small molecules with no missing atoms.</w:t>
      </w:r>
      <w:r>
        <w:rPr>
          <w:rFonts w:ascii="Times New Roman" w:hAnsi="Times New Roman"/>
          <w:sz w:val="24"/>
        </w:rPr>
        <w:t xml:space="preserve"> </w:t>
      </w:r>
      <w:r>
        <w:rPr>
          <w:rFonts w:ascii="Times New Roman" w:hAnsi="Times New Roman"/>
          <w:sz w:val="24"/>
        </w:rPr>
        <w:t xml:space="preserve">Curves show the percentage of the 77 test PDB entries with successful predictions within an attempt budget of</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Find and Match denote LigandSeek-Find and LigandSeek-Match, respectively. GT and CA2 denote deposited and CryoAtom2-reconstructed receptor structures, respectively.</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Find+Match curves require end-to-end correct region detection and ligand identity matching, whereas Find and Emap2lig-Find curves require only correct region detection.</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Success rates for end-to-end pose reconstruction with PocketXMol-tuned using deposited (GT, b) and CryoAtom2-reconstructed (CA2, c) receptor structures across charged attempts</w:t>
      </w:r>
      <w:r>
        <w:rPr>
          <w:rFonts w:ascii="Times New Roman" w:hAnsi="Times New Roman"/>
          <w:sz w:val="24"/>
        </w:rPr>
        <w:t xml:space="preserve"> </w:t>
      </w:r>
      <m:oMath>
        <m:r>
          <m:t>K</m:t>
        </m:r>
      </m:oMath>
      <w:r>
        <w:rPr>
          <w:rFonts w:ascii="Times New Roman" w:hAnsi="Times New Roman"/>
          <w:sz w:val="24"/>
        </w:rPr>
        <w:t xml:space="preserve">. Success requires RMSD below 2 Å or 3 Å. Solid lines denote top-1 poses selected by model score; dashed lines denote best-of-50 poses.</w:t>
      </w:r>
    </w:p>
    <w:p>
      <w:pPr>
        <w:pStyle w:val="BodyText"/>
        <w:spacing w:line="480" w:lineRule="auto" w:after="120"/>
        <w:ind w:firstLine="480"/>
      </w:pPr>
      <w:r>
        <w:rPr>
          <w:rFonts w:ascii="Times New Roman" w:hAnsi="Times New Roman"/>
          <w:sz w:val="24"/>
        </w:rPr>
        <w:t xml:space="preserve">We evaluated the full end-to-end reconstruction pipeline (detection, matching, and pose reconstruction) for single-residue organic small molecules with no missing atoms across 77 PDB entries which contain at least one of them</w:t>
      </w:r>
      <w:r>
        <w:rPr>
          <w:rFonts w:ascii="Times New Roman" w:hAnsi="Times New Roman"/>
          <w:sz w:val="24"/>
        </w:rPr>
        <w:t xml:space="preserve"> </w:t>
      </w:r>
      <w:r>
        <w:rPr>
          <w:rFonts w:ascii="Times New Roman" w:hAnsi="Times New Roman"/>
          <w:sz w:val="24"/>
        </w:rPr>
        <w:t xml:space="preserve">(</w:t>
      </w:r>
      <w:r>
        <w:rPr>
          <w:rStyle w:val="MDFIGREF_eJyrrk7LTC9KTbNKNUrVLc5NzMnRLcgsSM3JzEutSdJJrq0FANjnDNA"/>
          <w:rFonts w:ascii="Times New Roman" w:hAnsi="Times New Roman"/>
          <w:sz w:val="24"/>
        </w:rPr>
        <w:t xml:space="preserve">Fig. 13b, 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all evaluations, PocketXMol-tuned used the centroid of the ligand region predicted by Find to define the binding site and pocket, without relying on ground-truth ligand coordinates. We tested the pipeline using both deposited receptors</w:t>
      </w:r>
      <w:r>
        <w:rPr>
          <w:rFonts w:ascii="Times New Roman" w:hAnsi="Times New Roman"/>
          <w:sz w:val="24"/>
        </w:rPr>
        <w:t xml:space="preserve"> </w:t>
      </w:r>
      <w:r>
        <w:rPr>
          <w:rFonts w:ascii="Times New Roman" w:hAnsi="Times New Roman"/>
          <w:sz w:val="24"/>
        </w:rPr>
        <w:t xml:space="preserve">(</w:t>
      </w:r>
      <w:r>
        <w:rPr>
          <w:rStyle w:val="MDFIGREF_eJyrrk7LTC9KTbNKNUrVLc5NzMnRLcgsSM3JzEutSaqtBQDAgAxB"/>
          <w:rFonts w:ascii="Times New Roman" w:hAnsi="Times New Roman"/>
          <w:sz w:val="24"/>
        </w:rPr>
        <w:t xml:space="preserve">Fig. 13b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and CryoAtom2-reconstructed receptors</w:t>
      </w:r>
      <w:r>
        <w:rPr>
          <w:rFonts w:ascii="Times New Roman" w:hAnsi="Times New Roman"/>
          <w:sz w:val="24"/>
        </w:rPr>
        <w:t xml:space="preserve"> </w:t>
      </w:r>
      <w:r>
        <w:rPr>
          <w:rFonts w:ascii="Times New Roman" w:hAnsi="Times New Roman"/>
          <w:sz w:val="24"/>
        </w:rPr>
        <w:t xml:space="preserve">(</w:t>
      </w:r>
      <w:r>
        <w:rPr>
          <w:rStyle w:val="MDFIGREF_eJyrrk7LTC9KTbNKNUrVLc5NzMnRLcgsSM3JzEutSa6tBQDAgwxC"/>
          <w:rFonts w:ascii="Times New Roman" w:hAnsi="Times New Roman"/>
          <w:sz w:val="24"/>
        </w:rPr>
        <w:t xml:space="preserve">Fig. 13c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where in the latter, no deposited structural information was used at any stage of the pipeline.</w:t>
      </w:r>
    </w:p>
    <w:p>
      <w:pPr>
        <w:pStyle w:val="BodyText"/>
        <w:spacing w:line="480" w:lineRule="auto" w:after="120"/>
        <w:ind w:firstLine="480"/>
      </w:pPr>
      <w:r>
        <w:rPr>
          <w:rFonts w:ascii="Times New Roman" w:hAnsi="Times New Roman"/>
          <w:sz w:val="24"/>
        </w:rPr>
        <w:t xml:space="preserve">The strictest evaluation allowed one attempt (</w:t>
      </w:r>
      <m:oMath>
        <m:r>
          <m:t>K</m:t>
        </m:r>
        <m:r>
          <m:rPr>
            <m:sty m:val="p"/>
          </m:rPr>
          <m:t>=</m:t>
        </m:r>
        <m:r>
          <m:t>1</m:t>
        </m:r>
      </m:oMath>
      <w:r>
        <w:rPr>
          <w:rFonts w:ascii="Times New Roman" w:hAnsi="Times New Roman"/>
          <w:sz w:val="24"/>
        </w:rPr>
        <w:t xml:space="preserve">), selected only the top-1 pose and required RMSD &lt; 2 Å. Under this criterion, 34/77 entries (44.2%) succeeded with CryoAtom2-reconstructed receptors, compared with 44/77 (57.1%) with deposited receptors. At RMSD &lt; 3 Å, the corresponding counts were 41/77 (53.2%) and 50/77 (64.9%). Allowing up to 10 charged attempts (</w:t>
      </w:r>
      <m:oMath>
        <m:r>
          <m:t>K</m:t>
        </m:r>
        <m:r>
          <m:rPr>
            <m:sty m:val="p"/>
          </m:rPr>
          <m:t>≤</m:t>
        </m:r>
        <m:r>
          <m:t>10</m:t>
        </m:r>
      </m:oMath>
      <w:r>
        <w:rPr>
          <w:rFonts w:ascii="Times New Roman" w:hAnsi="Times New Roman"/>
          <w:sz w:val="24"/>
        </w:rPr>
        <w:t xml:space="preserve">) increased top-1 success with CryoAtom2-reconstructed receptors to 46/77 entries (59.7%) at RMSD &lt; 2 Å and 52/77 (67.5%) at RMSD &lt; 3 Å. With deposited receptors, 51/77 entries (66.2%) and 55/77 (71.4%) achieved success at RMSD &lt; 2 Å and &lt; 3 Å, respectively.</w:t>
      </w:r>
    </w:p>
    <w:p>
      <w:pPr>
        <w:pStyle w:val="BodyText"/>
        <w:spacing w:line="480" w:lineRule="auto" w:after="120"/>
        <w:ind w:firstLine="480"/>
      </w:pPr>
      <w:r>
        <w:rPr>
          <w:rFonts w:ascii="Times New Roman" w:hAnsi="Times New Roman"/>
          <w:sz w:val="24"/>
        </w:rPr>
        <w:t xml:space="preserve">For best-of-50 poses within</w:t>
      </w:r>
      <w:r>
        <w:rPr>
          <w:rFonts w:ascii="Times New Roman" w:hAnsi="Times New Roman"/>
          <w:sz w:val="24"/>
        </w:rPr>
        <w:t xml:space="preserve"> </w:t>
      </w:r>
      <m:oMath>
        <m:r>
          <m:t>K</m:t>
        </m:r>
        <m:r>
          <m:rPr>
            <m:sty m:val="p"/>
          </m:rPr>
          <m:t>≤</m:t>
        </m:r>
        <m:r>
          <m:t>10</m:t>
        </m:r>
      </m:oMath>
      <w:r>
        <w:rPr>
          <w:rFonts w:ascii="Times New Roman" w:hAnsi="Times New Roman"/>
          <w:sz w:val="24"/>
        </w:rPr>
        <w:t xml:space="preserve">, success at RMSD &lt; 2 Å reached 67.5% and 75.3% with CryoAtom2-reconstructed and deposited receptors, respectively. At RMSD &lt; 3 Å, the corresponding success rates were 75.3% and 76.6%.</w:t>
      </w:r>
    </w:p>
    <w:p>
      <w:pPr>
        <w:pStyle w:val="BodyText"/>
        <w:spacing w:line="480" w:lineRule="auto" w:after="120"/>
        <w:ind w:firstLine="480"/>
      </w:pPr>
      <w:r>
        <w:rPr>
          <w:rStyle w:val="MDFIGREF_eJyrrk7LTC9KTbNKNUrVLc5NzMnRLcgsSM3JzEutSaytBQDAfQxA"/>
          <w:rFonts w:ascii="Times New Roman" w:hAnsi="Times New Roman"/>
          <w:sz w:val="24"/>
        </w:rPr>
        <w:t xml:space="preserve">Fig. 13a</w:t>
      </w:r>
      <w:r>
        <w:rPr>
          <w:rFonts w:ascii="Times New Roman" w:hAnsi="Times New Roman"/>
          <w:sz w:val="24"/>
        </w:rPr>
        <w:t xml:space="preserve"> </w:t>
      </w:r>
      <w:r>
        <w:rPr>
          <w:rFonts w:ascii="Times New Roman" w:hAnsi="Times New Roman"/>
          <w:sz w:val="24"/>
        </w:rPr>
        <w:t xml:space="preserve">further separates the success rates of individual pipeline stages. Within the first 10 charged attempts (</w:t>
      </w:r>
      <m:oMath>
        <m:r>
          <m:t>K</m:t>
        </m:r>
        <m:r>
          <m:rPr>
            <m:sty m:val="p"/>
          </m:rPr>
          <m:t>≤</m:t>
        </m:r>
        <m:r>
          <m:t>10</m:t>
        </m:r>
      </m:oMath>
      <w:r>
        <w:rPr>
          <w:rFonts w:ascii="Times New Roman" w:hAnsi="Times New Roman"/>
          <w:sz w:val="24"/>
        </w:rPr>
        <w:t xml:space="preserve">), Find alone succeeded in 88.3% and 89.6% of entries with CryoAtom2-reconstructed and deposited receptors, respectively. Both exceeded Emap2lig-Find’s success rate of 70.1% in this subset. Requiring both Find and Match to succeed yielded rates of 81.8% and 83.1%, respectively.</w:t>
      </w:r>
    </w:p>
    <w:bookmarkEnd w:id="64"/>
    <w:bookmarkStart w:id="74" w:name="representative-cases"/>
    <w:p>
      <w:pPr>
        <w:pStyle w:val="Heading3"/>
        <w:keepNext/>
        <w:spacing w:line="480" w:lineRule="auto"/>
        <w:ind w:firstLine="0"/>
      </w:pPr>
      <w:r>
        <w:rPr>
          <w:rFonts w:ascii="Times New Roman" w:hAnsi="Times New Roman"/>
          <w:sz w:val="24"/>
        </w:rPr>
        <w:t xml:space="preserve">Representative cases</w:t>
      </w:r>
    </w:p>
    <w:p>
      <w:pPr>
        <w:pStyle w:val="FirstParagraph"/>
        <w:spacing w:line="480" w:lineRule="auto" w:after="120"/>
        <w:ind w:firstLine="480"/>
      </w:pPr>
      <w:r>
        <w:rPr>
          <w:rFonts w:ascii="Times New Roman" w:hAnsi="Times New Roman"/>
          <w:sz w:val="24"/>
        </w:rPr>
        <w:t xml:space="preserve">We selected three representative cases to illustrate the end-to-end pipeline for all-atom small-molecule pose reconstruction, using CryoAtom2-reconstructed rather than deposited receptor structures as input</w:t>
      </w:r>
      <w:r>
        <w:rPr>
          <w:rFonts w:ascii="Times New Roman" w:hAnsi="Times New Roman"/>
          <w:sz w:val="24"/>
        </w:rPr>
        <w:t xml:space="preserve"> </w:t>
      </w:r>
      <w:r>
        <w:rPr>
          <w:rFonts w:ascii="Times New Roman" w:hAnsi="Times New Roman"/>
          <w:sz w:val="24"/>
        </w:rPr>
        <w:t xml:space="preserve">(</w:t>
      </w:r>
      <w:r>
        <w:rPr>
          <w:rStyle w:val="MDFIGREF_eJyrrk7LTC9KTbNKNUrVTcvJL9e1zMlJ10HwkrKyEDxjg_TE2loA7FISMg"/>
          <w:rFonts w:ascii="Times New Roman" w:hAnsi="Times New Roman"/>
          <w:sz w:val="24"/>
        </w:rPr>
        <w:t xml:space="preserve">Figs. 14–16</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In 9LLG</w:t>
      </w:r>
      <w:r>
        <w:rPr>
          <w:rFonts w:ascii="Times New Roman" w:hAnsi="Times New Roman"/>
          <w:sz w:val="24"/>
        </w:rPr>
        <w:t xml:space="preserve"> </w:t>
      </w:r>
      <w:r>
        <w:rPr>
          <w:rFonts w:ascii="Times New Roman" w:hAnsi="Times New Roman"/>
          <w:sz w:val="24"/>
        </w:rPr>
        <w:t xml:space="preserve">(</w:t>
      </w:r>
      <w:r>
        <w:rPr>
          <w:rStyle w:val="MDFIGREF_eJyrrk7LTC9KTbNKNUrVTcvJL9e1zMlJr60FAHM2CSQ"/>
          <w:rFonts w:ascii="Times New Roman" w:hAnsi="Times New Roman"/>
          <w:sz w:val="24"/>
        </w:rPr>
        <w:t xml:space="preserve">Fig. 14</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hit the ground-truth ligand region of A1EKL (R:602). Match correctly identified A1EKL among the three candidate identities PLM, A1EKL and CLR. PocketXMol-tuned then generated a top-1 pose with a heavy-atom RMSD of 0.88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4 | End-to-end pose reconstruction of A1EKL (R:602) in 9LLG.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F9vHDUQ_yrWPbXSXvbumoTmVCql1yRCXKooLQiJRZFvd3bPxLu2bO_9KUUqL9CqIB5AlRBPPFEJifLCC0jlu1Sk6cdgZr33p20eCigPJyXSZe2Z8W_G47E9ns8amrtho8sap9__efLjs3Cns_Pipwd_P3t08u3Tlz9_efL14-bpL09PHvyG_1_8_sXpk0enDx8cja6sae0mjYA1DFglR5AQRq8bRR9YMDaK2htb7a0ougn22CkdRS9__ePF469efvPw9MlfUeSVRdG_1lbwHEgTdKCZSjVubkmZESPm2glVHOXcHJcaRT5uXBt3NZvksrDd8btRY-ic7oahjYeQc7umNBTITJXJucOuycKxMok2KgZrRZHlMuy0WpthzkURNa4T2oGpPrfdVAIbd0dcIu57Oc-g59WTXDiTINljAN0XBdiKvtQbd63mMapBHIkkBOqst6JG3T0sJZF46VSNWYvTSFEkKJYKY13fD23VQsjxBnhL_b-6vasKZ3Ect7EQOOaOyMGyWzBmhyrnRaV6uF3YM3kVqocgsEHVH1TNnp9b9UUz784d01mfmX7XD_eGOFqTajpkucb4ATMCFN0V2Rprr7N7bKdImk41AeeplQVmIFaFdaaMyclMpWy7vfN-n1067G62OpeZKNhWv7-3Rlqc13Wu0_8fk2QrYOMuhlHA9rmLh4zjGtwohUxYAoVywPoiQ9ptgOOml1siLIYsEavRAa6h1YDrNwI5vVio895L_Pn97-IV8HLAdiYaDCooHJcUY1a4acDcEFjPTNW2U3mnubT_IaHTALRThl3qbePmp3Aj8QTwrBCvCuzduXwRa-cda8kKeDhgPYwTkXBHt0mGt4hlyE5EFVGDKfNn2Vi4IRuoCZqBt_AxXc9OVdElVYzxORIwtgyvICIZkQ3dRXidd3jBCng4WAEbVzsK0hXwcMD2jCopdzWl83nQ4oyRVUY0O3wCZodqXDDuqqPE4rOGKSPoFqxSXBK1eOLAxfly3pGVrYCHA7YtJaOXq6BrSGCe5IQTqC41Kl-E0MHNGwxZZlpfZcSok3J802YFpVlMlY6emAk9mwayvAixcw-xIWbjn66AlwP2oU9w0ipyDlR8DO6jfSWbrqSAcUo32_5JzjMuMCX3idAs37alSRE0YHBGUl-daYsknVBeexWyOwi2pENYZnhxjMJVrYPSNFKXqwTk8_s_oJ14gtpYGVhjh7UNlnEDLDMARTDXjEBIqZ8VjpsMXH0QE0uhkgxtWZzVpN0D0f44w3DPdMClN_qMtwcClxYJqpBTliLBQAoGihilhdWSe4ekokAXAa5XWZ38QUXFwQWMgDyqtRQIw62fN25aXb6WdVLB53rjk4A15tWvxkanvdVab002r2xcudpu37umRdzFX10Q429VEEsMH79RCasREOu_YOAwVxqYw5i3AlFpKmK4qeKSYsojGZCVx-xQaEtxTjMsRgcipiinTnxrdGBwbWxMWnrdsKpNhlVpMqwrk-FyYTJ0kGucZlHiEKHdUSoyNNYepYPWVZgChJ5w1MK_9vqaLjKciEgQffMdbFF1EtsHszni0sztWJjkDeTkwT7uMFxq1RtSCG4bo8ZD4IlFkDbhzRjVJvFExFwMXVLgUcM3nDCQQu8KKUkjtavxvsG7-KYGvB2omaIMbiJX8V_pzIXCV_GoZzV6eDDex9BcKlfy7iQ1OX1x4djEFyjZdF6orOjEholjMfHrcEWpmMTqqK2FUar6zkA1HgZ7gPceNVAa95zzavmob73sojWTJn6hvOnhosm7smBUH97a6Gx4lDOlaF12qvLqUpt3HRdyRl5uy6L2l9XzdcHf9cbn_wDDxhdO" id="66" name="Picture"/>
            <a:graphic>
              <a:graphicData uri="http://schemas.openxmlformats.org/drawingml/2006/picture">
                <pic:pic>
                  <pic:nvPicPr>
                    <pic:cNvPr descr="C:/Users/15919/Desktop/论文草稿/temp/manuscript_figures_fb08eyee/figure_000014.png" id="67" name="Picture"/>
                    <pic:cNvPicPr>
                      <a:picLocks noChangeArrowheads="1" noChangeAspect="1"/>
                    </pic:cNvPicPr>
                  </pic:nvPicPr>
                  <pic:blipFill>
                    <a:blip r:embed="rId65"/>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14 | End-to-end pose reconstruction of A1EKL (R:602) in 9LLG.</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480" w:lineRule="auto" w:after="120"/>
        <w:ind w:firstLine="480"/>
      </w:pPr>
      <w:r>
        <w:rPr>
          <w:rFonts w:ascii="Times New Roman" w:hAnsi="Times New Roman"/>
          <w:sz w:val="24"/>
        </w:rPr>
        <w:t xml:space="preserve">In 9BJJ</w:t>
      </w:r>
      <w:r>
        <w:rPr>
          <w:rFonts w:ascii="Times New Roman" w:hAnsi="Times New Roman"/>
          <w:sz w:val="24"/>
        </w:rPr>
        <w:t xml:space="preserve"> </w:t>
      </w:r>
      <w:r>
        <w:rPr>
          <w:rFonts w:ascii="Times New Roman" w:hAnsi="Times New Roman"/>
          <w:sz w:val="24"/>
        </w:rPr>
        <w:t xml:space="preserve">(</w:t>
      </w:r>
      <w:r>
        <w:rPr>
          <w:rStyle w:val="MDFIGREF_eJyrrk7LTC9KTbNKNUrVTcvJL9e1TMrKqq0FAHMFCRs"/>
          <w:rFonts w:ascii="Times New Roman" w:hAnsi="Times New Roman"/>
          <w:sz w:val="24"/>
        </w:rPr>
        <w:t xml:space="preserve">Fig. 15</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hit the ground-truth ligand region of ATP (B:901). Match correctly identified ATP among the three candidate identities ATP, A1AP0 and Mg²⁺. PocketXMol-tuned then generated a top-1 pose with subångström accuracy, achieving a heavy-atom RMSD of 0.80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5 | End-to-end pose reconstruction of ATP (B:901) in 9BJJ.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F9rHDcQ_yrinhLY895dcml8pAH7YocGJ5jELYVuMbrd2T3ldiUhae9PmkL60iakpQ8tgdKnPjVQaPrSlxbS7xLqOB-jM6u9P0n8kLb44cCG80ozo9-MRiNpNJ81NHfDRo81jr__8-jH5-FOZ-flTw__fv746Ntnr37-8ujrJ83jX54dPfwN_7_8_Yvjp4-PHz08HF_Y0NpNGwFrGLAqH0NCGP1eFH1owdgoanc325tRdA3syCkdRa9-_ePlk69effPo-OlfUeSVRdG_1iZ5AaQJOtBMczVpbg7u3iVGzLUTSh4W3IxKjSKfNK5MeppNi1za3uT9qDF0TvfC0MZDKLjdUBokMlNlCu6wa7JwokyijYrBWiGzIg87rdalsOBCRo2rhLZvqs8dN8uBTXpjniPuBwXPoO_Vk1w4lyDZEYDeExJsRV_pTXpW8xjVIE6OJATqXGxFjbp7u8yJxEunasxanEYKmaBYKox1e35oqxZCjjfAW-r_1e1dJZ3FcdzGQuCYA1GAZbdgwm6rgstK9XBL2hN5FaqHILBB1R9Uzb6fW_VFM-8tHNO5ODf9nh_uDXG0JtV0yHKN8QNmDCi6K7IN1u6y-2xHJk2nmoDz1MoCMxAraZ0pY3IyUynbOthn57Z7m632eSYk29y-cWODdDiv6VQn_z-myNbAxl0MooDd5C4eMo4rsF2KPGEJSOWA7YkMaXcARk0vt0JYDlkhVqMDXEGrAVdvDPnsbKFOeyfxFw--i9fAywHbmWowqEA6nlOMWeFmAXNDYH0zU1tOFZ3myu6HhM4C0E4Zdq6_1TlfhRuJJ4AnhXhd4PrB-bNYO-1YS9bAwwHrY5yIhDu6SzK8QyxDdiKqiBrMmD_LJsIN2UBN0Qy8g0d0OTtVRVeuYozPsYCJZXgBEcmIbOjOwuu0wwvWwMPBGti43lGQroGHA3bdqJIyV1M6nwctz5i8yojmh0_A7FBNJOOuOkosPmqYMoJuwSrBJVGLJw6cnS-nHVnZGng4YFt5zujdKugaEpgnOeEEqkuNKpYhtH9tmyHLzOqrjBh1Uo4v2kxSmsVU6eiBmdCzaZCXZyF26iE2xGz87hp4OWAf-QQnrSJnX8UjcB_fVHnTlRQwTulm2z_IecYFpuQ-EZrn27Y0KYIGDE5I6qszbZmkE8obr0J2gGArOoRlhssRCleVDkrTSF2hEshfPPgB7cQT1MbKwAa7XdtgGTfAMgMgg4VmBEJK_axw3GTg6oOYWAqVZGjL8qwm7R6I9scJhnumA557o094eyBwaZGgZD5jKRIMpGBAxigtrM65d0gqJLoIcL3K6uQPKioOljAG8qjWuUAYbv28cdPq8o2sk8o9VxufBqyxqH01up32Zutia3rpQvfC5Xb7_hUt4h7-6nIYf6dyWGL45K06WI2AWP8FA4e50sACxrwTiEpTEcM1FZcUUx7JQF55zA6FthTnNEM53hcxRTl14lvjfYNrY2PS0u-FVWUyrAqTYV2XDFfLkqGDQuM0ZYlDhHaHqcjQWHuYDlqXYQYQesJhC__a3Q0tM5yISBD9ParcUW0S2_vzOeLSLOxYmuQN5OTBPdxhuNSqP6QQ3DJGTYbAE4sgbcKbM6pN4omIuRy6osCjhm85YZALvSvynDRSuxrvG7yHb2rA24GaKcrgJnIV_7XOQih8HY96VqOHB5ObGJorxUrem6amoC8uHJv68iSbLcqUFZ3YMHUsJn4drigVk1gdtbUwSlXfOajGw-A64L1HDZTGPee8Wj7es1522ZpLE18qb3q4bPJeLhlVhze7na5HOVGK1mWnKq6utHnPcZHPyavtXNb-snqxLvi72vj8H4vRFsE" id="69" name="Picture"/>
            <a:graphic>
              <a:graphicData uri="http://schemas.openxmlformats.org/drawingml/2006/picture">
                <pic:pic>
                  <pic:nvPicPr>
                    <pic:cNvPr descr="C:/Users/15919/Desktop/论文草稿/temp/manuscript_figures_fb08eyee/figure_000015.png" id="70" name="Picture"/>
                    <pic:cNvPicPr>
                      <a:picLocks noChangeArrowheads="1" noChangeAspect="1"/>
                    </pic:cNvPicPr>
                  </pic:nvPicPr>
                  <pic:blipFill>
                    <a:blip r:embed="rId68"/>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15 | End-to-end pose reconstruction of ATP (B:901) in 9BJJ.</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480" w:lineRule="auto" w:after="120"/>
        <w:ind w:firstLine="480"/>
      </w:pPr>
      <w:r>
        <w:rPr>
          <w:rFonts w:ascii="Times New Roman" w:hAnsi="Times New Roman"/>
          <w:sz w:val="24"/>
        </w:rPr>
        <w:t xml:space="preserve">In 30GA</w:t>
      </w:r>
      <w:r>
        <w:rPr>
          <w:rFonts w:ascii="Times New Roman" w:hAnsi="Times New Roman"/>
          <w:sz w:val="24"/>
        </w:rPr>
        <w:t xml:space="preserve"> </w:t>
      </w:r>
      <w:r>
        <w:rPr>
          <w:rFonts w:ascii="Times New Roman" w:hAnsi="Times New Roman"/>
          <w:sz w:val="24"/>
        </w:rPr>
        <w:t xml:space="preserve">(</w:t>
      </w:r>
      <w:r>
        <w:rPr>
          <w:rStyle w:val="MDFIGREF_eJyrrk7LTC9KTbNKNUrVTcvJL9c1NkhPrK0FAHHACNc"/>
          <w:rFonts w:ascii="Times New Roman" w:hAnsi="Times New Roman"/>
          <w:sz w:val="24"/>
        </w:rPr>
        <w:t xml:space="preserve">Fig. 16</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was a background false positive and consumed one search attempt. The Rank 2 candidate then hit ATP (N:401), and Match correctly identified ATP. PocketXMol-tuned subsequently generated a pose with a heavy-atom RMSD of 1.04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6 | End-to-end pose reconstruction of ATP (N:401) in 30GA.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N1rHDcQ_1fEPSWw5707fyQ-0oBzsU3BCUfilkK3GN3u7J7qXUlI2vtIU0hf2oS09KElUPrUpwYKTV_60kL6v4Q6zp_RmdXeRxI_pC1-OLDhvNLM6Dej0UgazWcNzd2w0WWN0-__PPnxebjb2X3508O_nz8--fbZq5-_PPn6SfP0l2cnD3_D_y9__-L06ePTRw-PRutrWrtJI2ANA1blI0gIo9eNog8sGBtF7c3t9nYU3QR77JSOole__vHyyVevvnl0-vSvKPLKouhfa5O8ANIEHWimuRo311sZJ0bMtRNKHhXcHJcaRT5uXBt3NZsUubTd8XtRY-ic7oahjYdQcLumNEhkpsoU3GHXZOFYmUQbFYO1QmZFHnZara2w4EJGjeuE1jfV566b5sDG3RHPEff9gmfQ8-pJLpxJkOwxgD4QEmxFX-qNu1bzGNUgTo4kBOpstKJG3b1T5kTipVM1Zi1OI4VMUCwVxroDP7RVCyHHG-At9f_q9p6SzuI4bmMhcMyhKMCy2zBmd1TBZaV6uCPtmbwK1UMQ2KDqD6pmz8-t-qKZ9-aO6WzMTL_nh3tDHK1JNR2yXGP8gBkBiu6JbI21t9h9tiuTplNNwHlqZYEZiJW0zpQxOZmplO0c9tml292NVvsyE5Ktt_Z31kiH85rOdfL_Y4psBWzcwyAK2C3u4iHjuAI3SpEnLAGpHLADkSHtLsBx08stERZDlojV6ABX0GrA1RtBPr1YqPPeSfzFg-_iFfBywHYnGgwqkI7nFGNWuGnA3BBYz0zVjlNFp7m0-yGhswC0U4Zd6u10LlfhRuIJ4EkhXhfYP7x8EWvnHWvJCng4YD2ME5FwR3dJhneIZchORBVRgynzZ9lYuCEbqAmagXfwMV3OTlXRlasY43MkYGwZXkBEMiIbuovwOu_wghXwcLACNq52FKQr4OGA7RtVUuZqSufzoMUZk1cZ0ezwCZgdqrFk3FVHicVHDVNG0C1YJbgkavHEgYvz5bwjK1sBDwdsJ88ZvVsFXUMC8yQnnEB1qVHFIoT6N28wZJlpfZURo07K8UWbSUqzmCodPTATejYN8vIixM49xIaYjX-6Al4O2Ic-wUmryOmr-BjcR7dU3nQlBYxTutn2D3KecYEpuU-EZvm2LU2KoAGDM5L66kxbJOmE8sarkB0i2JIOYZnh8hiFq0oHpWmkrlAJ5C8e_IB24glqY2Vgjd2pbbCMG2CZAZDBXDMCIaV-VjhuMnD1QUwshUoytGVxVpN2D0T74wzDPdMBz73RZ7w9ELi0SFAyn7IUCQZSMCBjlBZW59w7JBUSXQS4XmV18gcVFQdLGAF5VOtcIAy3ft64aXX5RtZJ5Z7rjU8C1pjXvhqbnfZ2a6M12VrfXL_abt-_pkXcxV9dDuPvVA5LDB-_VQerERDrv2DgMFcamMOYdwJRaSpiuKnikmLKIxnIK4_ZodCW4pxmKEd9EVOUUye-PeobXBsbk5ZeN6wqk2FVmAzrumS4XJYMHRQapylLHCK0O0pFhsbao3TQugpTgNATjlr4195a0zLDiYgE0a-sY4tqk9juz-aISzO3Y2GSN5CTBw9wh-FSq96QQnDHGDUeAk8sgrQJb8aoNoknIuZi6JICjxq-5YRBLvSeyHPSSO1qvG_wLr6pAW8HaqYog5vIVfzXOnOh8HU86lmNHh6Mb2FoLhUreXeSmoK-uHBs4suTbDovU1Z0YsPEsZj4dbiiVExiddTWwihVfWegGg-DfcB7jxoojXvOebV8dGC97KI1kya-VN70cNHk3Vwyqg5vb3Y2PcqZUrQuu1VxdanNu46LfEZebuey9pfV83XB3_XG5_8AS74WZQ" id="72" name="Picture"/>
            <a:graphic>
              <a:graphicData uri="http://schemas.openxmlformats.org/drawingml/2006/picture">
                <pic:pic>
                  <pic:nvPicPr>
                    <pic:cNvPr descr="C:/Users/15919/Desktop/论文草稿/temp/manuscript_figures_fb08eyee/figure_000016.png" id="73" name="Picture"/>
                    <pic:cNvPicPr>
                      <a:picLocks noChangeArrowheads="1" noChangeAspect="1"/>
                    </pic:cNvPicPr>
                  </pic:nvPicPr>
                  <pic:blipFill>
                    <a:blip r:embed="rId71"/>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16 | End-to-end pose reconstruction of ATP (N:401) in 30GA.</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bookmarkEnd w:id="74"/>
    <w:bookmarkEnd w:id="75"/>
    <w:bookmarkEnd w:id="76"/>
    <w:bookmarkStart w:id="108" w:name="methods"/>
    <w:p>
      <w:pPr>
        <w:pStyle w:val="Heading1"/>
        <w:keepNext/>
        <w:spacing w:line="480" w:lineRule="auto"/>
        <w:ind w:firstLine="0"/>
      </w:pPr>
      <w:r>
        <w:rPr>
          <w:rFonts w:ascii="Times New Roman" w:hAnsi="Times New Roman"/>
          <w:sz w:val="24"/>
        </w:rPr>
        <w:t xml:space="preserve">Methods</w:t>
      </w:r>
    </w:p>
    <w:p>
      <w:pPr>
        <w:pStyle w:val="FirstParagraph"/>
        <w:spacing w:line="480" w:lineRule="auto" w:after="120"/>
        <w:ind w:firstLine="480"/>
      </w:pPr>
      <w:r>
        <w:rPr>
          <w:rStyle w:val="MDFIGREF_eJyrrk7LTC9KTbMCUrq5qSUZ-Sm6ZSa1tQB3QQlZ"/>
          <w:rFonts w:ascii="Times New Roman" w:hAnsi="Times New Roman"/>
          <w:sz w:val="24"/>
        </w:rPr>
        <w:t xml:space="preserve">Fig. 2</w:t>
      </w:r>
      <w:r>
        <w:rPr>
          <w:rFonts w:ascii="Times New Roman" w:hAnsi="Times New Roman"/>
          <w:sz w:val="24"/>
        </w:rPr>
        <w:t xml:space="preserve"> </w:t>
      </w:r>
      <w:r>
        <w:rPr>
          <w:rFonts w:ascii="Times New Roman" w:hAnsi="Times New Roman"/>
          <w:sz w:val="24"/>
        </w:rPr>
        <w:t xml:space="preserve">shows the network architecture and information flow of the Find–Match–Build framework. The three stages share density and receptor-atom input representations</w:t>
      </w:r>
      <w:r>
        <w:rPr>
          <w:rFonts w:ascii="Times New Roman" w:hAnsi="Times New Roman"/>
          <w:sz w:val="24"/>
        </w:rPr>
        <w:t xml:space="preserve"> </w:t>
      </w:r>
      <w:r>
        <w:rPr>
          <w:rFonts w:ascii="Times New Roman" w:hAnsi="Times New Roman"/>
          <w:sz w:val="24"/>
        </w:rPr>
        <w:t xml:space="preserve">(</w:t>
      </w:r>
      <w:r>
        <w:rPr>
          <w:rStyle w:val="MDFIGREF_eJyrrk7LTC9KTbMCUrq5qSUZ-Sm6ZSY1ibW1AIsSCjY"/>
          <w:rFonts w:ascii="Times New Roman" w:hAnsi="Times New Roman"/>
          <w:sz w:val="24"/>
        </w:rPr>
        <w:t xml:space="preserve">Fig. 2a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They sequentially localise ligand regions</w:t>
      </w:r>
      <w:r>
        <w:rPr>
          <w:rFonts w:ascii="Times New Roman" w:hAnsi="Times New Roman"/>
          <w:sz w:val="24"/>
        </w:rPr>
        <w:t xml:space="preserve"> </w:t>
      </w:r>
      <w:r>
        <w:rPr>
          <w:rFonts w:ascii="Times New Roman" w:hAnsi="Times New Roman"/>
          <w:sz w:val="24"/>
        </w:rPr>
        <w:t xml:space="preserve">(</w:t>
      </w:r>
      <w:r>
        <w:rPr>
          <w:rStyle w:val="MDFIGREF_eJyrrk7LTC9KTbMCUrq5qSUZ-Sm6ZSY1SbW1AIsVCjc"/>
          <w:rFonts w:ascii="Times New Roman" w:hAnsi="Times New Roman"/>
          <w:sz w:val="24"/>
        </w:rPr>
        <w:t xml:space="preserve">Fig. 2b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match candidate regions to ligand identities</w:t>
      </w:r>
      <w:r>
        <w:rPr>
          <w:rFonts w:ascii="Times New Roman" w:hAnsi="Times New Roman"/>
          <w:sz w:val="24"/>
        </w:rPr>
        <w:t xml:space="preserve"> </w:t>
      </w:r>
      <w:r>
        <w:rPr>
          <w:rFonts w:ascii="Times New Roman" w:hAnsi="Times New Roman"/>
          <w:sz w:val="24"/>
        </w:rPr>
        <w:t xml:space="preserve">(</w:t>
      </w:r>
      <w:r>
        <w:rPr>
          <w:rStyle w:val="MDFIGREF_eJyrrk7LTC9KTbMCUrq5qSUZ-Sm6ZSY1ybW1AIsYCjg"/>
          <w:rFonts w:ascii="Times New Roman" w:hAnsi="Times New Roman"/>
          <w:sz w:val="24"/>
        </w:rPr>
        <w:t xml:space="preserve">Fig. 2c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and reconstruct all-atom ligand poses</w:t>
      </w:r>
      <w:r>
        <w:rPr>
          <w:rFonts w:ascii="Times New Roman" w:hAnsi="Times New Roman"/>
          <w:sz w:val="24"/>
        </w:rPr>
        <w:t xml:space="preserve"> </w:t>
      </w:r>
      <w:r>
        <w:rPr>
          <w:rFonts w:ascii="Times New Roman" w:hAnsi="Times New Roman"/>
          <w:sz w:val="24"/>
        </w:rPr>
        <w:t xml:space="preserve">(</w:t>
      </w:r>
      <w:r>
        <w:rPr>
          <w:rStyle w:val="MDFIGREF_eJyrrk7LTC9KTbMCUrq5qSUZ-Sm6ZSY1KbW1AIsbCjk"/>
          <w:rFonts w:ascii="Times New Roman" w:hAnsi="Times New Roman"/>
          <w:sz w:val="24"/>
        </w:rPr>
        <w:t xml:space="preserve">Fig. 2d</w:t>
      </w:r>
      <w:r>
        <w:rPr>
          <w:rFonts w:ascii="Times New Roman" w:hAnsi="Times New Roman"/>
          <w:sz w:val="24"/>
        </w:rPr>
        <w:t xml:space="preserve">).</w:t>
      </w:r>
    </w:p>
    <w:bookmarkStart w:id="77" w:name="data-sources-and-sample-partitioning"/>
    <w:p>
      <w:pPr>
        <w:pStyle w:val="Heading2"/>
        <w:keepNext/>
        <w:spacing w:line="480" w:lineRule="auto"/>
        <w:ind w:firstLine="0"/>
      </w:pPr>
      <w:r>
        <w:rPr>
          <w:rFonts w:ascii="Times New Roman" w:hAnsi="Times New Roman"/>
          <w:sz w:val="24"/>
        </w:rPr>
        <w:t xml:space="preserve">Data sources and sample partitioning</w:t>
      </w:r>
    </w:p>
    <w:p>
      <w:pPr>
        <w:pStyle w:val="FirstParagraph"/>
        <w:spacing w:line="480" w:lineRule="auto" w:after="120"/>
        <w:ind w:firstLine="480"/>
      </w:pPr>
      <w:r>
        <w:rPr>
          <w:rFonts w:ascii="Times New Roman" w:hAnsi="Times New Roman"/>
          <w:sz w:val="24"/>
        </w:rPr>
        <w:t xml:space="preserve">We downloaded cryo-EM density maps from EMDB and their corresponding PDB structures from the RCSB database. We selected samples with a resolution of &lt;4 Å and CC &gt;0.65. We then partitioned the dataset into mutually disjoint training, validation, calibration, and test sets. The test set contained non-redundant samples first released after 1 January 2026, whereas the other three sets contained samples released before that date.</w:t>
      </w:r>
    </w:p>
    <w:p>
      <w:pPr>
        <w:pStyle w:val="BodyText"/>
        <w:spacing w:line="480" w:lineRule="auto" w:after="120"/>
        <w:ind w:firstLine="480"/>
      </w:pPr>
      <w:r>
        <w:rPr>
          <w:rFonts w:ascii="Times New Roman" w:hAnsi="Times New Roman"/>
          <w:sz w:val="24"/>
        </w:rPr>
        <w:t xml:space="preserve">We used sequence comparisons performed by MMseqs2 to define redundancy between protein and nucleic acid complexes. Two protein sequences were considered similar if their alignment had ≥30% identity and ≥80% coverage in both directions. For nucleic acid sequences, the identity threshold was ≥80%, with the same bidirectional coverage requirement. A pair of PDB entries was considered redundant if the number of similar chains reached ≥60% of the comparable chains in either entry.</w:t>
      </w:r>
    </w:p>
    <w:p>
      <w:pPr>
        <w:pStyle w:val="BodyText"/>
        <w:spacing w:line="480" w:lineRule="auto" w:after="120"/>
        <w:ind w:firstLine="480"/>
      </w:pPr>
      <w:r>
        <w:rPr>
          <w:rFonts w:ascii="Times New Roman" w:hAnsi="Times New Roman"/>
          <w:sz w:val="24"/>
        </w:rPr>
        <w:t xml:space="preserve">We then removed redundant samples from the candidate test set at the PDB-entry level, namely, by selecting a maximal independent set in the PDB-graph defined by the redundancy relationships. Each sample in the final test set was non-redundant with every sample in the training, validation, and calibration sets. All pairs of samples within the test set were also non-redundant.</w:t>
      </w:r>
    </w:p>
    <w:p>
      <w:pPr>
        <w:pStyle w:val="BodyText"/>
        <w:spacing w:line="480" w:lineRule="auto" w:after="120"/>
        <w:ind w:firstLine="480"/>
      </w:pPr>
      <w:r>
        <w:rPr>
          <w:rFonts w:ascii="Times New Roman" w:hAnsi="Times New Roman"/>
          <w:sz w:val="24"/>
        </w:rPr>
        <w:t xml:space="preserve">Of the 2,497 EMDB–PDB pairs whose corresponding density maps were first released after 1 January 2026, 179 remained after quality filtering and redundancy removal. These pairs formed the original test set used for subsequent evaluations. Samples released before 1 January 2026 were divided into three mutually disjoint subsets containing 13,714, 200, and 100 EMDB–PDB pairs, respectively. These subsets served as the original training, validation, and calibration sets.</w:t>
      </w:r>
    </w:p>
    <w:p>
      <w:pPr>
        <w:pStyle w:val="BodyText"/>
        <w:spacing w:line="480" w:lineRule="auto" w:after="120"/>
        <w:ind w:firstLine="480"/>
      </w:pPr>
      <w:r>
        <w:rPr>
          <w:rFonts w:ascii="Times New Roman" w:hAnsi="Times New Roman"/>
          <w:sz w:val="24"/>
        </w:rPr>
        <w:t xml:space="preserve">For Find, the training set supplied training metadata, including local</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ascii="Times New Roman" w:hAnsi="Times New Roman"/>
          <w:sz w:val="24"/>
        </w:rPr>
        <w:t xml:space="preserve">density crops. The validation set was used to select the best checkpoint during training. The calibration set determined probability or score thresholds after training was complete. Find operated at the PDB-entry level for training and testing, using all 13,714, 200, 100 and 179 EMDB–PDB pairs from the original sets.</w:t>
      </w:r>
    </w:p>
    <w:p>
      <w:pPr>
        <w:pStyle w:val="BodyText"/>
        <w:spacing w:line="480" w:lineRule="auto" w:after="120"/>
        <w:ind w:firstLine="480"/>
      </w:pPr>
      <w:r>
        <w:rPr>
          <w:rFonts w:ascii="Times New Roman" w:hAnsi="Times New Roman"/>
          <w:sz w:val="24"/>
        </w:rPr>
        <w:t xml:space="preserve">Match used candidate blobs inferred by Find as its basic sample unit. Its training, validation and test sets comprised Find inference outputs from 1,650, 200 and 179 PDB entries, respectively. These PDB entries were subsets of the corresponding original training, validation and test sets. The three sets contained 44,643, 5,544 and 1,651 blobs, respectively.</w:t>
      </w:r>
    </w:p>
    <w:p>
      <w:pPr>
        <w:pStyle w:val="BodyText"/>
        <w:spacing w:line="480" w:lineRule="auto" w:after="120"/>
        <w:ind w:firstLine="480"/>
      </w:pPr>
      <w:r>
        <w:rPr>
          <w:rFonts w:ascii="Times New Roman" w:hAnsi="Times New Roman"/>
          <w:sz w:val="24"/>
        </w:rPr>
        <w:t xml:space="preserve">Build used individual ligand instances as its basic training and testing unit. For PocketXMol fine-tuning, each training, validation and test split comprised all single-residue organic small molecules without missing atoms from its corresponding original partition. End-to-end testing was restricted to the original 179 PDB entries, as were Find, Match and Build testing. This shared test scope prevented data leakage between training and testing.</w:t>
      </w:r>
    </w:p>
    <w:bookmarkEnd w:id="77"/>
    <w:bookmarkStart w:id="80" w:name="unified-input-representation"/>
    <w:p>
      <w:pPr>
        <w:pStyle w:val="Heading2"/>
        <w:keepNext/>
        <w:spacing w:line="480" w:lineRule="auto"/>
        <w:ind w:firstLine="0"/>
      </w:pPr>
      <w:r>
        <w:rPr>
          <w:rFonts w:ascii="Times New Roman" w:hAnsi="Times New Roman"/>
          <w:sz w:val="24"/>
        </w:rPr>
        <w:t xml:space="preserve">Unified input representation</w:t>
      </w:r>
    </w:p>
    <w:p>
      <w:pPr>
        <w:pStyle w:val="FirstParagraph"/>
        <w:spacing w:line="480" w:lineRule="auto" w:after="120"/>
        <w:ind w:firstLine="480"/>
      </w:pPr>
      <w:r>
        <w:rPr>
          <w:rFonts w:ascii="Times New Roman" w:hAnsi="Times New Roman"/>
          <w:sz w:val="24"/>
        </w:rPr>
        <w:t xml:space="preserve">Find, Match and Build all extract information from density maps and receptor atoms, motivating a shared density–atom input representation. We organise density information into a multi-view density bank and encode each receptor atom as a 50-dimensional feature vector. These representations provide common inputs for training and inference across all three stages.</w:t>
      </w:r>
    </w:p>
    <w:bookmarkStart w:id="78" w:name="multi-view-density-bank"/>
    <w:p>
      <w:pPr>
        <w:pStyle w:val="Heading3"/>
        <w:keepNext/>
        <w:spacing w:line="480" w:lineRule="auto"/>
        <w:ind w:firstLine="0"/>
      </w:pPr>
      <w:r>
        <w:rPr>
          <w:rFonts w:ascii="Times New Roman" w:hAnsi="Times New Roman"/>
          <w:sz w:val="24"/>
        </w:rPr>
        <w:t xml:space="preserve">Multi-view density bank</w:t>
      </w:r>
    </w:p>
    <w:p>
      <w:pPr>
        <w:pStyle w:val="FirstParagraph"/>
        <w:spacing w:line="480" w:lineRule="auto" w:after="120"/>
        <w:ind w:firstLine="480"/>
      </w:pPr>
      <w:r>
        <w:rPr>
          <w:rFonts w:ascii="Times New Roman" w:hAnsi="Times New Roman"/>
          <w:sz w:val="24"/>
        </w:rPr>
        <w:t xml:space="preserve">The multi-view density bank organises complementary views of density into a local representation shared by Find, Match and Build.</w:t>
      </w:r>
    </w:p>
    <w:p>
      <w:pPr>
        <w:pStyle w:val="BodyText"/>
        <w:spacing w:line="480" w:lineRule="auto" w:after="120"/>
        <w:ind w:firstLine="480"/>
      </w:pPr>
      <w:r>
        <w:rPr>
          <w:rFonts w:ascii="Times New Roman" w:hAnsi="Times New Roman"/>
          <w:sz w:val="24"/>
        </w:rPr>
        <w:t xml:space="preserve">Using Chimera, we generated a simulated receptor density map</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ascii="Times New Roman" w:hAnsi="Times New Roman"/>
          <w:sz w:val="24"/>
        </w:rPr>
        <w:t xml:space="preserve">from the input receptor structure on the same grid as the experimental cryo-EM density map</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We resampled both maps to a voxel spacing of 1 Å and aligned them to a common physical coordinate system and voxel grid. These two maps served as the source inputs for constructing the multi-view density bank.</w:t>
      </w:r>
    </w:p>
    <w:p>
      <w:pPr>
        <w:pStyle w:val="BodyText"/>
        <w:spacing w:line="480" w:lineRule="auto" w:after="120"/>
        <w:ind w:firstLine="480"/>
      </w:pPr>
      <w:r>
        <w:rPr>
          <w:rFonts w:ascii="Times New Roman" w:hAnsi="Times New Roman"/>
          <w:sz w:val="24"/>
        </w:rPr>
        <w:t xml:space="preserve">On the set of voxels containing receptor atoms,</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we fitted a scale coefficient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 offset</w:t>
      </w:r>
      <w:r>
        <w:rPr>
          <w:rFonts w:ascii="Times New Roman" w:hAnsi="Times New Roman"/>
          <w:sz w:val="24"/>
        </w:rPr>
        <w:t xml:space="preserve"> </w:t>
      </w:r>
      <m:oMath>
        <m:r>
          <m:t>b</m:t>
        </m:r>
      </m:oMath>
      <w:r>
        <w:rPr>
          <w:rFonts w:ascii="Times New Roman" w:hAnsi="Times New Roman"/>
          <w:sz w:val="24"/>
        </w:rPr>
        <w:t xml:space="preserve"> </w:t>
      </w:r>
      <w:r>
        <w:rPr>
          <w:rFonts w:ascii="Times New Roman" w:hAnsi="Times New Roman"/>
          <w:sz w:val="24"/>
        </w:rPr>
        <w:t xml:space="preserve">by least squares. This fit minimised the root-mean-square error between the experimental and scaled simulated densities:</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ascii="Times New Roman" w:hAnsi="Times New Roman"/>
          <w:sz w:val="24"/>
        </w:rPr>
        <w:t xml:space="preserve">We then constructed the difference density map using the fitted scale and offset:</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ascii="Times New Roman" w:hAnsi="Times New Roman"/>
          <w:sz w:val="24"/>
        </w:rPr>
        <w:t xml:space="preserve">We also constructed a positive difference density map from the residual,</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ascii="Times New Roman" w:hAnsi="Times New Roman"/>
          <w:sz w:val="24"/>
        </w:rPr>
        <w:t xml:space="preserve">. This yielded four base density fields: experimental density, simulated receptor density, difference density and positive difference density. Experimental density retains the complete observed signal, whereas simulated receptor density represents the density explained by the receptor structure. Difference density captures residual discrepancies between the experimental and simulated maps, whereas positive difference density highlights density unexplained by the receptor model.</w:t>
      </w:r>
    </w:p>
    <w:p>
      <w:pPr>
        <w:pStyle w:val="BodyText"/>
        <w:spacing w:line="480" w:lineRule="auto" w:after="120"/>
        <w:ind w:firstLine="480"/>
      </w:pPr>
      <w:r>
        <w:rPr>
          <w:rFonts w:ascii="Times New Roman" w:hAnsi="Times New Roman"/>
          <w:sz w:val="24"/>
        </w:rPr>
        <w:t xml:space="preserve">For each base density field</w:t>
      </w:r>
      <w:r>
        <w:rPr>
          <w:rFonts w:ascii="Times New Roman" w:hAnsi="Times New Roman"/>
          <w:sz w:val="24"/>
        </w:rPr>
        <w:t xml:space="preserve"> </w:t>
      </w:r>
      <m:oMath>
        <m:r>
          <m:t>M</m:t>
        </m:r>
      </m:oMath>
      <w:r>
        <w:rPr>
          <w:rFonts w:ascii="Times New Roman" w:hAnsi="Times New Roman"/>
          <w:sz w:val="24"/>
        </w:rPr>
        <w:t xml:space="preserve">, we retained both unnormalised and z-score-normalised representations. For the latter, we first clipped</w:t>
      </w:r>
      <w:r>
        <w:rPr>
          <w:rFonts w:ascii="Times New Roman" w:hAnsi="Times New Roman"/>
          <w:sz w:val="24"/>
        </w:rPr>
        <w:t xml:space="preserve"> </w:t>
      </w:r>
      <m:oMath>
        <m:r>
          <m:t>M</m:t>
        </m:r>
      </m:oMath>
      <w:r>
        <w:rPr>
          <w:rFonts w:ascii="Times New Roman" w:hAnsi="Times New Roman"/>
          <w:sz w:val="24"/>
        </w:rPr>
        <w:t xml:space="preserve"> </w:t>
      </w:r>
      <w:r>
        <w:rPr>
          <w:rFonts w:ascii="Times New Roman" w:hAnsi="Times New Roman"/>
          <w:sz w:val="24"/>
        </w:rPr>
        <w:t xml:space="preserve">to its 0.1st and 99.9th percentiles before applying z-score normalisation, reducing the influence of extreme density values on the numerical scale.</w:t>
      </w:r>
    </w:p>
    <w:p>
      <w:pPr>
        <w:pStyle w:val="BodyText"/>
        <w:spacing w:line="480" w:lineRule="auto" w:after="120"/>
        <w:ind w:firstLine="480"/>
      </w:pPr>
      <w:r>
        <w:rPr>
          <w:rFonts w:ascii="Times New Roman" w:hAnsi="Times New Roman"/>
          <w:sz w:val="24"/>
        </w:rPr>
        <w:t xml:space="preserve">Each representation underwent seven deterministic spatial transformations: identity mapping, two Gaussian smoothing operations, two difference-of-Gaussians (DoG) filters and two receptor-neighbourhood suppression operations. Three-dimensional Gaussian smoothing used standard deviations of 1 and 2 voxels. The DoG filters used scale parameters of 1 and 2 voxels and a scale ratio of 1.6. Receptor-neighbourhood suppression likewise used scales of 1 and 2 voxels.</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ascii="Times New Roman" w:hAnsi="Times New Roman"/>
          <w:sz w:val="24"/>
        </w:rPr>
        <w:t xml:space="preserve">denote a three-dimensional Gaussian kernel with standard deviation</w:t>
      </w:r>
      <w:r>
        <w:rPr>
          <w:rFonts w:ascii="Times New Roman" w:hAnsi="Times New Roman"/>
          <w:sz w:val="24"/>
        </w:rPr>
        <w:t xml:space="preserve"> </w:t>
      </w:r>
      <m:oMath>
        <m:r>
          <m:t>σ</m:t>
        </m:r>
      </m:oMath>
      <w:r>
        <w:rPr>
          <w:rFonts w:ascii="Times New Roman" w:hAnsi="Times New Roman"/>
          <w:sz w:val="24"/>
        </w:rPr>
        <w:t xml:space="preserve">, and let</w:t>
      </w:r>
      <w:r>
        <w:rPr>
          <w:rFonts w:ascii="Times New Roman" w:hAnsi="Times New Roman"/>
          <w:sz w:val="24"/>
        </w:rPr>
        <w:t xml:space="preserve"> </w:t>
      </w:r>
      <m:oMath>
        <m:r>
          <m:rPr>
            <m:sty m:val="p"/>
          </m:rPr>
          <m:t>*</m:t>
        </m:r>
      </m:oMath>
      <w:r>
        <w:rPr>
          <w:rFonts w:ascii="Times New Roman" w:hAnsi="Times New Roman"/>
          <w:sz w:val="24"/>
        </w:rPr>
        <w:t xml:space="preserve"> </w:t>
      </w:r>
      <w:r>
        <w:rPr>
          <w:rFonts w:ascii="Times New Roman" w:hAnsi="Times New Roman"/>
          <w:sz w:val="24"/>
        </w:rPr>
        <w:t xml:space="preserve">denote three-dimensional convolution. Let</w:t>
      </w:r>
      <w:r>
        <w:rPr>
          <w:rFonts w:ascii="Times New Roman" w:hAnsi="Times New Roman"/>
          <w:sz w:val="24"/>
        </w:rPr>
        <w:t xml:space="preserve"> </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ascii="Times New Roman" w:hAnsi="Times New Roman"/>
          <w:sz w:val="24"/>
        </w:rPr>
        <w:t xml:space="preserve">denote the distance from voxel</w:t>
      </w:r>
      <w:r>
        <w:rPr>
          <w:rFonts w:ascii="Times New Roman" w:hAnsi="Times New Roman"/>
          <w:sz w:val="24"/>
        </w:rPr>
        <w:t xml:space="preserve"> </w:t>
      </w:r>
      <m:oMath>
        <m:r>
          <m:t>x</m:t>
        </m:r>
      </m:oMath>
      <w:r>
        <w:rPr>
          <w:rFonts w:ascii="Times New Roman" w:hAnsi="Times New Roman"/>
          <w:sz w:val="24"/>
        </w:rPr>
        <w:t xml:space="preserve"> </w:t>
      </w:r>
      <w:r>
        <w:rPr>
          <w:rFonts w:ascii="Times New Roman" w:hAnsi="Times New Roman"/>
          <w:sz w:val="24"/>
        </w:rPr>
        <w:t xml:space="preserve">to the nearest receptor-occupied voxel. With</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ascii="Times New Roman" w:hAnsi="Times New Roman"/>
          <w:sz w:val="24"/>
        </w:rPr>
        <w:t xml:space="preserve"> </w:t>
      </w:r>
      <w:r>
        <w:rPr>
          <w:rFonts w:ascii="Times New Roman" w:hAnsi="Times New Roman"/>
          <w:sz w:val="24"/>
        </w:rPr>
        <w:t xml:space="preserve">defining receptor-neighbourhood suppression, the seven spatial views are written as:</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ascii="Times New Roman" w:hAnsi="Times New Roman"/>
          <w:sz w:val="24"/>
        </w:rPr>
        <w:t xml:space="preserve">Each local region therefore yields a total of</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ascii="Times New Roman" w:hAnsi="Times New Roman"/>
          <w:sz w:val="24"/>
        </w:rPr>
        <w:t xml:space="preserve">density channels. These form a 56-channel tensor in the fixed order of base density field, normalisation scheme and spatial transformation.</w:t>
      </w:r>
    </w:p>
    <w:p>
      <w:pPr>
        <w:pStyle w:val="BodyText"/>
        <w:spacing w:line="480" w:lineRule="auto" w:after="120"/>
        <w:ind w:firstLine="480"/>
      </w:pPr>
      <w:r>
        <w:rPr>
          <w:rFonts w:ascii="Times New Roman" w:hAnsi="Times New Roman"/>
          <w:sz w:val="24"/>
        </w:rPr>
        <w:t xml:space="preserve">Multiscale smoothing provides context for continuous density over different spatial ranges. DoG views highlight compact density blobs and their boundaries, while receptor-neighbourhood suppression reduces masking of unexplained density by the macromolecular body. Because ligand density is sparse and difficult to capture, this construction provides a shared inductive bias for downstream tasks rather than requiring each to learn it from scratch.</w:t>
      </w:r>
    </w:p>
    <w:p>
      <w:pPr>
        <w:pStyle w:val="BodyText"/>
        <w:spacing w:line="480" w:lineRule="auto" w:after="120"/>
        <w:ind w:firstLine="480"/>
      </w:pPr>
      <w:r>
        <w:rPr>
          <w:rFonts w:ascii="Times New Roman" w:hAnsi="Times New Roman"/>
          <w:sz w:val="24"/>
        </w:rPr>
        <w:t xml:space="preserve">All models were trained on local</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voxel blocks rather than entire density maps. The multi-view density bank was constructed within each block, producing a tensor</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ascii="Times New Roman" w:hAnsi="Times New Roman"/>
          <w:sz w:val="24"/>
        </w:rPr>
        <w:t xml:space="preserve">as the neural-network input. The local block size was</w:t>
      </w:r>
      <w:r>
        <w:rPr>
          <w:rFonts w:ascii="Times New Roman" w:hAnsi="Times New Roman"/>
          <w:sz w:val="24"/>
        </w:rPr>
        <w:t xml:space="preserve"> </w:t>
      </w:r>
      <m:oMath>
        <m:r>
          <m:t>L</m:t>
        </m:r>
        <m:r>
          <m:rPr>
            <m:sty m:val="p"/>
          </m:rPr>
          <m:t>=</m:t>
        </m:r>
        <m:r>
          <m:t>80</m:t>
        </m:r>
      </m:oMath>
      <w:r>
        <w:rPr>
          <w:rFonts w:ascii="Times New Roman" w:hAnsi="Times New Roman"/>
          <w:sz w:val="24"/>
        </w:rPr>
        <w:t xml:space="preserve"> </w:t>
      </w:r>
      <w:r>
        <w:rPr>
          <w:rFonts w:ascii="Times New Roman" w:hAnsi="Times New Roman"/>
          <w:sz w:val="24"/>
        </w:rPr>
        <w:t xml:space="preserve">for Find and Build and</w:t>
      </w:r>
      <w:r>
        <w:rPr>
          <w:rFonts w:ascii="Times New Roman" w:hAnsi="Times New Roman"/>
          <w:sz w:val="24"/>
        </w:rPr>
        <w:t xml:space="preserve"> </w:t>
      </w:r>
      <m:oMath>
        <m:r>
          <m:t>L</m:t>
        </m:r>
        <m:r>
          <m:rPr>
            <m:sty m:val="p"/>
          </m:rPr>
          <m:t>=</m:t>
        </m:r>
        <m:r>
          <m:t>48</m:t>
        </m:r>
      </m:oMath>
      <w:r>
        <w:rPr>
          <w:rFonts w:ascii="Times New Roman" w:hAnsi="Times New Roman"/>
          <w:sz w:val="24"/>
        </w:rPr>
        <w:t xml:space="preserve"> </w:t>
      </w:r>
      <w:r>
        <w:rPr>
          <w:rFonts w:ascii="Times New Roman" w:hAnsi="Times New Roman"/>
          <w:sz w:val="24"/>
        </w:rPr>
        <w:t xml:space="preserve">for Match.</w:t>
      </w:r>
    </w:p>
    <w:bookmarkEnd w:id="78"/>
    <w:bookmarkStart w:id="79" w:name="receptor-atom-features"/>
    <w:p>
      <w:pPr>
        <w:pStyle w:val="Heading3"/>
        <w:keepNext/>
        <w:spacing w:line="480" w:lineRule="auto"/>
        <w:ind w:firstLine="0"/>
      </w:pPr>
      <w:r>
        <w:rPr>
          <w:rFonts w:ascii="Times New Roman" w:hAnsi="Times New Roman"/>
          <w:sz w:val="24"/>
        </w:rPr>
        <w:t xml:space="preserve">Receptor-atom features</w:t>
      </w:r>
    </w:p>
    <w:p>
      <w:pPr>
        <w:pStyle w:val="FirstParagraph"/>
        <w:spacing w:line="480" w:lineRule="auto" w:after="120"/>
        <w:ind w:firstLine="480"/>
      </w:pPr>
      <w:r>
        <w:rPr>
          <w:rFonts w:ascii="Times New Roman" w:hAnsi="Times New Roman"/>
          <w:sz w:val="24"/>
        </w:rPr>
        <w:t xml:space="preserve">We represent receptor atoms uniformly across all three stages as</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gives the world coordinates of receptor heavy atom</w:t>
      </w:r>
      <w:r>
        <w:rPr>
          <w:rFonts w:ascii="Times New Roman" w:hAnsi="Times New Roman"/>
          <w:sz w:val="24"/>
        </w:rPr>
        <w:t xml:space="preserve"> </w:t>
      </w:r>
      <m:oMath>
        <m:r>
          <m:t>i</m:t>
        </m:r>
      </m:oMath>
      <w:r>
        <w:rPr>
          <w:rFonts w:ascii="Times New Roman" w:hAnsi="Times New Roman"/>
          <w:sz w:val="24"/>
        </w:rPr>
        <w:t xml:space="preserve">. The corresponding feature vector</w:t>
      </w:r>
      <w:r>
        <w:rPr>
          <w:rFonts w:ascii="Times New Roman" w:hAnsi="Times New Roman"/>
          <w:sz w:val="24"/>
        </w:rPr>
        <w:t xml:space="preserve"> </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ascii="Times New Roman" w:hAnsi="Times New Roman"/>
          <w:sz w:val="24"/>
        </w:rPr>
        <w:t xml:space="preserve">describes its chemical properties, residue environment and local packing.</w:t>
      </w:r>
    </w:p>
    <w:p>
      <w:pPr>
        <w:pStyle w:val="BodyText"/>
        <w:spacing w:line="480" w:lineRule="auto" w:after="120"/>
        <w:ind w:firstLine="480"/>
      </w:pPr>
      <w:r>
        <w:rPr>
          <w:rFonts w:ascii="Times New Roman" w:hAnsi="Times New Roman"/>
          <w:sz w:val="24"/>
        </w:rPr>
        <w:t xml:space="preserve">The 50-dimensional feature vector is formed by concatenating six components in a fixed order:</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ascii="Times New Roman" w:hAnsi="Times New Roman"/>
          <w:sz w:val="24"/>
        </w:rPr>
        <w:t xml:space="preserve">The element one-hot encoding</w:t>
      </w:r>
      <w:r>
        <w:rPr>
          <w:rFonts w:ascii="Times New Roman" w:hAnsi="Times New Roman"/>
          <w:sz w:val="24"/>
        </w:rPr>
        <w:t xml:space="preserve"> </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ascii="Times New Roman" w:hAnsi="Times New Roman"/>
          <w:sz w:val="24"/>
        </w:rPr>
        <w:t xml:space="preserve">represents C, N, O, S, P and other elements, in that order. The residue one-hot encoding</w:t>
      </w:r>
      <w:r>
        <w:rPr>
          <w:rFonts w:ascii="Times New Roman" w:hAnsi="Times New Roman"/>
          <w:sz w:val="24"/>
        </w:rPr>
        <w:t xml:space="preserve"> </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ascii="Times New Roman" w:hAnsi="Times New Roman"/>
          <w:sz w:val="24"/>
        </w:rPr>
        <w:t xml:space="preserve">includes 20 standard amino acids, the four nucleotides A/U/C/G and an unknown category. DNA bases and common modified residues are mapped to their corresponding standard parent categories. This mapping provides a unified input space for protein, RNA and DNA receptors.</w:t>
      </w:r>
    </w:p>
    <w:p>
      <w:pPr>
        <w:pStyle w:val="BodyText"/>
        <w:spacing w:line="480" w:lineRule="auto" w:after="120"/>
        <w:ind w:firstLine="480"/>
      </w:pPr>
      <w:r>
        <w:rPr>
          <w:rFonts w:ascii="Times New Roman" w:hAnsi="Times New Roman"/>
          <w:sz w:val="24"/>
        </w:rPr>
        <w:t xml:space="preserve">The eight features in</w:t>
      </w:r>
      <w:r>
        <w:rPr>
          <w:rFonts w:ascii="Times New Roman" w:hAnsi="Times New Roman"/>
          <w:sz w:val="24"/>
        </w:rPr>
        <w:t xml:space="preserve"> </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ascii="Times New Roman" w:hAnsi="Times New Roman"/>
          <w:sz w:val="24"/>
        </w:rPr>
        <w:t xml:space="preserve">describe the physicochemical categories of the atom’s residue. In order, they encode polar, non-polar, acidic, basic, neutral, positively charged, negatively charged and uncharged properties. The relative atomic mass</w:t>
      </w:r>
      <w:r>
        <w:rPr>
          <w:rFonts w:ascii="Times New Roman" w:hAnsi="Times New Roman"/>
          <w:sz w:val="24"/>
        </w:rPr>
        <w:t xml:space="preserve"> </w:t>
      </w:r>
      <m:oMath>
        <m:sSub>
          <m:e>
            <m:r>
              <m:t>m</m:t>
            </m:r>
          </m:e>
          <m:sub>
            <m:r>
              <m:t>i</m:t>
            </m:r>
          </m:sub>
        </m:sSub>
      </m:oMath>
      <w:r>
        <w:rPr>
          <w:rFonts w:ascii="Times New Roman" w:hAnsi="Times New Roman"/>
          <w:sz w:val="24"/>
        </w:rPr>
        <w:t xml:space="preserve"> </w:t>
      </w:r>
      <w:r>
        <w:rPr>
          <w:rFonts w:ascii="Times New Roman" w:hAnsi="Times New Roman"/>
          <w:sz w:val="24"/>
        </w:rPr>
        <w:t xml:space="preserve">is normalised by dividing by 32.</w:t>
      </w:r>
    </w:p>
    <w:p>
      <w:pPr>
        <w:pStyle w:val="BodyText"/>
        <w:spacing w:line="480" w:lineRule="auto" w:after="120"/>
        <w:ind w:firstLine="480"/>
      </w:pPr>
      <w:r>
        <w:rPr>
          <w:rFonts w:ascii="Times New Roman" w:hAnsi="Times New Roman"/>
          <w:sz w:val="24"/>
        </w:rPr>
        <w:t xml:space="preserve">The nine-dimensional component</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ascii="Times New Roman" w:hAnsi="Times New Roman"/>
          <w:sz w:val="24"/>
        </w:rPr>
        <w:t xml:space="preserve">describes the local packing environment around the atom. We partitioned its 0–18 Å neighbourhood into nine concentric shells:</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We counted the other receptor atoms in each shell,</w:t>
      </w:r>
      <w:r>
        <w:rPr>
          <w:rFonts w:ascii="Times New Roman" w:hAnsi="Times New Roman"/>
          <w:sz w:val="24"/>
        </w:rPr>
        <w:t xml:space="preserve"> </w:t>
      </w:r>
      <m:oMath>
        <m:sSub>
          <m:e>
            <m:r>
              <m:t>n</m:t>
            </m:r>
          </m:e>
          <m:sub>
            <m:r>
              <m:t>i</m:t>
            </m:r>
            <m:r>
              <m:rPr>
                <m:sty m:val="p"/>
              </m:rPr>
              <m:t>,</m:t>
            </m:r>
            <m:r>
              <m:t>k</m:t>
            </m:r>
          </m:sub>
        </m:sSub>
      </m:oMath>
      <w:r>
        <w:rPr>
          <w:rFonts w:ascii="Times New Roman" w:hAnsi="Times New Roman"/>
          <w:sz w:val="24"/>
        </w:rPr>
        <w:t xml:space="preserve">, and compressed the dynamic range of these counts using:</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ascii="Times New Roman" w:hAnsi="Times New Roman"/>
          <w:sz w:val="24"/>
        </w:rPr>
        <w:t xml:space="preserve">The final feature</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indicates whether the atom belongs to the backbone. It equals 1 for protein N, CA, C and O atoms, and for nucleic acid P, O5′, C5′, C4′, C3′ and O3′ atoms. All other atoms receive a value of 0, completing the 50-dimensional vector.</w:t>
      </w:r>
    </w:p>
    <w:p>
      <w:pPr>
        <w:pStyle w:val="BodyText"/>
        <w:spacing w:line="480" w:lineRule="auto" w:after="120"/>
        <w:ind w:firstLine="480"/>
      </w:pPr>
      <w:r>
        <w:rPr>
          <w:rFonts w:ascii="Times New Roman" w:hAnsi="Times New Roman"/>
          <w:sz w:val="24"/>
        </w:rPr>
        <w:t xml:space="preserve">Find and Match use the same receptor-atom feature construction rules, whereas we follow the PocketXMol official process when fine-tuning it. Under the shared encoding scheme, each atom has a consistent initial representation across tasks and local regions.</w:t>
      </w:r>
    </w:p>
    <w:bookmarkEnd w:id="79"/>
    <w:bookmarkEnd w:id="80"/>
    <w:bookmarkStart w:id="85" w:name="stage-1-find"/>
    <w:p>
      <w:pPr>
        <w:pStyle w:val="Heading2"/>
        <w:keepNext/>
        <w:spacing w:line="480" w:lineRule="auto"/>
        <w:ind w:firstLine="0"/>
      </w:pPr>
      <w:r>
        <w:rPr>
          <w:rFonts w:ascii="Times New Roman" w:hAnsi="Times New Roman"/>
          <w:sz w:val="24"/>
        </w:rPr>
        <w:t xml:space="preserve">Stage 1: Find</w:t>
      </w:r>
    </w:p>
    <w:bookmarkStart w:id="81" w:name="task-definition"/>
    <w:p>
      <w:pPr>
        <w:pStyle w:val="Heading3"/>
        <w:keepNext/>
        <w:spacing w:line="480" w:lineRule="auto"/>
        <w:ind w:firstLine="0"/>
      </w:pPr>
      <w:r>
        <w:rPr>
          <w:rFonts w:ascii="Times New Roman" w:hAnsi="Times New Roman"/>
          <w:sz w:val="24"/>
        </w:rPr>
        <w:t xml:space="preserve">Task definition</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ascii="Times New Roman" w:hAnsi="Times New Roman"/>
          <w:sz w:val="24"/>
        </w:rPr>
        <w:t xml:space="preserve"> </w:t>
      </w:r>
      <w:r>
        <w:rPr>
          <w:rFonts w:ascii="Times New Roman" w:hAnsi="Times New Roman"/>
          <w:sz w:val="24"/>
        </w:rPr>
        <w:t xml:space="preserve">denote the set of non-hydrogen atoms from all ligands in a sample. Here,</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gives the world coordinates of ligand atom</w:t>
      </w:r>
      <w:r>
        <w:rPr>
          <w:rFonts w:ascii="Times New Roman" w:hAnsi="Times New Roman"/>
          <w:sz w:val="24"/>
        </w:rPr>
        <w:t xml:space="preserve"> </w:t>
      </w:r>
      <m:oMath>
        <m:r>
          <m:t>m</m:t>
        </m:r>
      </m:oMath>
      <w:r>
        <w:rPr>
          <w:rFonts w:ascii="Times New Roman" w:hAnsi="Times New Roman"/>
          <w:sz w:val="24"/>
        </w:rPr>
        <w:t xml:space="preserve">, and</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ascii="Times New Roman" w:hAnsi="Times New Roman"/>
          <w:sz w:val="24"/>
        </w:rPr>
        <w:t xml:space="preserve">denotes its element type. Let</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denote the physical coordinates of the centre of voxel</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Let</w:t>
      </w:r>
      <w:r>
        <w:rPr>
          <w:rFonts w:ascii="Times New Roman" w:hAnsi="Times New Roman"/>
          <w:sz w:val="24"/>
        </w:rPr>
        <w:t xml:space="preserve"> </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ascii="Times New Roman" w:hAnsi="Times New Roman"/>
          <w:sz w:val="24"/>
        </w:rPr>
        <w:t xml:space="preserve">denote the van der Waals radius of element</w:t>
      </w:r>
      <w:r>
        <w:rPr>
          <w:rFonts w:ascii="Times New Roman" w:hAnsi="Times New Roman"/>
          <w:sz w:val="24"/>
        </w:rPr>
        <w:t xml:space="preserve"> </w:t>
      </w:r>
      <m:oMath>
        <m:sSub>
          <m:e>
            <m:r>
              <m:t>e</m:t>
            </m:r>
          </m:e>
          <m:sub>
            <m:r>
              <m:t>m</m:t>
            </m:r>
          </m:sub>
        </m:sSub>
      </m:oMath>
      <w:r>
        <w:rPr>
          <w:rFonts w:ascii="Times New Roman" w:hAnsi="Times New Roman"/>
          <w:sz w:val="24"/>
        </w:rPr>
        <w:t xml:space="preserve">. We define the ground-truth semantic label</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ascii="Times New Roman" w:hAnsi="Times New Roman"/>
          <w:sz w:val="24"/>
        </w:rPr>
        <w:t xml:space="preserve">for each voxel as:</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ascii="Times New Roman" w:hAnsi="Times New Roman"/>
          <w:sz w:val="24"/>
        </w:rPr>
        <w:t xml:space="preserve">Given the receptor-atom set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defined above and the experimental cryo-EM density map</w:t>
      </w:r>
      <w:r>
        <w:rPr>
          <w:rFonts w:ascii="Times New Roman" w:hAnsi="Times New Roman"/>
          <w:sz w:val="24"/>
        </w:rPr>
        <w:t xml:space="preserve"> </w:t>
      </w:r>
      <m:oMath>
        <m:r>
          <m:t>M</m:t>
        </m:r>
      </m:oMath>
      <w:r>
        <w:rPr>
          <w:rFonts w:ascii="Times New Roman" w:hAnsi="Times New Roman"/>
          <w:sz w:val="24"/>
        </w:rPr>
        <w:t xml:space="preserve">, Find predicts ligand-region probabilities</w:t>
      </w:r>
      <w:r>
        <w:rPr>
          <w:rFonts w:ascii="Times New Roman" w:hAnsi="Times New Roman"/>
          <w:sz w:val="24"/>
        </w:rPr>
        <w:t xml:space="preserve"> </w:t>
      </w:r>
      <m:oMath>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oMath>
      <w:r>
        <w:rPr>
          <w:rFonts w:ascii="Times New Roman" w:hAnsi="Times New Roman"/>
          <w:sz w:val="24"/>
        </w:rPr>
        <w:t xml:space="preserve">, and corresponding to</w:t>
      </w:r>
      <w:r>
        <w:rPr>
          <w:rFonts w:ascii="Times New Roman" w:hAnsi="Times New Roman"/>
          <w:sz w:val="24"/>
        </w:rPr>
        <w:t xml:space="preserve"> </w:t>
      </w:r>
      <m:oMath>
        <m:sSubSup>
          <m:e>
            <m:r>
              <m:t>Y</m:t>
            </m:r>
          </m:e>
          <m:sub>
            <m:r>
              <m:t>u</m:t>
            </m:r>
            <m:r>
              <m:rPr>
                <m:sty m:val="p"/>
              </m:rPr>
              <m:t>,</m:t>
            </m:r>
            <m:r>
              <m:t>v</m:t>
            </m:r>
            <m:r>
              <m:rPr>
                <m:sty m:val="p"/>
              </m:rPr>
              <m:t>,</m:t>
            </m:r>
            <m:r>
              <m:t>w</m:t>
            </m:r>
          </m:sub>
          <m:sup>
            <m:r>
              <m:rPr>
                <m:sty m:val="p"/>
              </m:rPr>
              <m:t>*</m:t>
            </m:r>
          </m:sup>
        </m:sSubSup>
      </m:oMath>
      <w:r>
        <w:rPr>
          <w:rFonts w:ascii="Times New Roman" w:hAnsi="Times New Roman"/>
          <w:sz w:val="24"/>
        </w:rPr>
        <w:t xml:space="preserve">, the value</w:t>
      </w:r>
      <w:r>
        <w:rPr>
          <w:rFonts w:ascii="Times New Roman" w:hAnsi="Times New Roman"/>
          <w:sz w:val="24"/>
        </w:rPr>
        <w:t xml:space="preserve"> </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ascii="Times New Roman" w:hAnsi="Times New Roman"/>
          <w:sz w:val="24"/>
        </w:rPr>
        <w:t xml:space="preserve">is the predicted probability that voxel</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ascii="Times New Roman" w:hAnsi="Times New Roman"/>
          <w:sz w:val="24"/>
        </w:rPr>
        <w:t xml:space="preserve">belongs to a ligand region. These probabilities are the primary supervised output during Find training.</w:t>
      </w:r>
    </w:p>
    <w:bookmarkEnd w:id="81"/>
    <w:bookmarkStart w:id="82" w:name="network-architecture"/>
    <w:p>
      <w:pPr>
        <w:pStyle w:val="Heading3"/>
        <w:keepNext/>
        <w:spacing w:line="480" w:lineRule="auto"/>
        <w:ind w:firstLine="0"/>
      </w:pPr>
      <w:r>
        <w:rPr>
          <w:rFonts w:ascii="Times New Roman" w:hAnsi="Times New Roman"/>
          <w:sz w:val="24"/>
        </w:rPr>
        <w:t xml:space="preserve">Network architecture</w:t>
      </w:r>
    </w:p>
    <w:p>
      <w:pPr>
        <w:pStyle w:val="FirstParagraph"/>
        <w:spacing w:line="480" w:lineRule="auto" w:after="120"/>
        <w:ind w:firstLine="480"/>
      </w:pPr>
      <w:r>
        <w:rPr>
          <w:rFonts w:ascii="Times New Roman" w:hAnsi="Times New Roman"/>
          <w:sz w:val="24"/>
        </w:rPr>
        <w:t xml:space="preserve">We represent density maps as voxel grids and receptor atoms as point clouds with features. Find jointly models these representations with a hybrid point–voxel network. The voxel branch predicts ligand-region probabilities from the complete local density field. The point-cloud branch resolves receptor geometry and chemistry, producing auxiliary features, including receptor-atom binding probabilities, for Find and Match training and inference. The network comprises a receptor embedding head, a voxel branch, a point-cloud branch and prediction heads. Multiscale information fusion and recycling connect these components within the network.</w:t>
      </w:r>
    </w:p>
    <w:p>
      <w:pPr>
        <w:pStyle w:val="BodyText"/>
        <w:spacing w:line="480" w:lineRule="auto" w:after="120"/>
        <w:ind w:firstLine="480"/>
      </w:pPr>
      <w:r>
        <w:rPr>
          <w:rFonts w:ascii="Times New Roman" w:hAnsi="Times New Roman"/>
          <w:sz w:val="24"/>
        </w:rPr>
        <w:t xml:space="preserve">The receptor embedding head supplies processed atom representations to both the voxel branch and point-cloud branch. Before the voxel branch, it embeds receptor atoms, encodes their centre positions and softly scatters the encoded features onto the voxel grid. The projected features are concatenated with the 56 density channels as input to a 3D U-Net. Before the point-cloud branch, Point Transformer V3 attention modules and progressive cropping process the initial atom features to provide the point-cloud input.</w:t>
      </w:r>
    </w:p>
    <w:p>
      <w:pPr>
        <w:pStyle w:val="BodyText"/>
        <w:spacing w:line="480" w:lineRule="auto" w:after="120"/>
        <w:ind w:firstLine="480"/>
      </w:pPr>
      <w:r>
        <w:rPr>
          <w:rFonts w:ascii="Times New Roman" w:hAnsi="Times New Roman"/>
          <w:sz w:val="24"/>
        </w:rPr>
        <w:t xml:space="preserve">The voxel branch uses a 3D U-Net with an encoder–decoder architecture. Self-attention at low-resolution layers models long-range spatial relationships, while skip connections restore high-resolution features. The main output head predicts ligand-region probabilities from the voxel features. Auxiliary heads predict receptor-binding regions, protein backbone atom classes, nucleic acid backbone atom classes and inverse distance to the nearest ligand. The network samples pseudo atoms</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from regions with high predicted ligand-region probabilities. Convolutional layers extract surrounding density information to initialise their features. These pseudo atoms enter the point-cloud branch together with receptor atoms</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encoded by the receptor embedding head.</w:t>
      </w:r>
    </w:p>
    <w:p>
      <w:pPr>
        <w:pStyle w:val="BodyText"/>
        <w:spacing w:line="480" w:lineRule="auto" w:after="120"/>
        <w:ind w:firstLine="480"/>
      </w:pPr>
      <w:r>
        <w:rPr>
          <w:rFonts w:ascii="Times New Roman" w:hAnsi="Times New Roman"/>
          <w:sz w:val="24"/>
        </w:rPr>
        <w:t xml:space="preserve">The point-cloud branch uses the U-Net-style encoder–decoder architecture of Point Transformer V3. Space-filling curves jointly serialise receptor atoms</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 pseudo atoms</w:t>
      </w:r>
      <w:r>
        <w:rPr>
          <w:rFonts w:ascii="Times New Roman" w:hAnsi="Times New Roman"/>
          <w:sz w:val="24"/>
        </w:rPr>
        <w:t xml:space="preserve"> </w:t>
      </w:r>
      <m:oMath>
        <m:r>
          <m:t>P</m:t>
        </m:r>
      </m:oMath>
      <w:r>
        <w:rPr>
          <w:rFonts w:ascii="Times New Roman" w:hAnsi="Times New Roman"/>
          <w:sz w:val="24"/>
        </w:rPr>
        <w:t xml:space="preserve">, while point-cloud convolutions provide conditional positional encoding. At multiple resolutions, the network performs learnable weighted sampling over the</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ascii="Times New Roman" w:hAnsi="Times New Roman"/>
          <w:sz w:val="24"/>
        </w:rPr>
        <w:t xml:space="preserve">neighbourhoods of</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in voxel feature maps at the corresponding scale. Feature modulation injects the voxel branch’s density information into atom representations, allowing the point-cloud branch to access intermediate voxel features at multiple levels. The receptor-atom representations are supervised by predicting whether each receptor atom belongs to a receptor binding region, whereas the pseudo atom representations are supervised by predicting whether each pseudo atom lies within a ligand region.</w:t>
      </w:r>
    </w:p>
    <w:p>
      <w:pPr>
        <w:pStyle w:val="BodyText"/>
        <w:spacing w:line="480" w:lineRule="auto" w:after="120"/>
        <w:ind w:firstLine="480"/>
      </w:pPr>
      <w:r>
        <w:rPr>
          <w:rFonts w:ascii="Times New Roman" w:hAnsi="Times New Roman"/>
          <w:sz w:val="24"/>
        </w:rPr>
        <w:t xml:space="preserve">Following AlphaFold3, the Find network also incorporates a recycling mechanism. Voxel and point-cloud features from each iteration are fed back as additional inputs to the corresponding branches in the next iteration. Training randomly used one to three recycling iterations, whereas inference used a fixed three iterations.</w:t>
      </w:r>
    </w:p>
    <w:bookmarkEnd w:id="82"/>
    <w:bookmarkStart w:id="83" w:name="losses-and-supervision"/>
    <w:p>
      <w:pPr>
        <w:pStyle w:val="Heading3"/>
        <w:keepNext/>
        <w:spacing w:line="480" w:lineRule="auto"/>
        <w:ind w:firstLine="0"/>
      </w:pPr>
      <w:r>
        <w:rPr>
          <w:rFonts w:ascii="Times New Roman" w:hAnsi="Times New Roman"/>
          <w:sz w:val="24"/>
        </w:rPr>
        <w:t xml:space="preserve">Losses and supervision</w:t>
      </w:r>
    </w:p>
    <w:p>
      <w:pPr>
        <w:pStyle w:val="FirstParagraph"/>
        <w:spacing w:line="480" w:lineRule="auto" w:after="120"/>
        <w:ind w:firstLine="480"/>
      </w:pPr>
      <w:r>
        <w:rPr>
          <w:rFonts w:ascii="Times New Roman" w:hAnsi="Times New Roman"/>
          <w:sz w:val="24"/>
        </w:rPr>
        <w:t xml:space="preserve">Find’s primary task is ligand-region segmentation, with auxiliary supervision in the voxel and point-cloud branches. The voxel branch also predicts receptor binding regions, the inverse distance to the nearest ligand, and protein and nucleic acid backbone atom classes. The point-cloud branch uses separate supervision for receptor atoms and sampled pseudo atoms. The total loss combines the voxel and point-cloud terms as follows:</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voxel branch</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point-cloud branch</m:t>
                  </m:r>
                </m:lim>
              </m:limLow>
              <m:r>
                <w:rPr>
                  <w:sz w:val="20"/>
                </w:rPr>
                <m:rPr>
                  <m:sty m:val="p"/>
                </m:rPr>
                <m:t>.</m:t>
              </m:r>
            </m:e>
          </m:eqArr>
        </m:oMath>
      </m:oMathPara>
    </w:p>
    <w:p>
      <w:pPr>
        <w:pStyle w:val="FirstParagraph"/>
        <w:spacing w:line="480" w:lineRule="auto" w:after="120"/>
        <w:ind w:firstLine="480"/>
      </w:pPr>
      <w:r>
        <w:rPr>
          <w:rFonts w:ascii="Times New Roman" w:hAnsi="Times New Roman"/>
          <w:sz w:val="24"/>
        </w:rPr>
        <w:t xml:space="preserve">For the voxel branch,</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ascii="Times New Roman" w:hAnsi="Times New Roman"/>
          <w:sz w:val="24"/>
        </w:rPr>
        <w:t xml:space="preserve">is the primary supervision term. It compares ligand-region probabilities</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ascii="Times New Roman" w:hAnsi="Times New Roman"/>
          <w:sz w:val="24"/>
        </w:rPr>
        <w:t xml:space="preserve">from the main output head with the ground-truth binary labels</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Receptor-binding regions comprise voxels containing receptor atoms with a ligand atom within 4 Å. The loss</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ascii="Times New Roman" w:hAnsi="Times New Roman"/>
          <w:sz w:val="24"/>
        </w:rPr>
        <w:t xml:space="preserve">provides supervision for the corresponding receptor-binding-region output head. The ligand-distance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ascii="Times New Roman" w:hAnsi="Times New Roman"/>
          <w:sz w:val="24"/>
        </w:rPr>
        <w:t xml:space="preserve">supervises the predicted inverse distance to the nearest ligand atom.</w:t>
      </w:r>
    </w:p>
    <w:p>
      <w:pPr>
        <w:pStyle w:val="BodyText"/>
        <w:spacing w:line="480" w:lineRule="auto" w:after="120"/>
        <w:ind w:firstLine="480"/>
      </w:pPr>
      <w:r>
        <w:rPr>
          <w:rFonts w:ascii="Times New Roman" w:hAnsi="Times New Roman"/>
          <w:sz w:val="24"/>
        </w:rPr>
        <w:t xml:space="preserve">The protein backbone head predicts probabilities over five channels: background, N, CA, C and O. The nucleic acid backbone head predicts probabilities over seven channels: background, P, O5′, C5′, C4′, C3′ and O3′. The corresponding heads are supervised by</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respectively.</w:t>
      </w:r>
    </w:p>
    <w:p>
      <w:pPr>
        <w:pStyle w:val="BodyText"/>
        <w:spacing w:line="480" w:lineRule="auto" w:after="120"/>
        <w:ind w:firstLine="480"/>
      </w:pPr>
      <w:r>
        <w:rPr>
          <w:rFonts w:ascii="Times New Roman" w:hAnsi="Times New Roman"/>
          <w:sz w:val="24"/>
        </w:rPr>
        <w:t xml:space="preserve">The point-cloud branch performs binary classification of receptor atoms and sampled pseudo atoms. A receptor atom is positive if and only if a ligand atom lies within 4 Å. A pseudo atom is positive if and only if it lies within a ligand region. The loss</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ascii="Times New Roman" w:hAnsi="Times New Roman"/>
          <w:sz w:val="24"/>
        </w:rPr>
        <w:t xml:space="preserve">supervises receptor atoms, whereas</w:t>
      </w:r>
      <w:r>
        <w:rPr>
          <w:rFonts w:ascii="Times New Roman" w:hAnsi="Times New Roman"/>
          <w:sz w:val="24"/>
        </w:rPr>
        <w:t xml:space="preserve"> </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ascii="Times New Roman" w:hAnsi="Times New Roman"/>
          <w:sz w:val="24"/>
        </w:rPr>
        <w:t xml:space="preserve">supervises pseudo atoms.</w:t>
      </w:r>
    </w:p>
    <w:p>
      <w:pPr>
        <w:pStyle w:val="BodyText"/>
        <w:spacing w:line="480" w:lineRule="auto" w:after="120"/>
        <w:ind w:firstLine="480"/>
      </w:pPr>
      <w:r>
        <w:rPr>
          <w:rFonts w:ascii="Times New Roman" w:hAnsi="Times New Roman"/>
          <w:sz w:val="24"/>
        </w:rPr>
        <w:t xml:space="preserve">The ligand-distance loss uses mean squared error (MSE) for the distance prediction. All other losses combine focal loss (</w:t>
      </w:r>
      <m:oMath>
        <m:r>
          <m:t>γ</m:t>
        </m:r>
        <m:r>
          <m:rPr>
            <m:sty m:val="p"/>
          </m:rPr>
          <m:t>=</m:t>
        </m:r>
        <m:r>
          <m:t>2</m:t>
        </m:r>
      </m:oMath>
      <w:r>
        <w:rPr>
          <w:rFonts w:ascii="Times New Roman" w:hAnsi="Times New Roman"/>
          <w:sz w:val="24"/>
        </w:rPr>
        <w:t xml:space="preserve">) and Dice loss with weights of 0.7 and 0.3, respectively.</w:t>
      </w:r>
    </w:p>
    <w:bookmarkEnd w:id="83"/>
    <w:bookmarkStart w:id="84" w:name="inference-and-post-processing"/>
    <w:p>
      <w:pPr>
        <w:pStyle w:val="Heading3"/>
        <w:keepNext/>
        <w:spacing w:line="480" w:lineRule="auto"/>
        <w:ind w:firstLine="0"/>
      </w:pPr>
      <w:r>
        <w:rPr>
          <w:rFonts w:ascii="Times New Roman" w:hAnsi="Times New Roman"/>
          <w:sz w:val="24"/>
        </w:rPr>
        <w:t xml:space="preserve">Inference and post-processing</w:t>
      </w:r>
    </w:p>
    <w:p>
      <w:pPr>
        <w:pStyle w:val="FirstParagraph"/>
        <w:spacing w:line="480" w:lineRule="auto" w:after="120"/>
        <w:ind w:firstLine="480"/>
      </w:pPr>
      <w:r>
        <w:rPr>
          <w:rFonts w:ascii="Times New Roman" w:hAnsi="Times New Roman"/>
          <w:sz w:val="24"/>
        </w:rPr>
        <w:t xml:space="preserve">As in training, Find uses</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ascii="Times New Roman" w:hAnsi="Times New Roman"/>
          <w:sz w:val="24"/>
        </w:rPr>
        <w:t xml:space="preserve">voxel blocks as its basic input during inference. Sliding-window inference with a stride of 30 and a Gaussian kernel with</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ascii="Times New Roman" w:hAnsi="Times New Roman"/>
          <w:sz w:val="24"/>
        </w:rPr>
        <w:t xml:space="preserve">produces the full ligand-region probability map</w:t>
      </w:r>
      <w:r>
        <w:rPr>
          <w:rFonts w:ascii="Times New Roman" w:hAnsi="Times New Roman"/>
          <w:sz w:val="24"/>
        </w:rPr>
        <w:t xml:space="preserve"> </w:t>
      </w:r>
      <m:oMath>
        <m:acc>
          <m:accPr>
            <m:chr m:val="̂"/>
          </m:accPr>
          <m:e>
            <m:r>
              <m:t>Y</m:t>
            </m:r>
          </m:e>
        </m:acc>
      </m:oMath>
      <w:r>
        <w:rPr>
          <w:rFonts w:ascii="Times New Roman" w:hAnsi="Times New Roman"/>
          <w:sz w:val="24"/>
        </w:rPr>
        <w:t xml:space="preserve">. We threshold this map at a fixed probability</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ascii="Times New Roman" w:hAnsi="Times New Roman"/>
          <w:sz w:val="24"/>
        </w:rPr>
        <w:t xml:space="preserve">to obtain candidate blobs, which are then filtered by Gaussian scoring. We selected</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ascii="Times New Roman" w:hAnsi="Times New Roman"/>
          <w:sz w:val="24"/>
        </w:rPr>
        <w:t xml:space="preserve">to maximise the semantic F1 score on the calibration set. Gaussian-scoring parameters were also searched on the calibration set, then fixed together with the probability threshold for testing.</w:t>
      </w:r>
    </w:p>
    <w:p>
      <w:pPr>
        <w:pStyle w:val="BodyText"/>
        <w:spacing w:line="480" w:lineRule="auto" w:after="120"/>
        <w:ind w:firstLine="480"/>
      </w:pPr>
      <w:r>
        <w:rPr>
          <w:rFonts w:ascii="Times New Roman" w:hAnsi="Times New Roman"/>
          <w:sz w:val="24"/>
        </w:rPr>
        <w:t xml:space="preserve">During inference, we apply 26-connected-component analysis to voxels satisfying</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yielding candidate ligand regions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We then compute a Gaussian score for each of these candidate regions as follows.</w:t>
      </w:r>
    </w:p>
    <w:p>
      <w:pPr>
        <w:pStyle w:val="BodyText"/>
        <w:spacing w:line="480" w:lineRule="auto" w:after="120"/>
        <w:ind w:firstLine="480"/>
      </w:pPr>
      <w:r>
        <w:rPr>
          <w:rFonts w:ascii="Times New Roman" w:hAnsi="Times New Roman"/>
          <w:sz w:val="24"/>
        </w:rPr>
        <w:t xml:space="preserve">For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let</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ascii="Times New Roman" w:hAnsi="Times New Roman"/>
          <w:sz w:val="24"/>
        </w:rPr>
        <w:t xml:space="preserve">denote the mean ligand-region probability within the candidate region. Let</w:t>
      </w:r>
      <w:r>
        <w:rPr>
          <w:rFonts w:ascii="Times New Roman" w:hAnsi="Times New Roman"/>
          <w:sz w:val="24"/>
        </w:rPr>
        <w:t xml:space="preserve"> </w:t>
      </w:r>
      <m:oMath>
        <m:sSub>
          <m:e>
            <m:r>
              <m:t>q</m:t>
            </m:r>
          </m:e>
          <m:sub>
            <m:r>
              <m:t>i</m:t>
            </m:r>
          </m:sub>
        </m:sSub>
      </m:oMath>
      <w:r>
        <w:rPr>
          <w:rFonts w:ascii="Times New Roman" w:hAnsi="Times New Roman"/>
          <w:sz w:val="24"/>
        </w:rPr>
        <w:t xml:space="preserve"> </w:t>
      </w:r>
      <w:r>
        <w:rPr>
          <w:rFonts w:ascii="Times New Roman" w:hAnsi="Times New Roman"/>
          <w:sz w:val="24"/>
        </w:rPr>
        <w:t xml:space="preserve">denote the binding probability of receptor atom</w:t>
      </w:r>
      <w:r>
        <w:rPr>
          <w:rFonts w:ascii="Times New Roman" w:hAnsi="Times New Roman"/>
          <w:sz w:val="24"/>
        </w:rPr>
        <w:t xml:space="preserve"> </w:t>
      </w:r>
      <m:oMath>
        <m:r>
          <m:t>i</m:t>
        </m:r>
      </m:oMath>
      <w:r>
        <w:rPr>
          <w:rFonts w:ascii="Times New Roman" w:hAnsi="Times New Roman"/>
          <w:sz w:val="24"/>
        </w:rPr>
        <w:t xml:space="preserve">. Let</w:t>
      </w:r>
      <w:r>
        <w:rPr>
          <w:rFonts w:ascii="Times New Roman" w:hAnsi="Times New Roman"/>
          <w:sz w:val="24"/>
        </w:rPr>
        <w:t xml:space="preserve"> </w:t>
      </w:r>
      <m:oMath>
        <m:sSub>
          <m:e>
            <m:r>
              <m:t>d</m:t>
            </m:r>
          </m:e>
          <m:sub>
            <m:r>
              <m:t>i</m:t>
            </m:r>
            <m:r>
              <m:t>j</m:t>
            </m:r>
          </m:sub>
        </m:sSub>
      </m:oMath>
      <w:r>
        <w:rPr>
          <w:rFonts w:ascii="Times New Roman" w:hAnsi="Times New Roman"/>
          <w:sz w:val="24"/>
        </w:rPr>
        <w:t xml:space="preserve"> </w:t>
      </w:r>
      <w:r>
        <w:rPr>
          <w:rFonts w:ascii="Times New Roman" w:hAnsi="Times New Roman"/>
          <w:sz w:val="24"/>
        </w:rPr>
        <w:t xml:space="preserve">denote the physical distance from that atom to the nearest voxel centre in</w:t>
      </w:r>
      <w:r>
        <w:rPr>
          <w:rFonts w:ascii="Times New Roman" w:hAnsi="Times New Roman"/>
          <w:sz w:val="24"/>
        </w:rPr>
        <w:t xml:space="preserve"> </w:t>
      </w:r>
      <m:oMath>
        <m:sSub>
          <m:e>
            <m:r>
              <m:t>B</m:t>
            </m:r>
          </m:e>
          <m:sub>
            <m:r>
              <m:t>j</m:t>
            </m:r>
          </m:sub>
        </m:sSub>
      </m:oMath>
      <w:r>
        <w:rPr>
          <w:rFonts w:ascii="Times New Roman" w:hAnsi="Times New Roman"/>
          <w:sz w:val="24"/>
        </w:rPr>
        <w:t xml:space="preserve">. The Gaussian candidate score</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ascii="Times New Roman" w:hAnsi="Times New Roman"/>
          <w:sz w:val="24"/>
        </w:rPr>
        <w:t xml:space="preserve">for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defined as:</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ascii="Times New Roman" w:hAnsi="Times New Roman"/>
          <w:sz w:val="24"/>
        </w:rPr>
        <w:t xml:space="preserve">Candidate</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predicted as positive if and only if</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ascii="Times New Roman" w:hAnsi="Times New Roman"/>
          <w:sz w:val="24"/>
        </w:rPr>
        <w:t xml:space="preserve">exceeds the fixed Gaussian-score threshold</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ascii="Times New Roman" w:hAnsi="Times New Roman"/>
          <w:sz w:val="24"/>
        </w:rPr>
        <w:t xml:space="preserve">and its voxel count exceeds</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We searched the Gaussian width</w:t>
      </w:r>
      <w:r>
        <w:rPr>
          <w:rFonts w:ascii="Times New Roman" w:hAnsi="Times New Roman"/>
          <w:sz w:val="24"/>
        </w:rPr>
        <w:t xml:space="preserve"> </w:t>
      </w:r>
      <m:oMath>
        <m:r>
          <m:t>τ</m:t>
        </m:r>
      </m:oMath>
      <w:r>
        <w:rPr>
          <w:rFonts w:ascii="Times New Roman" w:hAnsi="Times New Roman"/>
          <w:sz w:val="24"/>
        </w:rPr>
        <w:t xml:space="preserve">, coefficients</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score threshold</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ascii="Times New Roman" w:hAnsi="Times New Roman"/>
          <w:sz w:val="24"/>
        </w:rPr>
        <w:t xml:space="preserve">and minimum voxel count</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ascii="Times New Roman" w:hAnsi="Times New Roman"/>
          <w:sz w:val="24"/>
        </w:rPr>
        <w:t xml:space="preserve">on the calibration set. After calibration, all selected parameters remained fixed throughout subsequent testing.</w:t>
      </w:r>
    </w:p>
    <w:p>
      <w:pPr>
        <w:pStyle w:val="BodyText"/>
        <w:spacing w:line="480" w:lineRule="auto" w:after="120"/>
        <w:ind w:firstLine="480"/>
      </w:pPr>
      <w:r>
        <w:rPr>
          <w:rFonts w:ascii="Times New Roman" w:hAnsi="Times New Roman"/>
          <w:sz w:val="24"/>
        </w:rPr>
        <w:t xml:space="preserve">The first score term measures the candidate’s own density confidence. The second rewards nearby receptor atoms predicted to be close to a ligand, whereas the third penalises nearby receptor atoms predicted to be distant from ligands.</w:t>
      </w:r>
    </w:p>
    <w:bookmarkEnd w:id="84"/>
    <w:bookmarkEnd w:id="85"/>
    <w:bookmarkStart w:id="91" w:name="stage-2-match"/>
    <w:p>
      <w:pPr>
        <w:pStyle w:val="Heading2"/>
        <w:keepNext/>
        <w:spacing w:line="480" w:lineRule="auto"/>
        <w:ind w:firstLine="0"/>
      </w:pPr>
      <w:r>
        <w:rPr>
          <w:rFonts w:ascii="Times New Roman" w:hAnsi="Times New Roman"/>
          <w:sz w:val="24"/>
        </w:rPr>
        <w:t xml:space="preserve">Stage 2: Match</w:t>
      </w:r>
    </w:p>
    <w:bookmarkStart w:id="86" w:name="overview-1"/>
    <w:p>
      <w:pPr>
        <w:pStyle w:val="Heading3"/>
        <w:keepNext/>
        <w:spacing w:line="480" w:lineRule="auto"/>
        <w:ind w:firstLine="0"/>
      </w:pPr>
      <w:r>
        <w:rPr>
          <w:rFonts w:ascii="Times New Roman" w:hAnsi="Times New Roman"/>
          <w:sz w:val="24"/>
        </w:rPr>
        <w:t xml:space="preserve">Overview</w:t>
      </w:r>
    </w:p>
    <w:p>
      <w:pPr>
        <w:pStyle w:val="FirstParagraph"/>
        <w:spacing w:line="480" w:lineRule="auto" w:after="120"/>
        <w:ind w:firstLine="480"/>
      </w:pPr>
      <w:r>
        <w:rPr>
          <w:rFonts w:ascii="Times New Roman" w:hAnsi="Times New Roman"/>
          <w:sz w:val="24"/>
        </w:rPr>
        <w:t xml:space="preserve">Although Find can correctly localise a ligand region, conventional molecular docking still requires the ligand’s chemical identity, represented by its SMILES. Without identity information, Find and Build cannot complete end-to-end ligand discovery, identification and docking. Match fills this gap by assigning each blob predicted by Find to a ligand identity from the same PDB entry for subsequent docking in Build.</w:t>
      </w:r>
    </w:p>
    <w:p>
      <w:pPr>
        <w:pStyle w:val="BodyText"/>
        <w:spacing w:line="480" w:lineRule="auto" w:after="120"/>
        <w:ind w:firstLine="480"/>
      </w:pPr>
      <w:r>
        <w:rPr>
          <w:rFonts w:ascii="Times New Roman" w:hAnsi="Times New Roman"/>
          <w:sz w:val="24"/>
        </w:rPr>
        <w:t xml:space="preserve">After completing Find training and calibration, we froze its weights and performed full-map inference on 1,650 PDB entries from the training set. We saved the resulting blobs and associated candidate information for training and inference with the Match network.</w:t>
      </w:r>
    </w:p>
    <w:bookmarkEnd w:id="86"/>
    <w:bookmarkStart w:id="87" w:name="X181b68a713d2eeaa46c9ea847f44b33b75abd9c"/>
    <w:p>
      <w:pPr>
        <w:pStyle w:val="Heading3"/>
        <w:keepNext/>
        <w:spacing w:line="480" w:lineRule="auto"/>
        <w:ind w:firstLine="0"/>
      </w:pPr>
      <w:r>
        <w:rPr>
          <w:rFonts w:ascii="Times New Roman" w:hAnsi="Times New Roman"/>
          <w:sz w:val="24"/>
        </w:rPr>
        <w:t xml:space="preserve">Ligand-identity representation and encoding</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denote the chemical identities in a PDB entry, represented by SMILES. For each identity, the ligand language model SMI-TED produces a 768-dimensional feature vector. A linear layer embeds this vector into the language representation</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In parallel, we use RDKit to generate ideal three-dimensional ligand conformations</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ascii="Times New Roman" w:hAnsi="Times New Roman"/>
          <w:sz w:val="24"/>
        </w:rPr>
        <w:t xml:space="preserve">, which are encoded as three-dimensional molecular graphs. Node features comprise atomic number, formal charge and ring information, whereas edge features comprise bond type and ring information.</w:t>
      </w:r>
    </w:p>
    <w:p>
      <w:pPr>
        <w:pStyle w:val="BodyText"/>
        <w:spacing w:line="480" w:lineRule="auto" w:after="120"/>
        <w:ind w:firstLine="480"/>
      </w:pPr>
      <w:r>
        <w:rPr>
          <w:rFonts w:ascii="Times New Roman" w:hAnsi="Times New Roman"/>
          <w:sz w:val="24"/>
        </w:rPr>
        <w:t xml:space="preserve">For each 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its language representation serves as the query for two attention operations</w:t>
      </w:r>
      <w:r>
        <w:rPr>
          <w:rFonts w:ascii="Times New Roman" w:hAnsi="Times New Roman"/>
          <w:sz w:val="24"/>
        </w:rPr>
        <w:t xml:space="preserve"> </w:t>
      </w:r>
      <w:r>
        <w:rPr>
          <w:rFonts w:ascii="Times New Roman" w:hAnsi="Times New Roman"/>
          <w:sz w:val="24"/>
        </w:rPr>
        <w:t xml:space="preserve">(</w:t>
      </w:r>
      <w:r>
        <w:rPr>
          <w:rStyle w:val="MDFIGREF_eJyrrk7LTC9KTbMCUrq5qSUZ-Sm6ZSY1ybW1AIsYCjg"/>
          <w:rFonts w:ascii="Times New Roman" w:hAnsi="Times New Roman"/>
          <w:sz w:val="24"/>
        </w:rPr>
        <w:t xml:space="preserve">Fig. 2c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Graph attention operates on its own molecular graph, whereas context attention operates on the language representations of other SMILES in the same PDB entry:</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r>
            <m:t>  </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w:r>
        <w:rPr>
          <w:rFonts w:ascii="Times New Roman" w:hAnsi="Times New Roman"/>
          <w:sz w:val="24"/>
        </w:rPr>
        <w:t xml:space="preserve">The final representation of ligand identity</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w:t>
      </w:r>
      <w:r>
        <w:rPr>
          <w:rFonts w:ascii="Times New Roman" w:hAnsi="Times New Roman"/>
          <w:sz w:val="24"/>
        </w:rPr>
        <w:t xml:space="preserve"> </w:t>
      </w: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combining its language, graph-attention and context-attention representations.</w:t>
      </w:r>
    </w:p>
    <w:bookmarkEnd w:id="87"/>
    <w:bookmarkStart w:id="88" w:name="X3ea166c1d7247fe31bf19592b3130f954c7c4b6"/>
    <w:p>
      <w:pPr>
        <w:pStyle w:val="Heading3"/>
        <w:keepNext/>
        <w:spacing w:line="480" w:lineRule="auto"/>
        <w:ind w:firstLine="0"/>
      </w:pPr>
      <w:r>
        <w:rPr>
          <w:rFonts w:ascii="Times New Roman" w:hAnsi="Times New Roman"/>
          <w:sz w:val="24"/>
        </w:rPr>
        <w:t xml:space="preserve">Candidate encoding and auxiliary-feature injection</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denote the candidate regions predicted by Find within the same PDB entry. Match extracts a</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ascii="Times New Roman" w:hAnsi="Times New Roman"/>
          <w:sz w:val="24"/>
        </w:rPr>
        <w:t xml:space="preserve">voxel block centred on each candidate and constructs the 56-channel multi-view density bank defined above. The 50-dimensional receptor-atom features are scattered onto the same grid according to atom coordinates. Concatenating these inputs produces a base feature tensor of size</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A U-Net encodes this tensor into a base summary vector</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for the candidate.</w:t>
      </w:r>
    </w:p>
    <w:p>
      <w:pPr>
        <w:pStyle w:val="BodyText"/>
        <w:spacing w:line="480" w:lineRule="auto" w:after="120"/>
        <w:ind w:firstLine="480"/>
      </w:pPr>
      <w:r>
        <w:rPr>
          <w:rFonts w:ascii="Times New Roman" w:hAnsi="Times New Roman"/>
          <w:sz w:val="24"/>
        </w:rPr>
        <w:t xml:space="preserve">Match also incorporates auxiliary features from the surrounding pocket, defined as receptor atoms within the candidate region’s 10 Å envelope. Further auxiliary inputs include hidden features within the blob from the highest-resolution of the LigandSeek-Find 3D-UNet decoder, together with additionally sampled pseudo atoms and their features.</w:t>
      </w:r>
    </w:p>
    <w:p>
      <w:pPr>
        <w:pStyle w:val="BodyText"/>
        <w:spacing w:line="480" w:lineRule="auto" w:after="120"/>
        <w:ind w:firstLine="480"/>
      </w:pPr>
      <w:r>
        <w:rPr>
          <w:rFonts w:ascii="Times New Roman" w:hAnsi="Times New Roman"/>
          <w:sz w:val="24"/>
        </w:rPr>
        <w:t xml:space="preserve">Pooling and attention encode these auxiliary features to further modulate the base density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For each auxiliary feature type, mean and maximum pooling produce a pooled summary vector. In parallel, cross-attention uses</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as the query and the corresponding auxiliary features as keys and values to produce an attention summary vector. The two summary vectors are concatenated and passed through a MLP. A FiLM module then uses this output to modulate the base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The modulated representation is used for both foreground classification and ligand-identity matching.</w:t>
      </w:r>
    </w:p>
    <w:bookmarkEnd w:id="88"/>
    <w:bookmarkStart w:id="89" w:name="scoring-and-selection"/>
    <w:p>
      <w:pPr>
        <w:pStyle w:val="Heading3"/>
        <w:keepNext/>
        <w:spacing w:line="480" w:lineRule="auto"/>
        <w:ind w:firstLine="0"/>
      </w:pPr>
      <w:r>
        <w:rPr>
          <w:rFonts w:ascii="Times New Roman" w:hAnsi="Times New Roman"/>
          <w:sz w:val="24"/>
        </w:rPr>
        <w:t xml:space="preserve">Scoring and selection</w:t>
      </w:r>
    </w:p>
    <w:p>
      <w:pPr>
        <w:pStyle w:val="FirstParagraph"/>
        <w:spacing w:line="480" w:lineRule="auto" w:after="120"/>
        <w:ind w:firstLine="480"/>
      </w:pPr>
      <w:r>
        <w:rPr>
          <w:rFonts w:ascii="Times New Roman" w:hAnsi="Times New Roman"/>
          <w:sz w:val="24"/>
        </w:rPr>
        <w:t xml:space="preserve">Suppose a PDB entry contains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valid SMILES identities</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LigandSeek-Match pairs each candidate representation with every ligand-identity representation from the same PDB entry to form a</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ascii="Times New Roman" w:hAnsi="Times New Roman"/>
          <w:sz w:val="24"/>
        </w:rPr>
        <w:t xml:space="preserve">matching-score matrix. Its entry in row</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and column</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defined as:</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rPr>
              <m:sty m:val="p"/>
            </m:rPr>
            <m:t>(</m:t>
          </m:r>
          <m:sSub>
            <m:e>
              <m:r>
                <m:t>h</m:t>
              </m:r>
            </m:e>
            <m:sub>
              <m:r>
                <m:t>j</m:t>
              </m:r>
            </m:sub>
          </m:sSub>
          <m:r>
            <m:rPr>
              <m:sty m:val="p"/>
            </m:rPr>
            <m:t>,</m:t>
          </m:r>
          <m:sSub>
            <m:e>
              <m:r>
                <m:t>g</m:t>
              </m:r>
            </m:e>
            <m:sub>
              <m:r>
                <m:t>k</m:t>
              </m:r>
            </m:sub>
          </m:sSub>
          <m:r>
            <m:rPr>
              <m:sty m:val="p"/>
            </m:rPr>
            <m:t>)</m:t>
          </m:r>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ascii="Times New Roman" w:hAnsi="Times New Roman"/>
          <w:sz w:val="24"/>
        </w:rPr>
        <w:t xml:space="preserve">Here,</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is the candidate representation, and</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ascii="Times New Roman" w:hAnsi="Times New Roman"/>
          <w:sz w:val="24"/>
        </w:rPr>
        <w:t xml:space="preserve">is the ligand-identity representation defined above. The function</w:t>
      </w:r>
      <w:r>
        <w:rPr>
          <w:rFonts w:ascii="Times New Roman" w:hAnsi="Times New Roman"/>
          <w:sz w:val="24"/>
        </w:rPr>
        <w:t xml:space="preserve"> </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ascii="Times New Roman" w:hAnsi="Times New Roman"/>
          <w:sz w:val="24"/>
        </w:rPr>
        <w:t xml:space="preserve">applies separate learnable linear projections to</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k</m:t>
            </m:r>
          </m:sub>
        </m:sSub>
      </m:oMath>
      <w:r>
        <w:rPr>
          <w:rFonts w:ascii="Times New Roman" w:hAnsi="Times New Roman"/>
          <w:sz w:val="24"/>
        </w:rPr>
        <w:t xml:space="preserve">, then computes their cosine similarity to produce the raw score</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 For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the ligand identity with the highest score is predicted as:</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ascii="Times New Roman" w:hAnsi="Times New Roman"/>
          <w:sz w:val="24"/>
        </w:rPr>
        <w:t xml:space="preserve">An independent foreground head uses</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to predict the foreground probability</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 </w:t>
      </w:r>
      <w:r>
        <w:rPr>
          <w:rFonts w:ascii="Times New Roman" w:hAnsi="Times New Roman"/>
          <w:sz w:val="24"/>
        </w:rPr>
        <w:t xml:space="preserve">of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Thus, Match provides each candidate’s foreground probability and ligand-identity matching scores for downstream pose modelling.</w:t>
      </w:r>
    </w:p>
    <w:bookmarkEnd w:id="89"/>
    <w:bookmarkStart w:id="90" w:name="labels-and-loss-functions"/>
    <w:p>
      <w:pPr>
        <w:pStyle w:val="Heading3"/>
        <w:keepNext/>
        <w:spacing w:line="480" w:lineRule="auto"/>
        <w:ind w:firstLine="0"/>
      </w:pPr>
      <w:r>
        <w:rPr>
          <w:rFonts w:ascii="Times New Roman" w:hAnsi="Times New Roman"/>
          <w:sz w:val="24"/>
        </w:rPr>
        <w:t xml:space="preserve">Labels and loss functions</w:t>
      </w:r>
    </w:p>
    <w:p>
      <w:pPr>
        <w:pStyle w:val="FirstParagraph"/>
        <w:spacing w:line="480" w:lineRule="auto" w:after="120"/>
        <w:ind w:firstLine="480"/>
      </w:pPr>
      <w:r>
        <w:rPr>
          <w:rFonts w:ascii="Times New Roman" w:hAnsi="Times New Roman"/>
          <w:sz w:val="24"/>
        </w:rPr>
        <w:t xml:space="preserve">A candidate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labelled as foreground if it matches at least one ground-truth ligand instance, with at least 0.3 coverage in both directions. Otherwise, the candidate is labelled as a false positive for training. For a foreground candidate, we select the ligand instance with the highest geometric mean of the two coverage fractions. The SMILES of that instance provides the candidate’s ligand-identity label.</w:t>
      </w:r>
    </w:p>
    <w:p>
      <w:pPr>
        <w:pStyle w:val="BodyText"/>
        <w:spacing w:line="480" w:lineRule="auto" w:after="120"/>
        <w:ind w:firstLine="480"/>
      </w:pPr>
      <w:r>
        <w:rPr>
          <w:rFonts w:ascii="Times New Roman" w:hAnsi="Times New Roman"/>
          <w:sz w:val="24"/>
        </w:rPr>
        <w:t xml:space="preserve">Match uses cross-entropy losses to supervise both ligand-identity matching and foreground classification. Let</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ascii="Times New Roman" w:hAnsi="Times New Roman"/>
          <w:sz w:val="24"/>
        </w:rPr>
        <w:t xml:space="preserve">denote the foreground label, and let</w:t>
      </w:r>
      <w:r>
        <w:rPr>
          <w:rFonts w:ascii="Times New Roman" w:hAnsi="Times New Roman"/>
          <w:sz w:val="24"/>
        </w:rPr>
        <w:t xml:space="preserve"> </w:t>
      </w:r>
      <m:oMath>
        <m:sSubSup>
          <m:e>
            <m:r>
              <m:t>k</m:t>
            </m:r>
          </m:e>
          <m:sub>
            <m:r>
              <m:t>j</m:t>
            </m:r>
          </m:sub>
          <m:sup>
            <m:r>
              <m:rPr>
                <m:sty m:val="p"/>
              </m:rPr>
              <m:t>*</m:t>
            </m:r>
          </m:sup>
        </m:sSubSup>
      </m:oMath>
      <w:r>
        <w:rPr>
          <w:rFonts w:ascii="Times New Roman" w:hAnsi="Times New Roman"/>
          <w:sz w:val="24"/>
        </w:rPr>
        <w:t xml:space="preserve"> </w:t>
      </w:r>
      <w:r>
        <w:rPr>
          <w:rFonts w:ascii="Times New Roman" w:hAnsi="Times New Roman"/>
          <w:sz w:val="24"/>
        </w:rPr>
        <w:t xml:space="preserve">denote the ground-truth identity’s index in</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The foreground loss is binary cross-entropy over all training candidates: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ascii="Times New Roman" w:hAnsi="Times New Roman"/>
          <w:sz w:val="24"/>
        </w:rPr>
        <w:t xml:space="preserve">The identity loss is evaluated only on ground-truth foreground candidates with valid SMILES identity targets: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ascii="Times New Roman" w:hAnsi="Times New Roman"/>
          <w:sz w:val="24"/>
        </w:rPr>
        <w:t xml:space="preserve">Background candidates contribute only to the foreground loss and are excluded from the identity loss. The total Match loss combines these terms with their respective weights: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ascii="Times New Roman" w:hAnsi="Times New Roman"/>
          <w:sz w:val="24"/>
        </w:rPr>
        <w:t xml:space="preserve">We set the foreground and identity loss weights to</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λ</m:t>
            </m:r>
          </m:e>
          <m:sub>
            <m:r>
              <m:rPr>
                <m:sty m:val="p"/>
              </m:rPr>
              <m:t>i</m:t>
            </m:r>
            <m:r>
              <m:rPr>
                <m:sty m:val="p"/>
              </m:rPr>
              <m:t>d</m:t>
            </m:r>
          </m:sub>
        </m:sSub>
        <m:r>
          <m:rPr>
            <m:sty m:val="p"/>
          </m:rPr>
          <m:t>=</m:t>
        </m:r>
        <m:r>
          <m:t>1.0</m:t>
        </m:r>
      </m:oMath>
      <w:r>
        <w:rPr>
          <w:rFonts w:ascii="Times New Roman" w:hAnsi="Times New Roman"/>
          <w:sz w:val="24"/>
        </w:rPr>
        <w:t xml:space="preserve">, respectively.</w:t>
      </w:r>
    </w:p>
    <w:bookmarkEnd w:id="90"/>
    <w:bookmarkEnd w:id="91"/>
    <w:bookmarkStart w:id="107" w:name="stage-3-build"/>
    <w:p>
      <w:pPr>
        <w:pStyle w:val="Heading2"/>
        <w:keepNext/>
        <w:spacing w:line="480" w:lineRule="auto"/>
        <w:ind w:firstLine="0"/>
      </w:pPr>
      <w:r>
        <w:rPr>
          <w:rFonts w:ascii="Times New Roman" w:hAnsi="Times New Roman"/>
          <w:sz w:val="24"/>
        </w:rPr>
        <w:t xml:space="preserve">Stage 3: Build</w:t>
      </w:r>
    </w:p>
    <w:bookmarkStart w:id="92" w:name="overview-2"/>
    <w:p>
      <w:pPr>
        <w:pStyle w:val="Heading3"/>
        <w:keepNext/>
        <w:spacing w:line="480" w:lineRule="auto"/>
        <w:ind w:firstLine="0"/>
      </w:pPr>
      <w:r>
        <w:rPr>
          <w:rFonts w:ascii="Times New Roman" w:hAnsi="Times New Roman"/>
          <w:sz w:val="24"/>
        </w:rPr>
        <w:t xml:space="preserve">Overview</w:t>
      </w:r>
    </w:p>
    <w:p>
      <w:pPr>
        <w:pStyle w:val="FirstParagraph"/>
        <w:spacing w:line="480" w:lineRule="auto" w:after="120"/>
        <w:ind w:firstLine="480"/>
      </w:pPr>
      <w:r>
        <w:rPr>
          <w:rFonts w:ascii="Times New Roman" w:hAnsi="Times New Roman"/>
          <w:sz w:val="24"/>
        </w:rPr>
        <w:t xml:space="preserve">Through spatial localisation by Find and identity assignment by Match, downstream docking tools receive both the target binding site and the ligand identity (SMILES). This allows Build to function as a modular, plug-and-play interface that can theoretically accommodate diverse downstream docking tools (such as Vina, DiffDock, or Emap2lig-Build) tailored to specific ligand classes.</w:t>
      </w:r>
    </w:p>
    <w:p>
      <w:pPr>
        <w:pStyle w:val="BodyText"/>
        <w:spacing w:line="480" w:lineRule="auto" w:after="120"/>
        <w:ind w:firstLine="480"/>
      </w:pPr>
      <w:r>
        <w:rPr>
          <w:rFonts w:ascii="Times New Roman" w:hAnsi="Times New Roman"/>
          <w:sz w:val="24"/>
        </w:rPr>
        <w:t xml:space="preserve">However, existing deep learning docking tools typically consider either the receptor environment alone or the experimental density alone, leaving a critical gap in joint modelling. To address this limitation and provide an effective out-of-the-box solution for organic small molecules, we developed PocketXMol-tuned as our default Build engine. Specifically, we extended PocketXMol, a unified generative model for small molecules, to incorporate local cryo-EM density as an explicit conditioning signal, initialising it with official weights and fine-tuning it on single-residue organic small molecules.</w:t>
      </w:r>
    </w:p>
    <w:bookmarkEnd w:id="92"/>
    <w:bookmarkStart w:id="106" w:name="pocketxmol-fine-tuning-experiments"/>
    <w:p>
      <w:pPr>
        <w:pStyle w:val="Heading3"/>
        <w:keepNext/>
        <w:spacing w:line="480" w:lineRule="auto"/>
        <w:ind w:firstLine="0"/>
      </w:pPr>
      <w:r>
        <w:rPr>
          <w:rFonts w:ascii="Times New Roman" w:hAnsi="Times New Roman"/>
          <w:sz w:val="24"/>
        </w:rPr>
        <w:t xml:space="preserve">PocketXMol fine-tuning experiments</w:t>
      </w:r>
    </w:p>
    <w:p>
      <w:pPr>
        <w:pStyle w:val="FirstParagraph"/>
        <w:spacing w:line="480" w:lineRule="auto" w:after="120"/>
        <w:ind w:firstLine="480"/>
      </w:pPr>
      <w:r>
        <w:rPr>
          <w:rFonts w:ascii="Times New Roman" w:hAnsi="Times New Roman"/>
          <w:sz w:val="24"/>
        </w:rPr>
        <w:t xml:space="preserve">PocketXMol fine-tuning used the same training, validation and test partitions described above. From each PDB entry in these partitions, we included all single-residue small molecules without missing atoms. The training, validation and test sets contained 65,290, 781 and 446 ligand instances, respectively. No probability or score threshold required calibration at this stage, so a calibration set was unnecessary.</w:t>
      </w:r>
    </w:p>
    <w:p>
      <w:pPr>
        <w:pStyle w:val="BodyText"/>
        <w:spacing w:line="480" w:lineRule="auto" w:after="120"/>
        <w:ind w:firstLine="480"/>
      </w:pPr>
      <w:r>
        <w:rPr>
          <w:rFonts w:ascii="Times New Roman" w:hAnsi="Times New Roman"/>
          <w:sz w:val="24"/>
        </w:rPr>
        <w:t xml:space="preserve">We introduced modifications to the PocketXMol network to incorporate cryo-EM density as an additional conditioning input. As described above, 56 density channels and 50 receptor-feature channels were constructed and concatenated into a 106-channel voxel representation. Before each atomic-coordinate update in the PocketXMol network, a 3D convolutional module with global average pooling (GAP) extracts density and receptor signals surrounding each atom. These extracted signals are then injected into the existing atom representations via Feature-wise Linear Modulation (FiLM).</w:t>
      </w:r>
    </w:p>
    <w:p>
      <w:pPr>
        <w:pStyle w:val="BodyText"/>
        <w:spacing w:line="480" w:lineRule="auto" w:after="120"/>
        <w:ind w:firstLine="480"/>
      </w:pPr>
      <w:r>
        <w:rPr>
          <w:rFonts w:ascii="Times New Roman" w:hAnsi="Times New Roman"/>
          <w:sz w:val="24"/>
        </w:rPr>
        <w:t xml:space="preserve">Because the original PocketXMol does not support nucleic acid atoms, we added a linear layer to encode them into the receptor representation. All other architectural components remain unchanged, including the backbone network, the original feature representations, and the diffusion noise-addition and denoising schedules. During fine-tuning, the newly introduced modules were randomly initialized, while all remaining parameters were initialized from the official pretrained PocketXMol checkpoint.</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93">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94">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95">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96">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97">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98">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99">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100">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101">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102">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103">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104">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105">
        <w:r>
          <w:rPr>
            <w:rStyle w:val="Hyperlink"/>
          </w:rPr>
          <w:t xml:space="preserve">10.1021/acs.jmedchem.3c01134</w:t>
        </w:r>
      </w:hyperlink>
      <w:r>
        <w:rPr>
          <w:rFonts w:ascii="Times New Roman" w:hAnsi="Times New Roman"/>
          <w:sz w:val="24"/>
        </w:rPr>
        <w:t xml:space="preserve">.</w:t>
      </w:r>
    </w:p>
    <w:bookmarkEnd w:id="106"/>
    <w:bookmarkEnd w:id="107"/>
    <w:bookmarkEnd w:id="108"/>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Sa1tQB3QQlZ">
    <w:name w:val="MDFIGREF_eJyrrk7LTC9KTbMCUrq5qSUZ-Sm6ZSa1tQB3QQlZ"/>
    <w:basedOn w:val="BodyTextChar"/>
  </w:style>
  <w:style w:type="character" w:customStyle="1" w:styleId="MDFIGREF_eJyrrk7LTC9KTbMCUrq5qSUZ-Sm6ZSY1ibW1AIsSCjY">
    <w:name w:val="MDFIGREF_eJyrrk7LTC9KTbMCUrq5qSUZ-Sm6ZSY1ibW1AIsSCjY"/>
    <w:basedOn w:val="BodyTextChar"/>
  </w:style>
  <w:style w:type="character" w:customStyle="1" w:styleId="MDFIGREF_eJyrrk7LTC9KTbMCUrq5qSUZ-Sm6ZSY1KbW1AIsbCjk">
    <w:name w:val="MDFIGREF_eJyrrk7LTC9KTbMCUrq5qSUZ-Sm6ZSY1KbW1AIsbCjk"/>
    <w:basedOn w:val="BodyTextChar"/>
  </w:style>
  <w:style w:type="character" w:customStyle="1" w:styleId="MDFIGREF_eJyrrk7LTC9KTbMCUrq5qSUZ-Sm6ZSY1SbW1AIsVCjc">
    <w:name w:val="MDFIGREF_eJyrrk7LTC9KTbMCUrq5qSUZ-Sm6ZSY1SbW1AIsVCjc"/>
    <w:basedOn w:val="BodyTextChar"/>
  </w:style>
  <w:style w:type="character" w:customStyle="1" w:styleId="MDFIGREF_eJyrrk7LTC9KTbMCUrq5qSUZ-Sm6ZSY1ybW1AIsYCjg">
    <w:name w:val="MDFIGREF_eJyrrk7LTC9KTbMCUrq5qSUZ-Sm6ZSY1ybW1AIsYCjg"/>
    <w:basedOn w:val="BodyTextChar"/>
  </w:style>
  <w:style w:type="character" w:customStyle="1" w:styleId="MDFIGREF_eJyrrk7LTC9KTbMCUrr5ZalFZZmp5fFlRjogfm5qSUZ-im6ZSW0tAEGtD2Y">
    <w:name w:val="MDFIGREF_eJyrrk7LTC9KTbMCUrr5ZalFZZmp5fFlRjogfm5qSUZ-im6ZSW0tAEGtD2Y"/>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TMrKqq0FAHMFCRs">
    <w:name w:val="MDFIGREF_eJyrrk7LTC9KTbNKNUrVTcvJL9e1TMrKqq0FAHMFCRs"/>
    <w:basedOn w:val="BodyTextChar"/>
  </w:style>
  <w:style w:type="character" w:customStyle="1" w:styleId="MDFIGREF_eJyrrk7LTC9KTbNKNUrVTcvJL9e1zMlJ10HwkrKyEDxjg_TE2loA7FISMg">
    <w:name w:val="MDFIGREF_eJyrrk7LTC9KTbNKNUrVTcvJL9e1zMlJ10HwkrKyEDxjg_TE2loA7FISMg"/>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rk7LTC9KTbNKNUrVTUxOzi_NK8nMS9ctKs1JLdZNKUpMK6mtBQAQ2w6I">
    <w:name w:val="MDFIGREF_eJyrrk7LTC9KTbNKNUrVTUxOzi_NK8nMS9ctKs1JLdZNKUpMK6mtBQAQ2w6I"/>
    <w:basedOn w:val="BodyTextChar"/>
  </w:style>
  <w:style w:type="character" w:customStyle="1" w:styleId="MDFIGREF_eJyrrk7LTC9KTbNKy8xL0c3Py6nUzcwrLknMS07VTc7PLchJLcnMz6utBQBF4BAX">
    <w:name w:val="MDFIGREF_eJyrrk7LTC9KTbNKy8xL0c3Py6nUzcwrLknMS07VTc7PLchJLcnMz6utBQBF4BAX"/>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4" Type="http://schemas.openxmlformats.org/officeDocument/2006/relationships/image" Target="media/rId14.png"/><Relationship Id="rId19" Type="http://schemas.openxmlformats.org/officeDocument/2006/relationships/image" Target="media/rId19.png"/><Relationship Id="rId22" Type="http://schemas.openxmlformats.org/officeDocument/2006/relationships/image" Target="media/rId22.png"/><Relationship Id="rId26" Type="http://schemas.openxmlformats.org/officeDocument/2006/relationships/image" Target="media/rId26.png"/><Relationship Id="rId32" Type="http://schemas.openxmlformats.org/officeDocument/2006/relationships/image" Target="media/rId32.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8" Type="http://schemas.openxmlformats.org/officeDocument/2006/relationships/image" Target="media/rId48.png"/><Relationship Id="rId53" Type="http://schemas.openxmlformats.org/officeDocument/2006/relationships/image" Target="media/rId53.png"/><Relationship Id="rId57" Type="http://schemas.openxmlformats.org/officeDocument/2006/relationships/image" Target="media/rId57.png"/><Relationship Id="rId61" Type="http://schemas.openxmlformats.org/officeDocument/2006/relationships/image" Target="media/rId61.png"/><Relationship Id="rId65" Type="http://schemas.openxmlformats.org/officeDocument/2006/relationships/image" Target="media/rId65.png"/><Relationship Id="rId68" Type="http://schemas.openxmlformats.org/officeDocument/2006/relationships/image" Target="media/rId68.png"/><Relationship Id="rId71" Type="http://schemas.openxmlformats.org/officeDocument/2006/relationships/image" Target="media/rId71.png"/><Relationship Id="rId102" Type="http://schemas.openxmlformats.org/officeDocument/2006/relationships/hyperlink" Target="https://doi.org/10.1016/j.cell.2026.01.003" TargetMode="External"/><Relationship Id="rId104" Type="http://schemas.openxmlformats.org/officeDocument/2006/relationships/hyperlink" Target="https://doi.org/10.1016/j.str.2020.04.018" TargetMode="External"/><Relationship Id="rId100" Type="http://schemas.openxmlformats.org/officeDocument/2006/relationships/hyperlink" Target="https://doi.org/10.1016/j.str.2025.07.002" TargetMode="External"/><Relationship Id="rId94" Type="http://schemas.openxmlformats.org/officeDocument/2006/relationships/hyperlink" Target="https://doi.org/10.1016/j.tibs.2014.10.005" TargetMode="External"/><Relationship Id="rId105" Type="http://schemas.openxmlformats.org/officeDocument/2006/relationships/hyperlink" Target="https://doi.org/10.1021/acs.jmedchem.3c01134" TargetMode="External"/><Relationship Id="rId93" Type="http://schemas.openxmlformats.org/officeDocument/2006/relationships/hyperlink" Target="https://doi.org/10.1038/d41586-020-00341-9" TargetMode="External"/><Relationship Id="rId103" Type="http://schemas.openxmlformats.org/officeDocument/2006/relationships/hyperlink" Target="https://doi.org/10.1038/s41467-023-36732-5" TargetMode="External"/><Relationship Id="rId95" Type="http://schemas.openxmlformats.org/officeDocument/2006/relationships/hyperlink" Target="https://doi.org/10.1038/s41586-024-07215-4" TargetMode="External"/><Relationship Id="rId97" Type="http://schemas.openxmlformats.org/officeDocument/2006/relationships/hyperlink" Target="https://doi.org/10.1038/s41594-025-01723-1" TargetMode="External"/><Relationship Id="rId98" Type="http://schemas.openxmlformats.org/officeDocument/2006/relationships/hyperlink" Target="https://doi.org/10.1126/science.aat4346" TargetMode="External"/><Relationship Id="rId99" Type="http://schemas.openxmlformats.org/officeDocument/2006/relationships/hyperlink" Target="https://doi.org/10.64898/2026.06.01.729423" TargetMode="External"/><Relationship Id="rId96" Type="http://schemas.openxmlformats.org/officeDocument/2006/relationships/hyperlink" Target="https://doi.org/10.65215/LTSpreprints.2026.04.14.000185" TargetMode="External"/><Relationship Id="rId101"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102" Type="http://schemas.openxmlformats.org/officeDocument/2006/relationships/hyperlink" Target="https://doi.org/10.1016/j.cell.2026.01.003" TargetMode="External"/><Relationship Id="rId104" Type="http://schemas.openxmlformats.org/officeDocument/2006/relationships/hyperlink" Target="https://doi.org/10.1016/j.str.2020.04.018" TargetMode="External"/><Relationship Id="rId100" Type="http://schemas.openxmlformats.org/officeDocument/2006/relationships/hyperlink" Target="https://doi.org/10.1016/j.str.2025.07.002" TargetMode="External"/><Relationship Id="rId94" Type="http://schemas.openxmlformats.org/officeDocument/2006/relationships/hyperlink" Target="https://doi.org/10.1016/j.tibs.2014.10.005" TargetMode="External"/><Relationship Id="rId105" Type="http://schemas.openxmlformats.org/officeDocument/2006/relationships/hyperlink" Target="https://doi.org/10.1021/acs.jmedchem.3c01134" TargetMode="External"/><Relationship Id="rId93" Type="http://schemas.openxmlformats.org/officeDocument/2006/relationships/hyperlink" Target="https://doi.org/10.1038/d41586-020-00341-9" TargetMode="External"/><Relationship Id="rId103" Type="http://schemas.openxmlformats.org/officeDocument/2006/relationships/hyperlink" Target="https://doi.org/10.1038/s41467-023-36732-5" TargetMode="External"/><Relationship Id="rId95" Type="http://schemas.openxmlformats.org/officeDocument/2006/relationships/hyperlink" Target="https://doi.org/10.1038/s41586-024-07215-4" TargetMode="External"/><Relationship Id="rId97" Type="http://schemas.openxmlformats.org/officeDocument/2006/relationships/hyperlink" Target="https://doi.org/10.1038/s41594-025-01723-1" TargetMode="External"/><Relationship Id="rId98" Type="http://schemas.openxmlformats.org/officeDocument/2006/relationships/hyperlink" Target="https://doi.org/10.1126/science.aat4346" TargetMode="External"/><Relationship Id="rId99" Type="http://schemas.openxmlformats.org/officeDocument/2006/relationships/hyperlink" Target="https://doi.org/10.64898/2026.06.01.729423" TargetMode="External"/><Relationship Id="rId96" Type="http://schemas.openxmlformats.org/officeDocument/2006/relationships/hyperlink" Target="https://doi.org/10.65215/LTSpreprints.2026.04.14.000185" TargetMode="External"/><Relationship Id="rId101" Type="http://schemas.openxmlformats.org/officeDocument/2006/relationships/hyperlink" Target="https://openreview.net/forum?id=kKF8_K-mBb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2026-10-19T09:14:42Z</dcterms:created>
  <dcterms:modified xsi:type="dcterms:W3CDTF">2026-10-19T09:14:42Z</dcterms:modified>
</cp:coreProperties>
</file>

<file path=docProps/custom.xml><?xml version="1.0" encoding="utf-8"?>
<Properties xmlns="http://schemas.openxmlformats.org/officeDocument/2006/custom-properties" xmlns:vt="http://schemas.openxmlformats.org/officeDocument/2006/docPropsVTypes"/>
</file>