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information"/>
    <w:p>
      <w:pPr>
        <w:pStyle w:val="Heading1"/>
        <w:keepNext/>
        <w:spacing w:line="480" w:lineRule="auto"/>
        <w:ind w:firstLine="0"/>
      </w:pPr>
      <w:r>
        <w:rPr>
          <w:rFonts w:ascii="Times New Roman" w:hAnsi="Times New Roman"/>
          <w:sz w:val="24"/>
        </w:rPr>
        <w:t xml:space="preserve">Supplementary Information</w:t>
      </w:r>
    </w:p>
    <w:bookmarkStart w:id="12" w:name="Xc2290110b7f4c0597479abdf7dc370b81e4e2da"/>
    <w:p>
      <w:pPr>
        <w:pStyle w:val="Heading2"/>
        <w:keepNext/>
        <w:spacing w:line="480" w:lineRule="auto"/>
        <w:ind w:firstLine="0"/>
      </w:pPr>
      <w:r>
        <w:rPr>
          <w:rFonts w:ascii="Times New Roman" w:hAnsi="Times New Roman"/>
          <w:sz w:val="24"/>
        </w:rPr>
        <w:t xml:space="preserve">Stage 1: Comparison of LigandSeek2-Find with LigandSeek</w:t>
      </w:r>
    </w:p>
    <w:p>
      <w:pPr>
        <w:pStyle w:val="FirstParagraph"/>
        <w:spacing w:line="480" w:lineRule="auto" w:after="120"/>
        <w:ind w:firstLine="480"/>
      </w:pPr>
      <w:r>
        <w:rPr>
          <w:rFonts w:ascii="Times New Roman" w:hAnsi="Times New Roman"/>
          <w:sz w:val="24"/>
        </w:rPr>
        <w:t xml:space="preserve">Our first-generation model, LigandSeek, localised ligands in cryo-electron microscopy (cryo-EM) density maps without the Match and Build stages for identity matching and pose reconstruction. We compared its strongest version (LigandSeek-PV) with LigandSeek2-Find on the same full test set and small-molecule test subset. The evaluation definitions and presentation followed those used for the comparison with Emap2lig-Find.</w:t>
      </w:r>
    </w:p>
    <w:p>
      <w:pPr>
        <w:pStyle w:val="BodyText"/>
        <w:spacing w:line="480" w:lineRule="auto" w:after="120"/>
        <w:ind w:firstLine="480"/>
      </w:pPr>
      <w:r>
        <w:rPr>
          <w:rFonts w:ascii="Times New Roman" w:hAnsi="Times New Roman"/>
          <w:sz w:val="24"/>
        </w:rPr>
        <w:t xml:space="preserve">On the full test set, LigandSeek2-Find outperformed LigandSeek across all three detection metrics</w:t>
      </w:r>
      <w:r>
        <w:rPr>
          <w:rFonts w:ascii="Times New Roman" w:hAnsi="Times New Roman"/>
          <w:sz w:val="24"/>
        </w:rPr>
        <w:t xml:space="preserve"> </w:t>
      </w:r>
      <w:r>
        <w:rPr>
          <w:rFonts w:ascii="Times New Roman" w:hAnsi="Times New Roman"/>
          <w:sz w:val="24"/>
        </w:rPr>
        <w:t xml:space="preserve">(</w:t>
      </w:r>
      <w:r>
        <w:rPr>
          <w:rStyle w:val="MDFIGREF_eJyrrk7LTC9KTbPKyUxPzEspTk3NNtItK9ZFcA1rEmtrATN3D08"/>
          <w:rFonts w:ascii="Times New Roman" w:hAnsi="Times New Roman"/>
          <w:sz w:val="24"/>
        </w:rPr>
        <w:t xml:space="preserve">Fig. 1a</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These comprised semantic Dice and one-to-one PRAUC at coverage thresholds of 0.3 and 0.5. When using the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was 0.517 for LigandSeek and 0.663 for LigandSeek2-Find. When using CryoAtom2-reconstructed (CA2) receptors, it increased from 0.440 to 0.541. Paired comparisons using CA2 receptors showed higher values for LigandSeek2-Find in 79 PDBs, equal values in 69, and higher values for LigandSeek in 31</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trATN9D1E"/>
          <w:rFonts w:ascii="Times New Roman" w:hAnsi="Times New Roman"/>
          <w:sz w:val="24"/>
        </w:rPr>
        <w:t xml:space="preserve">Fig. 1c</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also showed an overall advantage in the small-molecule test subset. For deposited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0.621 to 0.701. For CA2 receptors, one-to-one</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ascii="Times New Roman" w:hAnsi="Times New Roman"/>
          <w:sz w:val="24"/>
        </w:rPr>
        <w:t xml:space="preserve">increased from 0.568 to 0.573</w:t>
      </w:r>
      <w:r>
        <w:rPr>
          <w:rFonts w:ascii="Times New Roman" w:hAnsi="Times New Roman"/>
          <w:sz w:val="24"/>
        </w:rPr>
        <w:t xml:space="preserve"> </w:t>
      </w:r>
      <w:r>
        <w:rPr>
          <w:rFonts w:ascii="Times New Roman" w:hAnsi="Times New Roman"/>
          <w:sz w:val="24"/>
        </w:rPr>
        <w:t xml:space="preserve">(</w:t>
      </w:r>
      <w:r>
        <w:rPr>
          <w:rStyle w:val="MDFIGREF_eJyrrk7LTC9KTbPKyUxPzEspTk3NNtItK9ZFcA1rkmprATN6D1A"/>
          <w:rFonts w:ascii="Times New Roman" w:hAnsi="Times New Roman"/>
          <w:sz w:val="24"/>
        </w:rPr>
        <w:t xml:space="preserve">Fig. 1b</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 paired CA2 comparisons, LigandSeek2-Find performed better than, as well as, or worse than LigandSeek in 27, 46 and 21 PDBs, respectively</w:t>
      </w:r>
      <w:r>
        <w:rPr>
          <w:rFonts w:ascii="Times New Roman" w:hAnsi="Times New Roman"/>
          <w:sz w:val="24"/>
        </w:rPr>
        <w:t xml:space="preserve"> </w:t>
      </w:r>
      <w:r>
        <w:rPr>
          <w:rFonts w:ascii="Times New Roman" w:hAnsi="Times New Roman"/>
          <w:sz w:val="24"/>
        </w:rPr>
        <w:t xml:space="preserve">(</w:t>
      </w:r>
      <w:r>
        <w:rPr>
          <w:rStyle w:val="MDFIGREF_eJyrrk7LTC9KTbPKyUxPzEspTk3NNtItK9ZFcA1rUmprATOAD1I"/>
          <w:rFonts w:ascii="Times New Roman" w:hAnsi="Times New Roman"/>
          <w:sz w:val="24"/>
        </w:rPr>
        <w:t xml:space="preserve">Fig. 1d</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Per-PDB precision and recall distributions are shown in</w:t>
      </w:r>
      <w:r>
        <w:rPr>
          <w:rFonts w:ascii="Times New Roman" w:hAnsi="Times New Roman"/>
          <w:sz w:val="24"/>
        </w:rPr>
        <w:t xml:space="preserve"> </w:t>
      </w:r>
      <w:r>
        <w:rPr>
          <w:rStyle w:val="MDFIGREF_eJyrrk7LTC9KTbPKyUxPzEspTk3NNtItK9ZFcA1rUnXSamsBUhcP5Q"/>
          <w:rFonts w:ascii="Times New Roman" w:hAnsi="Times New Roman"/>
          <w:sz w:val="24"/>
        </w:rPr>
        <w:t xml:space="preserve">Fig. 1e, f</w:t>
      </w:r>
      <w:r>
        <w:rPr>
          <w:rFonts w:ascii="Times New Roman" w:hAnsi="Times New Roman"/>
          <w:sz w:val="24"/>
        </w:rPr>
        <w:t xml:space="preserve">.</w:t>
      </w:r>
    </w:p>
    <w:p>
      <w:pPr>
        <w:pStyle w:val="BodyText"/>
        <w:spacing w:line="480" w:lineRule="auto" w:after="120"/>
        <w:ind w:firstLine="480"/>
      </w:pPr>
      <w:r>
        <w:rPr>
          <w:rFonts w:ascii="Times New Roman" w:hAnsi="Times New Roman"/>
          <w:sz w:val="24"/>
        </w:rPr>
        <w:t xml:space="preserve">LigandSeek2-Find showed a much larger average advantage over LigandSeek across all ligands than within the small-molecule category alone. We attribute this difference mainly to the change in foreground block sampling during training. LigandSeek sampled ligands in a way resembling weighting by heavy-atom count. LigandSeek2-Find sampled all ligand instances within each PDB equally, regardless of heavy-atom count. Across all preprocessed data, small molecules contained 38.49 heavy atoms on average, compared with 17.02 across all ligand instances. The first-generation model therefore placed greater emphasis on small molecules during training.</w:t>
      </w:r>
    </w:p>
    <w:p>
      <w:pPr>
        <w:pStyle w:val="CaptionedFigure"/>
        <w:keepNext/>
        <w:spacing w:line="240" w:lineRule="auto" w:before="0" w:after="0"/>
        <w:ind w:firstLine="0"/>
        <w:jc w:val="center"/>
      </w:pPr>
      <w:r>
        <w:rPr>
          <w:rFonts w:ascii="Times New Roman" w:hAnsi="Times New Roman"/>
          <w:sz w:val="24"/>
        </w:rPr>
        <w:drawing>
          <wp:inline>
            <wp:extent cx="5120640" cy="5927466"/>
            <wp:effectExtent b="0" l="0" r="0" t="0"/>
            <wp:docPr descr="Fig. 1 | Ligand-region detection by LigandSeek2-Find and LigandSeek. LigandSeek2-Find and the first-generation LigandSeek are compared using deposited (GT) or CryoAtom2-reconstructed (CA2) receptor structures. The left column shows all ligands (179 PDB entries, 2,502 instances); the right shows only small molecules (94 PDB entries, 821 instances)." title="MDPPTFIG_eJztWN2OGzUUfhUrElIrJZmZNMmStFRast0KaVmibXvFoMjxODPWztjGdpJNKdeIC-4QN7wAVzwASPA00D4G59iTn2WLWBUVaaqulJ1zfI6_c_z3zRl_1dLUFa0xab38_tc_fvwtOhM5ldkTzi97s5Wd7dWkq7W7arVJy3CryhXPsNdknKbPLDc2TZPBKBml6Qm3l07pNH318y9__vDNq---ffnT72ka4NP0FviSVhyxS2-z6NpZ2c5eTdArE1aXdDNbiywMYNAdCokWRrUTSs4qai6XGkyftx6sx5pcVaW04_VHaatwTo-jyLKCV9R2leYSjAtlKupANXm0VibTRjFurZB5VUa9OB5GFRUybT1EtKnxjyduU3KyHq9oCbifVDTnkxAe_aKtB_pecq7P-ZXzzXslyGdCcruz1Np6bDVlEB8ClNAEEXr9OG3V6sWyxCa6dKoOVrtjTyEzcFsIY91Z6BrXTmAJmYUhhH-1fKqks9CPWiYE9HkqKm7JOV-TC1VR6UMXx9K-1uZRAwSCzb0-9-IkjM0_Ic3nuxnr9bepPw_dQyIOF8sPBzPXsOO4WXFwPRV5lyTkBQkbp2N4DnNNMu44w1kn8w052GKdU5wH0A4auxgnrMLbnYD_MEzSgBxfO82u4MRvuk7OJTfUr8nek1DDCVOVhmdGlni2YO20ssKBfufx07tEGTIxG3XsVNWD5WVKWmeWzNsnx727BNq4duAW2peQUZc8hbglXzgAL5eVJLZQa0toWZKaNsid5GhEpicfEy6dEdy2Sa89iHtEAD6VcNDv3vfZG5EXru6vZLkhtkKYSpWcwYEDoFH_Os6HveQA5fr2wnP2EEnpPQO9IwxEG3A02w3I8X-juLeyC-YNmOE2mXLTQao6EYwTyxTYPEsryTtOdeBBphfHzyaEOuA-sBaqBKpUCxJ373nPuDvokkfGAN3OqbGeF8lo8AEQnoMwtLQESMsTZ8WpJAujKpLE7TiOyVwpBxxNNVC2pZVG8gToA-58z5XvNleyJpySBuTYbK7MGjDDbeBIKCxdXZwKC2UnktWNInctXHFY0IYa9p8q1m2tChXqDSTNDXKYJXPugEvbdWg6h5oTKBU4zXJganI0ioaj6F5ySJyedA-rW-Tq3lHUH0ZQjKLxb1VrGzlY4zfSipebBvDuzntLhO85-M12Nm_C6WtAjs3m4EUDZrhNPtvXpdDOhMXbA6Q2UJDOoEyl-0J1W6femoIfUVYQraB0hVYfGMftq-CaWjf3CdIcWRfCccKEYWVdMrtCsMtQAwMdCEbBHqreTNCQpC-Jv1xS4wSwnaEy5_9Ou18A7-4uKluDpBcP-_HVYNQ76g-HLx5owcbwq1mZ3oqVM0PXN-i4RgCsN8GAbnjRsoMxtwJRiwV8eJwotqxgcgOS4aW_FLKF0Bb3B45QrqaC4e5AhZ2vpoZk3DKMMhlH_n458tfLUX27HB1eLkeOVxqGKZfQRWg3W4gcb4VmLFnmPDf9KDTMYvxLulrmMBCRAXqSgIT3zSBPt2OEpdnlsU8pJEhxBs8Uu7REqkmBa3wMX0frgtPMIiDibQ1-5UMjYO67HgQIqNGNSZiXQp-KssSIKPv-QaBj2NvcsQLFBfhcQBRvv6bsnKLreKhZeJOR-fpTlR2-Dun4amEqfMLCkavwAiSb3YvQt6MZX88M7fV2BS-GbvWurZ3Dx9MeVMOL9TGHz0MUwBvLrRCWrs5s8N1LW2-0SxVSj_YiHZdwSgFlNOgNAsprvXBdHvnX94FMx46Kctt8KJeyni-rd-sCv4etr_8Cu_OV5A" id="10" name="Picture"/>
            <a:graphic>
              <a:graphicData uri="http://schemas.openxmlformats.org/drawingml/2006/picture">
                <pic:pic>
                  <pic:nvPicPr>
                    <pic:cNvPr descr="C:/Users/15919/Desktop/论文草稿/temp/manuscript_figures_c1ugegr4/figure_000001.png" id="11" name="Picture"/>
                    <pic:cNvPicPr>
                      <a:picLocks noChangeArrowheads="1" noChangeAspect="1"/>
                    </pic:cNvPicPr>
                  </pic:nvPicPr>
                  <pic:blipFill>
                    <a:blip r:embed="rId9"/>
                    <a:stretch>
                      <a:fillRect/>
                    </a:stretch>
                  </pic:blipFill>
                  <pic:spPr bwMode="auto">
                    <a:xfrm>
                      <a:off x="0" y="0"/>
                      <a:ext cx="5120640" cy="5927466"/>
                    </a:xfrm>
                    <a:prstGeom prst="rect">
                      <a:avLst/>
                    </a:prstGeom>
                    <a:noFill/>
                    <a:ln w="9525">
                      <a:noFill/>
                      <a:headEnd/>
                      <a:tailEnd/>
                    </a:ln>
                  </pic:spPr>
                </pic:pic>
              </a:graphicData>
            </a:graphic>
          </wp:inline>
        </w:drawing>
      </w:r>
    </w:p>
    <w:p>
      <w:pPr>
        <w:pStyle w:val="ImageCaption"/>
        <w:keepNext/>
        <w:keepLines/>
        <w:spacing w:line="240" w:lineRule="auto"/>
        <w:ind w:firstLine="0"/>
      </w:pPr>
      <w:r>
        <w:rPr>
          <w:rFonts w:ascii="Times New Roman" w:hAnsi="Times New Roman"/>
          <w:b/>
          <w:bCs/>
          <w:sz w:val="24"/>
        </w:rPr>
        <w:t xml:space="preserve">Fig. 1 | Ligand-region detection by LigandSeek2-Find and LigandSeek.</w:t>
      </w:r>
      <w:r>
        <w:rPr>
          <w:rFonts w:ascii="Times New Roman" w:hAnsi="Times New Roman"/>
          <w:sz w:val="24"/>
        </w:rPr>
        <w:t xml:space="preserve"> </w:t>
      </w:r>
      <w:r>
        <w:rPr>
          <w:rFonts w:ascii="Times New Roman" w:hAnsi="Times New Roman"/>
          <w:sz w:val="24"/>
        </w:rPr>
        <w:t xml:space="preserve">LigandSeek2-Find and the first-generation LigandSeek are compared using deposited (GT) or CryoAtom2-reconstructed (CA2) receptor structures. The left column shows all ligands (179 PDB entries, 2,502 instances); the right shows only small molecules (94 PDB entries, 821 instances).</w:t>
      </w:r>
    </w:p>
    <w:p>
      <w:pPr>
        <w:pStyle w:val="ImageCaption"/>
        <w:keepNext/>
        <w:keepLines/>
        <w:spacing w:line="240" w:lineRule="auto"/>
        <w:ind w:firstLine="0"/>
      </w:pP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 Per-PDB Dice scores and one-to-one PRAUC at thresholds of 0.3 and 0.5. Error bars show 95% intervals for the mean from 10,000 bootstrap resamples of PDB entries.</w:t>
      </w:r>
    </w:p>
    <w:p>
      <w:pPr>
        <w:pStyle w:val="ImageCaption"/>
        <w:keepNext/>
        <w:keepLines/>
        <w:spacing w:line="240" w:lineRule="auto"/>
        <w:ind w:firstLine="0"/>
      </w:pPr>
      <w:r>
        <w:rPr>
          <w:rFonts w:ascii="Times New Roman" w:hAnsi="Times New Roman"/>
          <w:b/>
          <w:bCs/>
          <w:sz w:val="24"/>
        </w:rPr>
        <w:t xml:space="preserve">c</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d</w:t>
      </w:r>
      <w:r>
        <w:rPr>
          <w:rFonts w:ascii="Times New Roman" w:hAnsi="Times New Roman"/>
          <w:sz w:val="24"/>
        </w:rPr>
        <w:t xml:space="preserve">, Direct comparisons of LigandSeek2-Find with LigandSeek using CryoAtom2-reconstructed receptors. LigandSeek2-Find performs better, comparably or worse on 79/69/31 PDB entries for all ligands and 27/46/21 for small molecules, respectively.</w:t>
      </w:r>
    </w:p>
    <w:p>
      <w:pPr>
        <w:pStyle w:val="ImageCaption"/>
        <w:keepNext w:val="0"/>
        <w:keepLines/>
        <w:spacing w:line="240" w:lineRule="auto"/>
        <w:ind w:firstLine="0"/>
      </w:pPr>
      <w:r>
        <w:rPr>
          <w:rFonts w:ascii="Times New Roman" w:hAnsi="Times New Roman"/>
          <w:b/>
          <w:bCs/>
          <w:sz w:val="24"/>
        </w:rPr>
        <w:t xml:space="preserve">e</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f</w:t>
      </w:r>
      <w:r>
        <w:rPr>
          <w:rFonts w:ascii="Times New Roman" w:hAnsi="Times New Roman"/>
          <w:sz w:val="24"/>
        </w:rPr>
        <w:t xml:space="preserve">, One-to-one precision and recall at a threshold of 0.3 using CryoAtom2-reconstructed receptors. Each point represents one PDB entry; open white circles and thick bars indicate the median and interquartile range, respectively.</w:t>
      </w:r>
    </w:p>
    <w:p>
      <w:pPr>
        <w:pStyle w:val="TableCaption"/>
        <w:keepNext/>
        <w:spacing w:line="480" w:lineRule="auto"/>
        <w:ind w:firstLine="0"/>
        <w:pageBreakBefore/>
      </w:pPr>
      <w:r>
        <w:rPr>
          <w:rFonts w:ascii="Times New Roman" w:hAnsi="Times New Roman"/>
          <w:b/>
          <w:i w:val="0"/>
          <w:sz w:val="24"/>
        </w:rPr>
        <w:t xml:space="preserve">Table 3 | Stage 1 detection performance of two LigandSeek generations on the full test set and small-molecule test subset.</w:t>
      </w:r>
    </w:p>
    <w:tbl>
      <w:tblPr>
        <w:tblW w:type="pct" w:w="5000"/>
        <w:tblLayout w:type="fixed"/>
        <w:tblCaption w:val="Table 3 | Stage 1 detection performance of two LigandSeek generations on the full test set and small-molecule test subset."/>
        <w:tblDescription w:val="MDBOOKTABS_{&quot;headers&quot;:2,&quot;groups&quot;:[2,5],&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9029"/>
            <w:gridSpan w:val="7"/>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i/>
                <w:iCs/>
                <w:sz w:val="20"/>
              </w:rPr>
              <w:t xml:space="preserve">All ligands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0.355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0.261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0.419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0.315</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0.558</w:t>
            </w:r>
          </w:p>
        </w:tc>
      </w:tr>
      <w:tr>
        <w:trPr>
          <w:cantSplit/>
        </w:trPr>
        <w:tc>
          <w:tcPr>
            <w:tcW w:type="dxa" w:w="9029"/>
            <w:gridSpan w:val="7"/>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i/>
                <w:iCs/>
                <w:sz w:val="20"/>
              </w:rPr>
              <w:t xml:space="preserve">Small molecules</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0.511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0.621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0.499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0.576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0.701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0.605</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values indicate the higher score in each column within each ligand group.</w:t>
      </w:r>
    </w:p>
    <w:bookmarkEnd w:id="12"/>
    <w:bookmarkStart w:id="13" w:name="stage-1-ablation-of-ligandseek2-find"/>
    <w:p>
      <w:pPr>
        <w:pStyle w:val="Heading2"/>
        <w:keepNext/>
        <w:spacing w:line="480" w:lineRule="auto"/>
        <w:ind w:firstLine="0"/>
      </w:pPr>
      <w:r>
        <w:rPr>
          <w:rFonts w:ascii="Times New Roman" w:hAnsi="Times New Roman"/>
          <w:sz w:val="24"/>
        </w:rPr>
        <w:t xml:space="preserve">Stage 1: Ablation of LigandSeek2-Find</w:t>
      </w:r>
    </w:p>
    <w:p>
      <w:pPr>
        <w:pStyle w:val="FirstParagraph"/>
        <w:spacing w:line="480" w:lineRule="auto" w:after="120"/>
        <w:ind w:firstLine="480"/>
      </w:pPr>
      <w:r>
        <w:rPr>
          <w:rFonts w:ascii="Times New Roman" w:hAnsi="Times New Roman"/>
          <w:sz w:val="24"/>
        </w:rPr>
        <w:t xml:space="preserve">As shown in Table 4, we compared six model variants on the same full test set to assess the contributions of individual designs to ligand detection. Starting with a 3D U-Net receiving experimental density alone(Density only), we added difference density(+ Difference density), a multi-view density bank(+ Density bank) and receptor-atom features(+ Receptor features). We then introduced centroid-aware positional encoding in the receptor embedding head(+ Centroid encoding), followed by the final LigandSeek2-Find model. The final model used receptor-atom binding probabilities predicted by the point-cloud branch for Gaussian candidate scoring, while other models used conventional inference without Gaussian candidate scoring.</w:t>
      </w:r>
    </w:p>
    <w:p>
      <w:pPr>
        <w:pStyle w:val="BodyText"/>
        <w:spacing w:line="480" w:lineRule="auto" w:after="120"/>
        <w:ind w:firstLine="480"/>
      </w:pPr>
      <w:r>
        <w:rPr>
          <w:rFonts w:ascii="Times New Roman" w:hAnsi="Times New Roman"/>
          <w:sz w:val="24"/>
        </w:rPr>
        <w:t xml:space="preserve">According to Table 4, adding difference density improved all metrics under both GT and CA2 conditions. Moreover, the multi-view density bank further improved overall detection ability. It is noteworthy that when constructing multi-view density bank, the deterministic transformations of the same experimental and simulated receptor density do not add any additional information, but highlight ligand signals across contrasts and spatial scales while suppressing dominant receptor density.</w:t>
      </w:r>
    </w:p>
    <w:p>
      <w:pPr>
        <w:pStyle w:val="BodyText"/>
        <w:spacing w:line="480" w:lineRule="auto" w:after="120"/>
        <w:ind w:firstLine="480"/>
      </w:pPr>
      <w:r>
        <w:rPr>
          <w:rFonts w:ascii="Times New Roman" w:hAnsi="Times New Roman"/>
          <w:sz w:val="24"/>
        </w:rPr>
        <w:t xml:space="preserve">Futhermore, we can observe that injecting the receptor information explicitly, adding centroid-aware positional encoding in the receptor embedding head, and introducing Gaussian scoring during inference also generally raise model performance to varying degrees. We refer to the model with all components as LigandSeek2-Find, which has the best overall performance.</w:t>
      </w:r>
    </w:p>
    <w:p>
      <w:pPr>
        <w:pStyle w:val="TableCaption"/>
        <w:keepNext/>
        <w:spacing w:line="480" w:lineRule="auto"/>
        <w:ind w:firstLine="0"/>
        <w:pageBreakBefore/>
      </w:pPr>
      <w:r>
        <w:rPr>
          <w:rFonts w:ascii="Times New Roman" w:hAnsi="Times New Roman"/>
          <w:b/>
          <w:i w:val="0"/>
          <w:sz w:val="24"/>
        </w:rPr>
        <w:t xml:space="preserve">Table 4 | Internal ablation of LigandSeek2-Find on the full test set.</w:t>
      </w:r>
    </w:p>
    <w:tbl>
      <w:tblPr>
        <w:tblW w:type="pct" w:w="5000"/>
        <w:tblLayout w:type="fixed"/>
        <w:tblCaption w:val="Table 4 | Internal ablation of LigandSeek2-Find on the full test set."/>
        <w:tblDescription w:val="MDBOOKTABS_{&quot;headers&quot;:2,&quot;groups&quot;:[],&quot;widths&quot;:[0.28,0.12,0.12,0.12,0.12,0.12,0.12],&quot;pagination&quot;:&quot;rows&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Model</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receptors</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Deposited receptors</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LigandSeek2-Find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ascii="Times New Roman" w:hAnsi="Times New Roman"/>
          <w:sz w:val="18"/>
        </w:rPr>
        <w:t xml:space="preserve">Dice denotes semantic Dice; PRAUC denotes one-to-one PRAUC, with subscripts indicating bidirectional coverage thresholds between predicted and ground-truth regions. CA2 denotes CryoAtom2-reconstructed receptors; deposited receptors correspond to GT. Bold and underlined values indicate the highest and second-highest scores in each column, respectively.</w:t>
      </w:r>
    </w:p>
    <w:bookmarkEnd w:id="13"/>
    <w:bookmarkStart w:id="27" w:name="X7447a9e5caf90b4ee554482f474f1df31125c00"/>
    <w:p>
      <w:pPr>
        <w:pStyle w:val="Heading2"/>
        <w:keepNext/>
        <w:spacing w:line="480" w:lineRule="auto"/>
        <w:ind w:firstLine="0"/>
      </w:pPr>
      <w:r>
        <w:rPr>
          <w:rFonts w:ascii="Times New Roman" w:hAnsi="Times New Roman"/>
          <w:sz w:val="24"/>
        </w:rPr>
        <w:t xml:space="preserve">Stage 3: End-to-end ligand instance completion</w:t>
      </w:r>
    </w:p>
    <w:bookmarkStart w:id="14" w:name="evaluation-protocol-completion"/>
    <w:p>
      <w:pPr>
        <w:pStyle w:val="Heading3"/>
        <w:keepNext/>
        <w:spacing w:line="480" w:lineRule="auto"/>
        <w:ind w:firstLine="0"/>
      </w:pPr>
      <w:r>
        <w:rPr>
          <w:rFonts w:ascii="Times New Roman" w:hAnsi="Times New Roman"/>
          <w:sz w:val="24"/>
        </w:rPr>
        <w:t xml:space="preserve">Evaluation protocol (completion)</w:t>
      </w:r>
    </w:p>
    <w:p>
      <w:pPr>
        <w:pStyle w:val="FirstParagraph"/>
        <w:spacing w:line="480" w:lineRule="auto" w:after="120"/>
        <w:ind w:firstLine="480"/>
      </w:pPr>
      <w:r>
        <w:rPr>
          <w:rFonts w:ascii="Times New Roman" w:hAnsi="Times New Roman"/>
          <w:sz w:val="24"/>
        </w:rPr>
        <w:t xml:space="preserve">Top-k success measures whether an end-to-end pipeline successfully processes at least one ligand instance in a complex within a specified attempt budget. We extended this assessment with the ligand completion ratio, which measures the</w:t>
      </w:r>
      <w:r>
        <w:rPr>
          <w:rFonts w:ascii="Times New Roman" w:hAnsi="Times New Roman"/>
          <w:sz w:val="24"/>
        </w:rPr>
        <w:t xml:space="preserve"> </w:t>
      </w:r>
      <w:r>
        <w:rPr>
          <w:rFonts w:ascii="Times New Roman" w:hAnsi="Times New Roman"/>
          <w:b/>
          <w:bCs/>
          <w:sz w:val="24"/>
        </w:rPr>
        <w:t xml:space="preserve">proportion</w:t>
      </w:r>
      <w:r>
        <w:rPr>
          <w:rFonts w:ascii="Times New Roman" w:hAnsi="Times New Roman"/>
          <w:sz w:val="24"/>
        </w:rPr>
        <w:t xml:space="preserve"> </w:t>
      </w:r>
      <w:r>
        <w:rPr>
          <w:rFonts w:ascii="Times New Roman" w:hAnsi="Times New Roman"/>
          <w:sz w:val="24"/>
        </w:rPr>
        <w:t xml:space="preserve">of ligand instances processed successfully at a specified relative attempt budget.</w:t>
      </w:r>
    </w:p>
    <w:p>
      <w:pPr>
        <w:pStyle w:val="BodyText"/>
        <w:spacing w:line="480" w:lineRule="auto" w:after="120"/>
        <w:ind w:firstLine="480"/>
      </w:pPr>
      <w:r>
        <w:rPr>
          <w:rFonts w:ascii="Times New Roman" w:hAnsi="Times New Roman"/>
          <w:sz w:val="24"/>
        </w:rPr>
        <w:t xml:space="preserve">For a PDB entry containing</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ground-truth ligands, let</w:t>
      </w:r>
      <w:r>
        <w:rPr>
          <w:rFonts w:ascii="Times New Roman" w:hAnsi="Times New Roman"/>
          <w:sz w:val="24"/>
        </w:rPr>
        <w:t xml:space="preserve"> </w:t>
      </w:r>
      <m:oMath>
        <m:r>
          <m:t>f</m:t>
        </m:r>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denote the number of ligand instances successfully processed within</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charged attempts. Whereas top-k success uses the absolute number of charged attempts</w:t>
      </w:r>
      <w:r>
        <w:rPr>
          <w:rFonts w:ascii="Times New Roman" w:hAnsi="Times New Roman"/>
          <w:sz w:val="24"/>
        </w:rPr>
        <w:t xml:space="preserve"> </w:t>
      </w:r>
      <m:oMath>
        <m:r>
          <m:t>t</m:t>
        </m:r>
      </m:oMath>
      <w:r>
        <w:rPr>
          <w:rFonts w:ascii="Times New Roman" w:hAnsi="Times New Roman"/>
          <w:sz w:val="24"/>
        </w:rPr>
        <w:t xml:space="preserve">, ligand completion ratio uses the relative attempt budget</w:t>
      </w:r>
      <w:r>
        <w:rPr>
          <w:rFonts w:ascii="Times New Roman" w:hAnsi="Times New Roman"/>
          <w:sz w:val="24"/>
        </w:rPr>
        <w:t xml:space="preserve"> </w:t>
      </w:r>
      <m:oMath>
        <m:r>
          <m:t>ρ</m:t>
        </m:r>
        <m:r>
          <m:rPr>
            <m:sty m:val="p"/>
          </m:rPr>
          <m:t>=</m:t>
        </m:r>
        <m:f>
          <m:fPr>
            <m:type m:val="bar"/>
          </m:fPr>
          <m:num>
            <m:r>
              <m:t>t</m:t>
            </m:r>
          </m:num>
          <m:den>
            <m:r>
              <m:t>N</m:t>
            </m:r>
          </m:den>
        </m:f>
      </m:oMath>
      <w:r>
        <w:rPr>
          <w:rFonts w:ascii="Times New Roman" w:hAnsi="Times New Roman"/>
          <w:sz w:val="24"/>
        </w:rPr>
        <w:t xml:space="preserve">. Correspondingly, the binary outcome indicating whether any ligand instance was successfully processed becomes the fraction of successfully processed ligands,</w:t>
      </w:r>
      <w:r>
        <w:rPr>
          <w:rFonts w:ascii="Times New Roman" w:hAnsi="Times New Roman"/>
          <w:sz w:val="24"/>
        </w:rPr>
        <w:t xml:space="preserve"> </w:t>
      </w:r>
      <m:oMath>
        <m:f>
          <m:fPr>
            <m:type m:val="bar"/>
          </m:fPr>
          <m:num>
            <m:r>
              <m:t>f</m:t>
            </m:r>
            <m:r>
              <m:rPr>
                <m:sty m:val="p"/>
              </m:rPr>
              <m:t>(</m:t>
            </m:r>
            <m:r>
              <m:t>t</m:t>
            </m:r>
            <m:r>
              <m:rPr>
                <m:sty m:val="p"/>
              </m:rPr>
              <m:t>)</m:t>
            </m:r>
          </m:num>
          <m:den>
            <m:r>
              <m:t>N</m:t>
            </m:r>
          </m:den>
        </m:f>
      </m:oMath>
      <w:r>
        <w:rPr>
          <w:rFonts w:ascii="Times New Roman" w:hAnsi="Times New Roman"/>
          <w:sz w:val="24"/>
        </w:rPr>
        <w:t xml:space="preserve">, at relative budget</w:t>
      </w:r>
      <w:r>
        <w:rPr>
          <w:rFonts w:ascii="Times New Roman" w:hAnsi="Times New Roman"/>
          <w:sz w:val="24"/>
        </w:rPr>
        <w:t xml:space="preserve"> </w:t>
      </w:r>
      <m:oMath>
        <m:r>
          <m:t>ρ</m:t>
        </m:r>
      </m:oMath>
      <w:r>
        <w:rPr>
          <w:rFonts w:ascii="Times New Roman" w:hAnsi="Times New Roman"/>
          <w:sz w:val="24"/>
        </w:rPr>
        <w:t xml:space="preserve">. We report results for</w:t>
      </w:r>
      <w:r>
        <w:rPr>
          <w:rFonts w:ascii="Times New Roman" w:hAnsi="Times New Roman"/>
          <w:sz w:val="24"/>
        </w:rPr>
        <w:t xml:space="preserve"> </w:t>
      </w:r>
      <m:oMath>
        <m:r>
          <m:t>ρ</m:t>
        </m:r>
        <m:r>
          <m:rPr>
            <m:sty m:val="p"/>
          </m:rPr>
          <m:t>∈</m:t>
        </m:r>
        <m:r>
          <m:rPr>
            <m:sty m:val="p"/>
          </m:rPr>
          <m:t>[</m:t>
        </m:r>
        <m:r>
          <m:t>0</m:t>
        </m:r>
        <m:r>
          <m:rPr>
            <m:sty m:val="p"/>
          </m:rPr>
          <m:t>,</m:t>
        </m:r>
        <m:r>
          <m:t>300</m:t>
        </m:r>
        <m:r>
          <m:rPr>
            <m:sty m:val="p"/>
          </m:rPr>
          <m:t>%</m:t>
        </m:r>
        <m:r>
          <m:rPr>
            <m:sty m:val="p"/>
          </m:rPr>
          <m:t>]</m:t>
        </m:r>
      </m:oMath>
      <w:r>
        <w:rPr>
          <w:rFonts w:ascii="Times New Roman" w:hAnsi="Times New Roman"/>
          <w:sz w:val="24"/>
        </w:rPr>
        <w:t xml:space="preserve"> </w:t>
      </w:r>
      <w:r>
        <w:rPr>
          <w:rFonts w:ascii="Times New Roman" w:hAnsi="Times New Roman"/>
          <w:sz w:val="24"/>
        </w:rPr>
        <w:t xml:space="preserve">with rounding the actual attempt budget down to</w:t>
      </w:r>
      <w:r>
        <w:rPr>
          <w:rFonts w:ascii="Times New Roman" w:hAnsi="Times New Roman"/>
          <w:sz w:val="24"/>
        </w:rPr>
        <w:t xml:space="preserve"> </w:t>
      </w:r>
      <m:oMath>
        <m:r>
          <m:rPr>
            <m:sty m:val="p"/>
          </m:rPr>
          <m:t>⌊</m:t>
        </m:r>
        <m:r>
          <m:t>ρ</m:t>
        </m:r>
        <m:sSub>
          <m:e>
            <m:r>
              <m:t>N</m:t>
            </m:r>
          </m:e>
          <m:sub>
            <m:r>
              <m:t>p</m:t>
            </m:r>
          </m:sub>
        </m:sSub>
        <m:r>
          <m:rPr>
            <m:sty m:val="p"/>
          </m:rPr>
          <m:t>⌋</m:t>
        </m:r>
      </m:oMath>
      <w:r>
        <w:rPr>
          <w:rFonts w:ascii="Times New Roman" w:hAnsi="Times New Roman"/>
          <w:sz w:val="24"/>
        </w:rPr>
        <w:t xml:space="preserve"> </w:t>
      </w:r>
      <w:r>
        <w:rPr>
          <w:rFonts w:ascii="Times New Roman" w:hAnsi="Times New Roman"/>
          <w:sz w:val="24"/>
        </w:rPr>
        <w:t xml:space="preserve">charged attempts.</w:t>
      </w:r>
    </w:p>
    <w:p>
      <w:pPr>
        <w:pStyle w:val="BodyText"/>
        <w:spacing w:line="480" w:lineRule="auto" w:after="120"/>
        <w:ind w:firstLine="480"/>
      </w:pPr>
      <w:r>
        <w:rPr>
          <w:rFonts w:ascii="Times New Roman" w:hAnsi="Times New Roman"/>
          <w:sz w:val="24"/>
        </w:rPr>
        <w:t xml:space="preserve">Like top-k success, ligand completion ratio evaluates two basic end-to-end capabilities of our pipeline. These comprise detection and identity matching across all ligand categories, and detection, identity matching and modelling of single-residue organic small molecules with no missing atoms. Both metrics use the same accounting rules and test sets for each task. The all-ligand test set contains 179 PDBs and 2,502 ligand instances; the small-molecule subset contains 77 PDBs and 446 instances. Each task was also evaluated with deposited receptors (GT) and CryoAtom2-reconstructed receptors (CA2).</w:t>
      </w:r>
    </w:p>
    <w:bookmarkEnd w:id="14"/>
    <w:bookmarkStart w:id="18" w:name="Xbdcaae8a136983a9d1999feee734ec1bc4e6108"/>
    <w:p>
      <w:pPr>
        <w:pStyle w:val="Heading3"/>
        <w:keepNext/>
        <w:spacing w:line="480" w:lineRule="auto"/>
        <w:ind w:firstLine="0"/>
      </w:pPr>
      <w:r>
        <w:rPr>
          <w:rFonts w:ascii="Times New Roman" w:hAnsi="Times New Roman"/>
          <w:sz w:val="24"/>
        </w:rPr>
        <w:t xml:space="preserve">Fair Find–correct Match–Build comparison with Emap2lig</w:t>
      </w:r>
    </w:p>
    <w:p>
      <w:pPr>
        <w:pStyle w:val="FirstParagraph"/>
        <w:spacing w:line="480" w:lineRule="auto" w:after="120"/>
        <w:ind w:firstLine="480"/>
      </w:pPr>
      <w:r>
        <w:rPr>
          <w:rFonts w:ascii="Times New Roman" w:hAnsi="Times New Roman"/>
          <w:sz w:val="24"/>
        </w:rPr>
        <w:t xml:space="preserve">To compare the combined detection and modelling capabilities directly, we supplied both LigandSeek and Emap2lig with the correct ligand SMILES</w:t>
      </w:r>
      <w:r>
        <w:rPr>
          <w:rFonts w:ascii="Times New Roman" w:hAnsi="Times New Roman"/>
          <w:sz w:val="24"/>
        </w:rPr>
        <w:t xml:space="preserve"> </w:t>
      </w:r>
      <w:r>
        <w:rPr>
          <w:rFonts w:ascii="Times New Roman" w:hAnsi="Times New Roman"/>
          <w:sz w:val="24"/>
        </w:rPr>
        <w:t xml:space="preserve">(</w:t>
      </w:r>
      <w:r>
        <w:rPr>
          <w:rStyle w:val="MDFIGREF_eJyrrk7LTC9KTbMqLi0o0E3LzEvRTc4vKkpNLtHNTSxJztBNKs3MSamtBQBErw_K"/>
          <w:rFonts w:ascii="Times New Roman" w:hAnsi="Times New Roman"/>
          <w:sz w:val="24"/>
        </w:rPr>
        <w:t xml:space="preserve">Fig. 2</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We evaluated Find–correct Match–Build completion on the same 77 PDBs containing 446 single-residue organic small molecules with no missing atoms. LigandSeek used PocketXMol-tuned centre docking guided by predicted blob centroids, whereas Emap2lig used its native blob-guided Build model. Background candidates consumed one attempt, and out-of-scope foreground candidates were skipped without charge. Undetected instances remained in the full denominator throughout the completion analysis.</w:t>
      </w:r>
    </w:p>
    <w:p>
      <w:pPr>
        <w:pStyle w:val="BodyText"/>
        <w:spacing w:line="480" w:lineRule="auto" w:after="120"/>
        <w:ind w:firstLine="480"/>
      </w:pPr>
      <w:r>
        <w:rPr>
          <w:rFonts w:ascii="Times New Roman" w:hAnsi="Times New Roman"/>
          <w:sz w:val="24"/>
        </w:rPr>
        <w:t xml:space="preserve">For top-1 poses with RMSD &lt;3 Å, mean completion at a 100% budget was 63.2% for GT, 49.6% for CA2 and 38.2% for Emap2lig. Increasing the budget to 300% raised these values to 64.2%, 55.0% and 43.3%, respectively. Using best-of-50 poses at the same threshold, completion at a 100% budget reached 70.5%, 58.0% and 42.5%, respectively. At a 300% budget, the corresponding completion values were 71.5%, 66.3% and 50.0%, respectively. With correct identities supplied to both pipelines, LigandSeek completed more instances, demonstrating its combined advantage in localisation and pose reconstruction.</w:t>
      </w:r>
    </w:p>
    <w:p>
      <w:pPr>
        <w:pStyle w:val="BodyText"/>
        <w:spacing w:line="480" w:lineRule="auto" w:after="120"/>
        <w:ind w:firstLine="480"/>
      </w:pPr>
      <w:r>
        <w:rPr>
          <w:rFonts w:ascii="Times New Roman" w:hAnsi="Times New Roman"/>
          <w:sz w:val="24"/>
        </w:rPr>
        <w:t xml:space="preserve">The gap between best-of-50 and top-1 completion showed that some correct poses had been generated but were not ranked first. With either receptor input, the combination of LigandSeek-Find and PocketXMol-tuned recovered more small-molecule instances within the same attempt budget.</w:t>
      </w:r>
    </w:p>
    <w:p>
      <w:pPr>
        <w:pStyle w:val="CaptionedFigure"/>
        <w:keepNext/>
        <w:spacing w:line="240" w:lineRule="auto" w:before="0" w:after="0"/>
        <w:ind w:firstLine="0"/>
        <w:jc w:val="center"/>
      </w:pPr>
      <w:r>
        <w:rPr>
          <w:rFonts w:ascii="Times New Roman" w:hAnsi="Times New Roman"/>
          <w:sz w:val="24"/>
        </w:rPr>
        <w:drawing>
          <wp:inline>
            <wp:extent cx="5029200" cy="6429510"/>
            <wp:effectExtent b="0" l="0" r="0" t="0"/>
            <wp:docPr descr="Fig. 2 | Find–Build completion of single-residue organic small molecules with no missing atoms, assuming correct ligand identities. Every panel contains the same 77 PDBs and 446 instances. a–d, Emap2lig. e–h, LigandSeek with CryoAtom2 receptors. i–l, LigandSeek with deposited receptors. Within each group, top and bottom rows show top-1 and best-of-50 poses; left and right columns require heavy-atom RMSD strictly &lt;2\,\mathrm{Å} and &lt;3\,\mathrm{Å}.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 N target instances per PDB, relative budget \rho allows \lfloor\rho N\rfloor charged attempts. Completion is the number of distinct successful instances divided by N. Green lines and circles show the PDB-equal mean, and blue lines and diamonds show the median. Grey points and violins show PDB distributions at 50\%, 100\%, 200\% and 300\% budgets." title="MDPPTFIG_eJztGttuGzf2Vw4EbJ8kjay1ElhtDCROXBSwAyNu0AKrhUFxjjSEOSRLciSr2wXah6Do7WmLfdkf6EOxfehTW6D7sB_QfwiQtp_Rc4YjWW68QJpeEGFlQB7OufHcyHNE8W8tJ2LRGkLrh0-_efKvb7NDZfLOsYiy6NyplM6fPPr8yVdfPvniq--_-LTrXLxotaHlMVg9w5z5Doaj0cOAPoxGO4O9nb3R6C6G82jdaPTjv7_-_p_v__jJBz989p_RKE0wGj3TDEaUyNJD5VxnwhzSeo8ydsqac8ycTJir4LRYnM1VnuwYdAfKMEYKF5U1Z6Xw55Uj1F9ar8yHDi5KbcJwfmvUKmJ0wywLssBShK51aAg5sZ7moFc_zebW585biSEoMy111u_1bmSlUGbU2mdpJ75-nMaFRpgPZ0KT3NdKMcWDND3TZUsKpj1HdPfxIq6oew3JErEkOlIGwwrTvM2HwQlJuhC7JhDx93dJQvP6oNIMElW0jdSGnDnJi0Q2UT7Eo8S6nJowSctkTvrXjA-tiYH4RJBKEc_rqsQA93EOD2wpTD11cduEa3G11CSChY3r93E9PEi21U9S8-2VP_q7S9XfTuxJkciBq81hzR2lIPoZEumhmnahD-8AJ9bjd_9RJxVIWzqNHAGwE-DoaewQk8orBAqtMEpCKIXWUFqNkhxHVqpYgLFQqjreIKItQxtECFXJ700OglbEn4PK0UQVFYYuKxqTur-rB3-Fn2ADdLw3Q78AJwxqcraJtNACxAIh0H4AN2_Cyd07Adj3u7s3gJBRGFqcXRAU-LwN90rh-poTAglQtOGojtQp4nkK7oFf2NsU1T5QINFF64lZEa1-mjZHZ4OKmK_TvkEYZQCFLGDqbeXaQHtdrdLYRpIM3s4DhMLOGdHZSSgMsWMnnUEPSCaGl0HjJNYor6ZFJGN1VZKtHt-qlEcoUMwWHc4_eHB8ehdC9EpGvdiAGF7Ns3Joaa8vml23fKZd104mSuJdK6uSFthyz40F61EmobUS5TDEBZSNnq5Ws4bVz4Yk7r-k48sMiAm8khH3-9eDH7_7wXWIXzLnfx9dkZA1btiMmL2YOtJi2QAtNyj7_7zN_hSzLqS6M9Z2nGp8cNbkXPGjpU0akEqKGlOHd7VhqOuCmmEqUcvm4PT4taN7p931clLRlr_sQRx1E3Bi5TnGN4-t7sTKUIWRFGra9nOCE1kb5gV6FGFV0JIIRd4yItKUMK1UrSDr3IU7Qp5zNeJSQwAqkSRMFsJPkaoilxlb1QUoSMo4oHTDp8jDuXIO8y48NDlGsoTUYs6JUJqGq2JLVnMDTIDabOqBLDVHVKp8Fw6t367R5UK6v1GLYBNKQOSEjmup6NBzS9imnNRpXYyrnEg2wJY_KAm_e2-bhb91I6I1tfgboOgL14s8_vjD63uOn2Xp_9hCn2vGj7b5_xvr2PQVIGLE0lGmwMHlYYtKzZCpyjHtzXYCuQpRGeqLQiX5HG1S6bUNPFczlZOs8fab7Yb2DV141SMa4OPHdDQjlZd8mpbOQCgZqEJ38K1KUOeMwqR-dKwrXOPJlSip5V5jKpFgppa-AGcVG8uUM2U1nwrVhCS5TjCvxhWnH5Fsa_8qkQa9X7t9_mmjUrG9Df0y9Du9bexfOB3_oNj3_99ivwlN0_b0cv3kcZuhL56O6eTkZz9l0n-33_prG1qrn9Fbg15_j-J6cWO3vzfY6b3zilNySJ8mT8Qz5Unuxfypn9QbCSTreWQQW6w8rsT4507YdJpE7WShXGAvsoVmdqIk-5Bf5P3ZiYccg-RZDoZZfQUiq29AZM0FiGz9_kPG35XITFMRi3LxbKKmpGw4kzvVFKd-N0uAsx7_9bvOTMkQlZP0nZs04gsRND5Z2kihWelxqVJSULAHj6w8D2DsQSHMFG97b-cFijywQJa3RASHMiYgybxkXZsgSc2ecsJYK3eotOYZeVzzp4GgFesxyoKHE6J5QLPU-CsvK6Lsqjx-C448PJ4f23z9SoMYXkx8yU8KHFzcqi8xwOLW8jJDDWc0X7GQjG_SlagkkzVZ2xDX9y2yS6HOh_gq2hJ4QNR8op-mFbOjkGgvR0tqxhubVM8uh2KoDfBFk71Bf5CkXEvFcblXX8FYG4thFEovwetjbRp_BbeKC332W3__CVzbPFs" id="16" name="Picture"/>
            <a:graphic>
              <a:graphicData uri="http://schemas.openxmlformats.org/drawingml/2006/picture">
                <pic:pic>
                  <pic:nvPicPr>
                    <pic:cNvPr descr="C:/Users/15919/Desktop/论文草稿/temp/manuscript_figures_c1ugegr4/figure_000002.png" id="17" name="Picture"/>
                    <pic:cNvPicPr>
                      <a:picLocks noChangeArrowheads="1" noChangeAspect="1"/>
                    </pic:cNvPicPr>
                  </pic:nvPicPr>
                  <pic:blipFill>
                    <a:blip r:embed="rId15"/>
                    <a:stretch>
                      <a:fillRect/>
                    </a:stretch>
                  </pic:blipFill>
                  <pic:spPr bwMode="auto">
                    <a:xfrm>
                      <a:off x="0" y="0"/>
                      <a:ext cx="5029200" cy="642951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2 | Find–Build completion of single-residue organic small molecules with no missing atoms, assuming correct ligand identities.</w:t>
      </w:r>
      <w:r>
        <w:rPr>
          <w:rFonts w:ascii="Times New Roman" w:hAnsi="Times New Roman"/>
          <w:sz w:val="24"/>
        </w:rPr>
        <w:t xml:space="preserve"> </w:t>
      </w:r>
      <w:r>
        <w:rPr>
          <w:rFonts w:ascii="Times New Roman" w:hAnsi="Times New Roman"/>
          <w:sz w:val="24"/>
        </w:rPr>
        <w:t xml:space="preserve">Every panel contains the same 77 PDBs and 446 instances. a–d, Emap2lig. e–h, LigandSeek with CryoAtom2 receptors. i–l, LigandSeek with deposited receptors. Within each group, top and bottom rows show top-1 and best-of-50 poses; left and right columns require heavy-atom RMSD strictly</w:t>
      </w:r>
      <w:r>
        <w:rPr>
          <w:rFonts w:ascii="Times New Roman" w:hAnsi="Times New Roman"/>
          <w:sz w:val="24"/>
        </w:rPr>
        <w:t xml:space="preserve"> </w:t>
      </w:r>
      <m:oMath>
        <m:r>
          <m:rPr>
            <m:sty m:val="p"/>
          </m:rPr>
          <m:t>&lt;</m:t>
        </m:r>
        <m:r>
          <m:t>2</m:t>
        </m:r>
        <m:r>
          <m:t> </m:t>
        </m:r>
        <m:r>
          <m:rPr>
            <m:sty m:val="p"/>
          </m:rPr>
          <m:t>Å</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rPr>
            <m:sty m:val="p"/>
          </m:rPr>
          <m:t>&lt;</m:t>
        </m:r>
        <m:r>
          <m:t>3</m:t>
        </m:r>
        <m:r>
          <m:t> </m:t>
        </m:r>
        <m:r>
          <m:rPr>
            <m:sty m:val="p"/>
          </m:rPr>
          <m:t>Å</m:t>
        </m:r>
      </m:oMath>
      <w:r>
        <w:rPr>
          <w:rFonts w:ascii="Times New Roman" w:hAnsi="Times New Roman"/>
          <w:sz w:val="24"/>
        </w:rPr>
        <w:t xml:space="preserve">. Every blob corresponding to an eligible small molecule receives the correct SMILES. LigandSeek uses single-pass PocketXMol-tuned centre docking, whereas Emap2lig uses its native guiding blob. Background blobs are charged, and out-of-scope foreground blobs are skipped. Undetected and failed instances remain in the denominator.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target instances per PDB, relative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Completion is the number of distinct successful instances divided by</w:t>
      </w:r>
      <w:r>
        <w:rPr>
          <w:rFonts w:ascii="Times New Roman" w:hAnsi="Times New Roman"/>
          <w:sz w:val="24"/>
        </w:rPr>
        <w:t xml:space="preserve"> </w:t>
      </w:r>
      <m:oMath>
        <m:r>
          <m:t>N</m:t>
        </m:r>
      </m:oMath>
      <w:r>
        <w:rPr>
          <w:rFonts w:ascii="Times New Roman" w:hAnsi="Times New Roman"/>
          <w:sz w:val="24"/>
        </w:rPr>
        <w:t xml:space="preserve">. Green lines and circles show the PDB-equal mean, and blue lines and diamonds show the median. Grey points and violins show PDB distributions at</w:t>
      </w:r>
      <w:r>
        <w:rPr>
          <w:rFonts w:ascii="Times New Roman" w:hAnsi="Times New Roman"/>
          <w:sz w:val="24"/>
        </w:rPr>
        <w:t xml:space="preserve"> </w:t>
      </w:r>
      <m:oMath>
        <m:r>
          <m:t>50</m:t>
        </m:r>
        <m:r>
          <m:rPr>
            <m:sty m:val="p"/>
          </m:rPr>
          <m:t>%</m:t>
        </m:r>
      </m:oMath>
      <w:r>
        <w:rPr>
          <w:rFonts w:ascii="Times New Roman" w:hAnsi="Times New Roman"/>
          <w:sz w:val="24"/>
        </w:rPr>
        <w:t xml:space="preserve">,</w:t>
      </w:r>
      <w:r>
        <w:rPr>
          <w:rFonts w:ascii="Times New Roman" w:hAnsi="Times New Roman"/>
          <w:sz w:val="24"/>
        </w:rPr>
        <w:t xml:space="preserve"> </w:t>
      </w:r>
      <m:oMath>
        <m:r>
          <m:t>100</m:t>
        </m:r>
        <m:r>
          <m:rPr>
            <m:sty m:val="p"/>
          </m:rPr>
          <m:t>%</m:t>
        </m:r>
      </m:oMath>
      <w:r>
        <w:rPr>
          <w:rFonts w:ascii="Times New Roman" w:hAnsi="Times New Roman"/>
          <w:sz w:val="24"/>
        </w:rPr>
        <w:t xml:space="preserve">,</w:t>
      </w:r>
      <w:r>
        <w:rPr>
          <w:rFonts w:ascii="Times New Roman" w:hAnsi="Times New Roman"/>
          <w:sz w:val="24"/>
        </w:rPr>
        <w:t xml:space="preserve"> </w:t>
      </w:r>
      <m:oMath>
        <m:r>
          <m:t>200</m:t>
        </m:r>
        <m:r>
          <m:rPr>
            <m:sty m:val="p"/>
          </m:rPr>
          <m:t>%</m:t>
        </m:r>
      </m:oMath>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r>
          <m:t>300</m:t>
        </m:r>
        <m:r>
          <m:rPr>
            <m:sty m:val="p"/>
          </m:rPr>
          <m:t>%</m:t>
        </m:r>
      </m:oMath>
      <w:r>
        <w:rPr>
          <w:rFonts w:ascii="Times New Roman" w:hAnsi="Times New Roman"/>
          <w:sz w:val="24"/>
        </w:rPr>
        <w:t xml:space="preserve"> </w:t>
      </w:r>
      <w:r>
        <w:rPr>
          <w:rFonts w:ascii="Times New Roman" w:hAnsi="Times New Roman"/>
          <w:sz w:val="24"/>
        </w:rPr>
        <w:t xml:space="preserve">budgets.</w:t>
      </w:r>
    </w:p>
    <w:bookmarkEnd w:id="18"/>
    <w:bookmarkStart w:id="22" w:name="X8b9bf2ea799954d7a0607b96c625e6fec49216c"/>
    <w:p>
      <w:pPr>
        <w:pStyle w:val="Heading3"/>
        <w:keepNext/>
        <w:spacing w:line="480" w:lineRule="auto"/>
        <w:ind w:firstLine="0"/>
      </w:pPr>
      <w:r>
        <w:rPr>
          <w:rFonts w:ascii="Times New Roman" w:hAnsi="Times New Roman"/>
          <w:sz w:val="24"/>
        </w:rPr>
        <w:t xml:space="preserve">Detection and identity matching across all ligand classes</w:t>
      </w:r>
    </w:p>
    <w:p>
      <w:pPr>
        <w:pStyle w:val="FirstParagraph"/>
        <w:spacing w:line="480" w:lineRule="auto" w:after="120"/>
        <w:ind w:firstLine="480"/>
      </w:pPr>
      <w:r>
        <w:rPr>
          <w:rFonts w:ascii="Times New Roman" w:hAnsi="Times New Roman"/>
          <w:sz w:val="24"/>
        </w:rPr>
        <w:t xml:space="preserve">For detection and identity matching across all ligand classes, increasing the relative attempt budget from 100% to 300% raised mean instance completion. Completion increased from 51.1% to 58.8% for CA2 and from 62.1% to 67.5% for</w:t>
      </w:r>
      <w:r>
        <w:rPr>
          <w:rFonts w:ascii="Times New Roman" w:hAnsi="Times New Roman"/>
          <w:sz w:val="24"/>
        </w:rPr>
        <w:t xml:space="preserve"> </w:t>
      </w:r>
      <w:r>
        <w:rPr>
          <w:rFonts w:ascii="Times New Roman" w:hAnsi="Times New Roman"/>
          <w:sz w:val="24"/>
        </w:rPr>
        <w:t xml:space="preserve">GT(</w:t>
      </w:r>
      <w:r>
        <w:rPr>
          <w:rStyle w:val="MDFIGREF_eJyrrk7LTC9KTbMqLi0o0E01StVNzs8tyEktyczP003MyamtBQDpjA1c"/>
          <w:rFonts w:ascii="Times New Roman" w:hAnsi="Times New Roman"/>
          <w:sz w:val="24"/>
        </w:rPr>
        <w:t xml:space="preserve">Fig. 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w:t>
      </w:r>
      <w:r>
        <w:rPr>
          <w:rFonts w:ascii="Times New Roman" w:hAnsi="Times New Roman"/>
          <w:sz w:val="24"/>
        </w:rPr>
        <w:t xml:space="preserve"> </w:t>
      </w:r>
      <w:r>
        <w:rPr>
          <w:rFonts w:ascii="Times New Roman" w:hAnsi="Times New Roman"/>
          <w:sz w:val="24"/>
        </w:rPr>
        <w:t xml:space="preserve">instances(</w:t>
      </w:r>
      <w:r>
        <w:rPr>
          <w:rStyle w:val="MDFIGREF_eJyrrk7LTC9KTbMqLi0o0E01StVNzs8tyEktyczP003MyamtBQDpjA1c"/>
          <w:rFonts w:ascii="Times New Roman" w:hAnsi="Times New Roman"/>
          <w:sz w:val="24"/>
        </w:rPr>
        <w:t xml:space="preserve">Fig. 3</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4376907"/>
            <wp:effectExtent b="0" l="0" r="0" t="0"/>
            <wp:docPr descr="Fig. 3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9rHDcQ_yrioNDC3e3d2Y7xkhqcsxMKjjFp-tQtRqeduxXelVRJe-dL04c-9U9S6EPpS6GPpU_5ACmkH6HfodRJPkZnpL3zOUlLmjShBhvOOxr99NNoZlY70mctw33RSlnryfe_nv74KNkb7J0--OnPR_dOH9x__NV3pw9_7hrjT1pt1rLgdDmFnNDDNMs-cmBdlvU3tvpbWbYL7thrk2VPHzx8_MOXT7_9-skvv2VZpM2yf-BVvALidLUxHRhAR-jKlOClVh1elgQR3FDzqOL2uDYI_rh1dZYadlKVyqWz97NW4b1Jk8SJAiruutqAws6xthX32LSTZKZtbqwW4JxUk6pMBr3elaTiUmWtbWI7tOHxoZ-XwGbplJfI-0HFJzCM0xMuWSAIewxg9qUCF_QrrVnqDBc4DfKUqEKiwXovazXNW3VJKl573XA2cBopVY6wsbTO78ehvQaEPdGAaGn818jXtfIOx3EnpMQxt2UFjh3AjN3SFVdh6mJHuRf2BdZIQWSj0B4FcRjXFp5o5p2lYwbrC9PvxOHREE8xCcshyw3mDNgpIPS6nHTZGrvL9lTe8boDuMyzQDM9ZqWccFTm4EEEHbVkDspLP2cYR1GQR7mw2jmGmbEYIUruHLgumeGjMW_UP6_hBfa2bHwjMeQXwMNttgtGO-khZxYEGK-tY-_euP1el43abGjnesfratDBTq2ct7V4BjrcGSD2mvYFJqjKJeWiY1KJss6B9Te32OHuNYZpaSUughJw0N7oDRbZKJGUK9xmumzHs1GdT8BfAL-dz8wq1Tfxw9BssNVLbbB6PJYCdrWoK3TOYnv1BdlRRVK__fsXV5MqzBNUSTPR_9UrbQZcFCHgMuw5egb5ZTQjaTCiSh3tzo2dJpgZdDHEh03c_7j_zbnA_11CLPUHL1L_uxnvXahUe2ufhtewURTcTnC35N5DZbxrs1kBFi6A5W9pezu4TLn_2Ebcdn0BTNXVCCyViYDfWTnCEv3Z7y1KCOWedusuu10sEJ0FYrXetBwfrCEfWy4WVSi23WVCXyb0m0voZb6GZOUWmKsFHUvHdVnOm_MPbbLhhGSxMvVlc_6BvMtuWADF6BjpEiGtKJsidFTW0KhzySusXB1zhZ6FDMdXogOf1rxkFfB4sqoAYaqNla8zdOCaQjkP7HNmtCRXEWoqNXI2TFQG5RJrZjmqY1WMC9jovdNm_R79xxR6J4xaIyGWvs8cy-j4ut36BM_0y7N8a2NzbW29v3GyvrZ5Zau3efeqkSLFX5PN_KWyObd89ty5vmFArlfhwGG-trCksa_8WlkoeXBYIY2jdKEVqumhFJQs1BAH00OLsXeCZhmmSbhdScLlStLcrSSrVysJfYFxmarGIdL4o7GcoLHuSPTrCUzsehIVRz36W-saNcGFyJwyto8S3bqgfLhYI4ZmaceZSdFATh7c1-LYMaWHBVcT2LFW47ef5w5JAt-iI2RTVCLn2dCVCSJr8pwTRqU012VZ0owkh_FR4FjgWcBXgMQxYm7hLKH_XGMJSs7zUcsZ9PBodlPnq5cvPD0Z24qeGDh2Eq9b2Hx57RL01A0nngnqb9IVUYJgTdY2YESF54LUWOdvgK4YCYimtzlOy6f7LmLPpAWa-pWOpidnIk9Lxei2a2tjsBFZXoiiuOyFy6IVmaeey3KhXpVL1fjLmWVc8Lfd-vwvMYLqUw" id="20" name="Picture"/>
            <a:graphic>
              <a:graphicData uri="http://schemas.openxmlformats.org/drawingml/2006/picture">
                <pic:pic>
                  <pic:nvPicPr>
                    <pic:cNvPr descr="C:/Users/15919/Desktop/论文草稿/temp/manuscript_figures_c1ugegr4/figure_000003.png" id="21" name="Picture"/>
                    <pic:cNvPicPr>
                      <a:picLocks noChangeArrowheads="1" noChangeAspect="1"/>
                    </pic:cNvPicPr>
                  </pic:nvPicPr>
                  <pic:blipFill>
                    <a:blip r:embed="rId19"/>
                    <a:stretch>
                      <a:fillRect/>
                    </a:stretch>
                  </pic:blipFill>
                  <pic:spPr bwMode="auto">
                    <a:xfrm>
                      <a:off x="0" y="0"/>
                      <a:ext cx="5733415" cy="4376907"/>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End-to-end completion of ligand detection and identity matching across all ligand classes.</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Deposited receptors (GT). b, CryoAtom2-reconstructed receptors (CA2). Both conditions include 179 PDB entries and 2,502 ligand instances. At budget</w:t>
      </w:r>
      <w:r>
        <w:rPr>
          <w:rFonts w:ascii="Times New Roman" w:hAnsi="Times New Roman"/>
          <w:sz w:val="24"/>
        </w:rPr>
        <w:t xml:space="preserve"> </w:t>
      </w:r>
      <m:oMath>
        <m:r>
          <m:t>ρ</m:t>
        </m:r>
      </m:oMath>
      <w:r>
        <w:rPr>
          <w:rFonts w:ascii="Times New Roman" w:hAnsi="Times New Roman"/>
          <w:sz w:val="24"/>
        </w:rPr>
        <w:t xml:space="preserve">, each PDB is allowed</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where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is the number of eligible ligand instances in that PDB. The ligand-instance completion ratio is the fraction of these</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instances that are successfully detected and correctly matched. Green lines/circles and blue lines/diamonds show the PDB-equal mean and median, respectively. Grey points and violins show PDB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1 | All-ligand instance completion (%).</w:t>
      </w:r>
    </w:p>
    <w:tbl>
      <w:tblPr>
        <w:tblW w:type="pct" w:w="5000"/>
        <w:tblLayout w:type="fixed"/>
        <w:tblCaption w:val="Table 1 | All-ligand instance completion (%)."/>
        <w:tblDescription w:val="MDBOOKTABS_{&quot;headers&quot;:2,&quot;groups&quot;:[],&quot;widths&quot;:[0.16,0.21,0.21,0.21,0.21],&quot;outline&quot;:&quot;box&quot;,&quot;col-rules&quot;:&quot;1,3&quot;,&quot;pagination&quot;:&quot;rows&quot;}"/>
        <w:tblBorders>
          <w:top w:val="single" w:sz="6" w:color="000000"/>
          <w:bottom w:val="single" w:sz="6" w:color="000000"/>
          <w:left w:val="single" w:sz="6" w:color="000000"/>
          <w:right w:val="single" w:sz="6" w:color="000000"/>
          <w:insideH w:val="nil" w:sz="6" w:color="000000"/>
          <w:insideV w:val="nil" w:sz="6" w:color="000000"/>
        </w:tblBorders>
      </w:tblPr>
      <w:tblGrid>
        <w:gridCol w:w="1445"/>
        <w:gridCol w:w="1896"/>
        <w:gridCol w:w="1896"/>
        <w:gridCol w:w="1896"/>
        <w:gridCol w:w="1896"/>
      </w:tblGrid>
      <w:tr>
        <w:trPr>
          <w:tblHeader w:val="on"/>
          <w:cantSplit/>
        </w:trPr>
        <w:tc>
          <w:tcPr>
            <w:tcW w:type="dxa" w:w="1445"/>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b w:val="0"/>
                <w:sz w:val="20"/>
              </w:rPr>
              <w:t xml:space="preserve">Receptor</w:t>
            </w:r>
          </w:p>
        </w:tc>
        <w:tc>
          <w:tcPr>
            <w:tcW w:type="dxa" w:w="3792"/>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3792"/>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445"/>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left"/>
            </w:pP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1896"/>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GT</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67.5</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71.4</w:t>
            </w:r>
          </w:p>
        </w:tc>
      </w:tr>
      <w:tr>
        <w:trPr>
          <w:cantSplit/>
        </w:trPr>
        <w:tc>
          <w:tcPr>
            <w:tcW w:type="dxa" w:w="1445"/>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CA2</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51.1</w:t>
            </w:r>
          </w:p>
        </w:tc>
        <w:tc>
          <w:tcPr>
            <w:tcW w:type="dxa" w:w="1896"/>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58.8</w:t>
            </w:r>
          </w:p>
        </w:tc>
        <w:tc>
          <w:tcPr>
            <w:tcW w:type="dxa" w:w="1896"/>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60.2</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are PDB-equal macro means; medians were calculated across the same 179 PDBs.</w:t>
      </w:r>
    </w:p>
    <w:bookmarkEnd w:id="22"/>
    <w:bookmarkStart w:id="26" w:name="Xbc527d2baf04e5fbd153d8c9fd2910acde48dc6"/>
    <w:p>
      <w:pPr>
        <w:pStyle w:val="Heading3"/>
        <w:keepNext/>
        <w:spacing w:line="480" w:lineRule="auto"/>
        <w:ind w:firstLine="0"/>
      </w:pPr>
      <w:r>
        <w:rPr>
          <w:rFonts w:ascii="Times New Roman" w:hAnsi="Times New Roman"/>
          <w:sz w:val="24"/>
        </w:rPr>
        <w:t xml:space="preserve">Modelling organic small molecules with one residue and no missing atoms</w:t>
      </w:r>
    </w:p>
    <w:p>
      <w:pPr>
        <w:pStyle w:val="FirstParagraph"/>
        <w:spacing w:line="480" w:lineRule="auto" w:after="120"/>
        <w:ind w:firstLine="480"/>
      </w:pPr>
      <w:r>
        <w:rPr>
          <w:rFonts w:ascii="Times New Roman" w:hAnsi="Times New Roman"/>
          <w:sz w:val="24"/>
        </w:rPr>
        <w:t xml:space="preserve">Successful processing of a small-molecule instance requires successful detection by Find, correct identity assignment by Match and a PocketXMol-tuned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480" w:lineRule="auto" w:after="120"/>
        <w:ind w:firstLine="480"/>
      </w:pPr>
      <w:r>
        <w:rPr>
          <w:rFonts w:ascii="Times New Roman" w:hAnsi="Times New Roman"/>
          <w:sz w:val="24"/>
        </w:rPr>
        <w:t xml:space="preserve">For top-1 poses with RMSD &lt;3 Å, mean completion for CA2 was 47.7% and 53.0% at 100% and 300% budgets, respectively. The corresponding GT values were 60.1% and 61.1%</w:t>
      </w:r>
      <w:r>
        <w:rPr>
          <w:rFonts w:ascii="Times New Roman" w:hAnsi="Times New Roman"/>
          <w:sz w:val="24"/>
        </w:rPr>
        <w:t xml:space="preserve"> </w:t>
      </w:r>
      <w:r>
        <w:rPr>
          <w:rFonts w:ascii="Times New Roman" w:hAnsi="Times New Roman"/>
          <w:sz w:val="24"/>
        </w:rPr>
        <w:t xml:space="preserve">(</w:t>
      </w:r>
      <w:r>
        <w:rPr>
          <w:rStyle w:val="MDFIGREF_eJyrrk7LTC9KTbMqLi0o0E01StVNzs8tyEktyczP0y3OTczJqa0FAAWgDjw"/>
          <w:rFonts w:ascii="Times New Roman" w:hAnsi="Times New Roman"/>
          <w:sz w:val="24"/>
        </w:rPr>
        <w:t xml:space="preserve">Fig. 4</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rPr>
          <w:rFonts w:ascii="Times New Roman" w:hAnsi="Times New Roman"/>
          <w:sz w:val="24"/>
        </w:rPr>
        <w:drawing>
          <wp:inline>
            <wp:extent cx="5733415" cy="4908150"/>
            <wp:effectExtent b="0" l="0" r="0" t="0"/>
            <wp:docPr descr="Fig. 4 | End-to-end completion of single-residue organic small molecules with no missing atom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LGzcQ_yqDIaUB22v77KS3SQ8u9ycU7oK5pFDolkPeHe-K25VUSWuf0xTah9I_SaHQ0pdCH0uf8gFSSB_6AfodQi_Jx-hIu_b5crkS0jT0IAZ7R9LMT6OZn7UafdJQzGaNEBpPfvjt6KeHwVZv6-j-z389vHt0_97jr747evBLWyl72GhCQ6OR-QQTp70RRtH7BrWJou5gtbsaRZtoDqxUUfT0_oPHP3759Nuvn_z6exRVsFH0D7iCFegwTalUC3vYimWhcrRcipYpWJ47pZgp17FfMH1QKlL_sHF1Gio4LHJhwum7USOzVoVBYOIMC2baUqGgwbHUBbPU1GkwlTpRWsZoDBdpkQe9TudSUDAuosaaQxtq_7hpZznCNJywnHDfK1iKG9X0Ti-YazjdA0S1wwUa37_UmoZGsZimIZycugio1-9Ejbq5V-aui5VW1pi1urPkIiG1MdfG7lSmnVqJRioHKk-rn1relsIasmMm5pxsbvECDdzAKezJggk_dbYuzHPHPGoF4cBGvj3y4ka1Nv8kN28vAtPrz12_XZlXjliXE78c57ki1qCeIKlu87QNfbgDWyJpWdlCWuZxqkGOwaUlxxaZ8KREoJwxwWPwJIBC5hhT2GiN3GYgJBTcJxKYlYVpOxds5ch_Gpt_EQE4Bz5ev9WEBJU03GICGmNUVmoDb-c4thevwMZ6rwkbeibXKeo9ylUshbG6jJ9R1zzN7MU2sOaoCbQxtLqwt3tzE97K7RXowR9fXIG4mZweWvFD2Bw3YYTGtuS4NeicMk2b2Rnjzr4NO5yok9xEPIBt-tM8-uz7XWbjjJ7XSp4noLhC9z-EKTOAFKmSOf-Jhpcvw3DzGqCwmlOMHUE19zTr9y9B7nGB05KZoI2kCaUfG8r4AO0HuzJv2VIQEu07QEFEWAoQsbwN21KfAxacZGoRSgpfVm-2xQtttnI85jFuyrgsKJbzrdZmzo-iArVrN64GhZ_G9wT1POcjKP9PH4nVKR_R62tBUZIAWZwtaD2jf06ZpGjPwXJeEw___PwNEV-xj_TKllNzDhx9LRTzThShsTMoaj-Vd9P3Vbwb1mR8dO-bE2w8i6Vn7KIvNePdN_x_xT7GGdMpHQSYtVgoYgrcynD5vKsZPYAbsNQvymKE2p-By9gVKOMyX9rCEz7hCYGNZudg5W_ODs8JShuua0QB7tBpgpjr2FUy7iw5yqnUqboTzgopEgMmk1PPC3pnt_DjklH5g0x4_QJJTTTpYGkU0qFygvmMDsQaZ3Tg5G6xTmvCJWEuISWcDqF8VDrukYqFQedCE7od90sBvuCtVpxQHQ6eKahc0bnW-Igq8UUF3hhcXlnpdweH_dXOO91B585VxeOQvnWu2QvlOtFseqoarxEI62UwyMyWGhcw-qVJpzFnPmAZV8Yl3K1QTIY8dul2jfjGZKipYDKxm2UjDPytSOAvRYL6TiRYvhIJ3HZAyxQlmXBl98c8JWfNftwtU0x1P6g69jvu028rkdJCeOI4NyDJ3ZaQPJyvkVKz8OPYpcpB5iK4Q6WJoXJ5I2MixXWt5TRDlhgC6Tq8-YBnU9VJmMemSxNUqMGpIIxyrrZ5nrsZneztK4HR20YjlV5OHJPOHs3ix080FkrBSTzXMooiPJruymT5yoSFh2NduCclDg6rSxKYLS5LfL8bxkMLsRuv6UpasVOrWVsrk5Z_zkGVNvY6ygKcQNpUxtlqWjbZMZXusTTXduNCVq4HxyILcwHujmp14HJ4ppbLy5a_4lmSWWgZz-fdy3Iu6ngZtcgLfdcan_4N-OfSzw" id="24" name="Picture"/>
            <a:graphic>
              <a:graphicData uri="http://schemas.openxmlformats.org/drawingml/2006/picture">
                <pic:pic>
                  <pic:nvPicPr>
                    <pic:cNvPr descr="C:/Users/15919/Desktop/论文草稿/temp/manuscript_figures_c1ugegr4/figure_000004.png" id="25" name="Picture"/>
                    <pic:cNvPicPr>
                      <a:picLocks noChangeArrowheads="1" noChangeAspect="1"/>
                    </pic:cNvPicPr>
                  </pic:nvPicPr>
                  <pic:blipFill>
                    <a:blip r:embed="rId23"/>
                    <a:stretch>
                      <a:fillRect/>
                    </a:stretch>
                  </pic:blipFill>
                  <pic:spPr bwMode="auto">
                    <a:xfrm>
                      <a:off x="0" y="0"/>
                      <a:ext cx="5733415" cy="490815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End-to-end completion of single-residue organic small molecules with no missing atoms.</w:t>
      </w:r>
      <w:r>
        <w:rPr>
          <w:rFonts w:ascii="Times New Roman" w:hAnsi="Times New Roman"/>
          <w:sz w:val="24"/>
        </w:rPr>
        <w:t xml:space="preserve"> </w:t>
      </w:r>
      <w:r>
        <w:rPr>
          <w:rFonts w:ascii="Times New Roman" w:hAnsi="Times New Roman"/>
          <w:sz w:val="24"/>
        </w:rPr>
        <w:t xml:space="preserve">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Times New Roman" w:hAnsi="Times New Roman"/>
          <w:sz w:val="24"/>
        </w:rPr>
        <w:t xml:space="preserve"> </w:t>
      </w:r>
      <m:oMath>
        <m:r>
          <m:t>N</m:t>
        </m:r>
      </m:oMath>
      <w:r>
        <w:rPr>
          <w:rFonts w:ascii="Times New Roman" w:hAnsi="Times New Roman"/>
          <w:sz w:val="24"/>
        </w:rPr>
        <w:t xml:space="preserve"> </w:t>
      </w:r>
      <w:r>
        <w:rPr>
          <w:rFonts w:ascii="Times New Roman" w:hAnsi="Times New Roman"/>
          <w:sz w:val="24"/>
        </w:rPr>
        <w:t xml:space="preserve">eligible instances in each PDB entry, budget</w:t>
      </w:r>
      <w:r>
        <w:rPr>
          <w:rFonts w:ascii="Times New Roman" w:hAnsi="Times New Roman"/>
          <w:sz w:val="24"/>
        </w:rPr>
        <w:t xml:space="preserve"> </w:t>
      </w:r>
      <m:oMath>
        <m:r>
          <m:t>ρ</m:t>
        </m:r>
      </m:oMath>
      <w:r>
        <w:rPr>
          <w:rFonts w:ascii="Times New Roman" w:hAnsi="Times New Roman"/>
          <w:sz w:val="24"/>
        </w:rPr>
        <w:t xml:space="preserve"> </w:t>
      </w:r>
      <w:r>
        <w:rPr>
          <w:rFonts w:ascii="Times New Roman" w:hAnsi="Times New Roman"/>
          <w:sz w:val="24"/>
        </w:rPr>
        <w:t xml:space="preserve">allows</w:t>
      </w:r>
      <w:r>
        <w:rPr>
          <w:rFonts w:ascii="Times New Roman" w:hAnsi="Times New Roman"/>
          <w:sz w:val="24"/>
        </w:rPr>
        <w:t xml:space="preserve"> </w:t>
      </w:r>
      <m:oMath>
        <m:r>
          <m:rPr>
            <m:sty m:val="p"/>
          </m:rPr>
          <m:t>⌊</m:t>
        </m:r>
        <m:r>
          <m:t>ρ</m:t>
        </m:r>
        <m:r>
          <m:t>N</m:t>
        </m:r>
        <m:r>
          <m:rPr>
            <m:sty m:val="p"/>
          </m:rPr>
          <m:t>⌋</m:t>
        </m:r>
      </m:oMath>
      <w:r>
        <w:rPr>
          <w:rFonts w:ascii="Times New Roman" w:hAnsi="Times New Roman"/>
          <w:sz w:val="24"/>
        </w:rPr>
        <w:t xml:space="preserve"> </w:t>
      </w:r>
      <w:r>
        <w:rPr>
          <w:rFonts w:ascii="Times New Roman" w:hAnsi="Times New Roman"/>
          <w:sz w:val="24"/>
        </w:rPr>
        <w:t xml:space="preserve">charged attempts. The completion ratio is the number of successful instances divided by</w:t>
      </w:r>
      <w:r>
        <w:rPr>
          <w:rFonts w:ascii="Times New Roman" w:hAnsi="Times New Roman"/>
          <w:sz w:val="24"/>
        </w:rPr>
        <w:t xml:space="preserve"> </w:t>
      </w:r>
      <m:oMath>
        <m:r>
          <m:t>N</m:t>
        </m:r>
      </m:oMath>
      <w:r>
        <w:rPr>
          <w:rFonts w:ascii="Times New Roman" w:hAnsi="Times New Roman"/>
          <w:sz w:val="24"/>
        </w:rPr>
        <w:t xml:space="preserve">. Green lines/circles and blue lines/diamonds show the PDB-equal mean and median, respectively; grey points and violins show the distributions at 50%, 100%, 200% and 300% budgets.</w:t>
      </w:r>
    </w:p>
    <w:p>
      <w:pPr>
        <w:pStyle w:val="TableCaption"/>
        <w:keepNext/>
        <w:spacing w:line="480" w:lineRule="auto"/>
        <w:ind w:firstLine="0"/>
        <w:pageBreakBefore/>
      </w:pPr>
      <w:r>
        <w:rPr>
          <w:rFonts w:ascii="Times New Roman" w:hAnsi="Times New Roman"/>
          <w:b/>
          <w:i w:val="0"/>
          <w:sz w:val="24"/>
        </w:rPr>
        <w:t xml:space="preserve">Table 2 | Small-molecule instance completion (%).</w:t>
      </w:r>
    </w:p>
    <w:tbl>
      <w:tblPr>
        <w:tblW w:type="pct" w:w="5000"/>
        <w:tblLayout w:type="fixed"/>
        <w:tblCaption w:val="Table 2 | Small-molecule instance completion (%)."/>
        <w:tblDescription w:val="MDBOOKTABS_{&quot;headers&quot;:3,&quot;groups&quot;:[],&quot;widths&quot;:[0.14,0.1,0.095,0.095,0.095,0.095,0.095,0.095,0.095,0.095],&quot;outline&quot;:&quot;box&quot;,&quot;col-rules&quot;:&quot;2,6&quot;,&quot;pagination&quot;:&quot;rows&quot;,&quot;page-break&quot;:&quot;before&quot;,&quot;dividers&quot;:[5]}"/>
        <w:tblBorders>
          <w:top w:val="single" w:sz="6" w:color="000000"/>
          <w:bottom w:val="single" w:sz="6" w:color="000000"/>
          <w:left w:val="single" w:sz="6" w:color="000000"/>
          <w:right w:val="single" w:sz="6" w:color="000000"/>
          <w:insideH w:val="nil" w:sz="6" w:color="000000"/>
          <w:insideV w:val="nil" w:sz="6" w:color="000000"/>
        </w:tblBorders>
      </w:tblPr>
      <w:tblGrid>
        <w:gridCol w:w="1264"/>
        <w:gridCol w:w="903"/>
        <w:gridCol w:w="858"/>
        <w:gridCol w:w="858"/>
        <w:gridCol w:w="858"/>
        <w:gridCol w:w="858"/>
        <w:gridCol w:w="858"/>
        <w:gridCol w:w="858"/>
        <w:gridCol w:w="858"/>
        <w:gridCol w:w="858"/>
      </w:tblGrid>
      <w:tr>
        <w:trPr>
          <w:tblHeader w:val="on"/>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b w:val="0"/>
                <w:sz w:val="20"/>
              </w:rPr>
              <w:t xml:space="preserve">Pose</w:t>
            </w:r>
          </w:p>
        </w:tc>
        <w:tc>
          <w:tcPr>
            <w:tcW w:type="dxa" w:w="903"/>
            <w:vMerge w:val="restart"/>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RMSD</w:t>
            </w:r>
          </w:p>
        </w:tc>
        <w:tc>
          <w:tcPr>
            <w:tcW w:type="dxa" w:w="3431"/>
            <w:gridSpan w:val="4"/>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w:t>
            </w:r>
          </w:p>
        </w:tc>
        <w:tc>
          <w:tcPr>
            <w:tcW w:type="dxa" w:w="3431"/>
            <w:gridSpan w:val="4"/>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GT</w:t>
            </w:r>
          </w:p>
        </w:tc>
      </w:tr>
      <w:tr>
        <w:trPr>
          <w:tblHeader w:val="on"/>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right w:val="single" w:sz="4" w:color="000000"/>
            </w:tcBorders>
          </w:tcPr>
          <w:p>
            <w:pPr>
              <w:keepNext w:val="0"/>
              <w:keepLines w:val="0"/>
              <w:pageBreakBefore w:val="0"/>
              <w:spacing w:line="240" w:lineRule="auto" w:before="0" w:after="0"/>
              <w:ind w:firstLine="0"/>
              <w:jc w:val="center"/>
            </w:pP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100%</w:t>
            </w:r>
          </w:p>
        </w:tc>
        <w:tc>
          <w:tcPr>
            <w:tcW w:type="dxa" w:w="1716"/>
            <w:gridSpan w:val="2"/>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300%</w:t>
            </w:r>
          </w:p>
        </w:tc>
      </w:tr>
      <w:tr>
        <w:trPr>
          <w:tblHeader w:val="on"/>
          <w:cantSplit/>
        </w:trPr>
        <w:tc>
          <w:tcPr>
            <w:tcW w:type="dxa" w:w="1264"/>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903"/>
            <w:gridSpan w:val="1"/>
            <w:vMerge w:val="continue"/>
            <w:vAlign w:val="center"/>
            <w:noWrap/>
            <w:tcMar>
              <w:top w:w="30" w:type="dxa"/>
              <w:bottom w:w="30" w:type="dxa"/>
              <w:left w:w="45" w:type="dxa"/>
              <w:right w:w="45" w:type="dxa"/>
            </w:tcMar>
            <w:tcBorders>
              <w:bottom w:val="single" w:sz="4" w:color="000000"/>
              <w:right w:val="single" w:sz="4" w:color="000000"/>
            </w:tcBorders>
          </w:tcPr>
          <w:p>
            <w:pPr>
              <w:keepNext w:val="0"/>
              <w:keepLines w:val="0"/>
              <w:pageBreakBefore w:val="0"/>
              <w:spacing w:line="240" w:lineRule="auto" w:before="0" w:after="0"/>
              <w:ind w:firstLine="0"/>
              <w:jc w:val="center"/>
            </w:pP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Mean</w:t>
            </w:r>
          </w:p>
        </w:tc>
        <w:tc>
          <w:tcPr>
            <w:tcW w:type="dxa" w:w="858"/>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Median</w:t>
            </w:r>
          </w:p>
        </w:tc>
      </w:tr>
      <w:tr>
        <w:trPr>
          <w:cantSplit/>
        </w:trPr>
        <w:tc>
          <w:tcPr>
            <w:tcW w:type="dxa" w:w="1264"/>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Top-1</w:t>
            </w: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44.9</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25.0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55.1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75.0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47.7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33.3</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53.0</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60.1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61.1</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vMerge w:val="restart"/>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left"/>
            </w:pPr>
            <w:r>
              <w:rPr>
                <w:rFonts w:ascii="Times New Roman" w:hAnsi="Times New Roman"/>
                <w:sz w:val="20"/>
              </w:rPr>
              <w:t xml:space="preserve">Best</w:t>
            </w:r>
          </w:p>
        </w:tc>
        <w:tc>
          <w:tcPr>
            <w:tcW w:type="dxa" w:w="903"/>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&lt;2 Å</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49.1</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55.9</w:t>
            </w:r>
          </w:p>
        </w:tc>
        <w:tc>
          <w:tcPr>
            <w:tcW w:type="dxa" w:w="858"/>
            <w:vAlign w:val="center"/>
            <w:noWrap/>
            <w:tcMar>
              <w:top w:w="30" w:type="dxa"/>
              <w:bottom w:w="30" w:type="dxa"/>
              <w:left w:w="45" w:type="dxa"/>
              <w:right w:w="45" w:type="dxa"/>
            </w:tcMar>
            <w:tcBorders>
              <w:top w:val="single" w:sz="4" w:color="000000"/>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83.3</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63.5</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64.4</w:t>
            </w:r>
          </w:p>
        </w:tc>
        <w:tc>
          <w:tcPr>
            <w:tcW w:type="dxa" w:w="858"/>
            <w:vAlign w:val="center"/>
            <w:noWrap/>
            <w:tcMar>
              <w:top w:w="30" w:type="dxa"/>
              <w:bottom w:w="30" w:type="dxa"/>
              <w:left w:w="45" w:type="dxa"/>
              <w:right w:w="45" w:type="dxa"/>
            </w:tcMar>
            <w:tcBorders>
              <w:top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r>
        <w:trPr>
          <w:cantSplit/>
        </w:trPr>
        <w:tc>
          <w:tcPr>
            <w:tcW w:type="dxa" w:w="1264"/>
            <w:gridSpan w:val="1"/>
            <w:vMerge w:val="continue"/>
            <w:vAlign w:val="center"/>
            <w:noWrap/>
            <w:tcMar>
              <w:top w:w="30" w:type="dxa"/>
              <w:bottom w:w="30" w:type="dxa"/>
              <w:left w:w="45" w:type="dxa"/>
              <w:right w:w="45" w:type="dxa"/>
            </w:tcMar>
          </w:tcPr>
          <w:p>
            <w:pPr>
              <w:keepNext w:val="0"/>
              <w:keepLines w:val="0"/>
              <w:pageBreakBefore w:val="0"/>
              <w:spacing w:line="240" w:lineRule="auto" w:before="0" w:after="0"/>
              <w:ind w:firstLine="0"/>
              <w:jc w:val="left"/>
            </w:pPr>
          </w:p>
        </w:tc>
        <w:tc>
          <w:tcPr>
            <w:tcW w:type="dxa" w:w="903"/>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&lt;3 Å</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54.7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66.7</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62.8</w:t>
            </w:r>
          </w:p>
        </w:tc>
        <w:tc>
          <w:tcPr>
            <w:tcW w:type="dxa" w:w="858"/>
            <w:vAlign w:val="center"/>
            <w:noWrap/>
            <w:tcMar>
              <w:top w:w="30" w:type="dxa"/>
              <w:bottom w:w="30" w:type="dxa"/>
              <w:left w:w="45" w:type="dxa"/>
              <w:right w:w="45" w:type="dxa"/>
            </w:tcMar>
            <w:tcBorders>
              <w:right w:val="single" w:sz="4" w:color="000000"/>
            </w:tcBorders>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66.9</w:t>
            </w:r>
          </w:p>
        </w:tc>
        <w:tc>
          <w:tcPr>
            <w:tcW w:type="dxa" w:w="85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100.0</w:t>
            </w:r>
          </w:p>
        </w:tc>
      </w:tr>
    </w:tbl>
    <w:p>
      <w:pPr>
        <w:pStyle w:val="MDTableNote"/>
        <w:spacing w:line="240" w:lineRule="auto" w:before="80" w:after="120"/>
        <w:keepNext w:val="0"/>
        <w:keepLines/>
        <w:pageBreakBefore w:val="0"/>
        <w:ind w:firstLine="0"/>
      </w:pPr>
      <w:r>
        <w:rPr>
          <w:rFonts w:ascii="Times New Roman" w:hAnsi="Times New Roman"/>
          <w:sz w:val="18"/>
        </w:rPr>
        <w:t xml:space="preserve">Means and medians were calculated across the same 77 PDBs.</w:t>
      </w:r>
    </w:p>
    <w:bookmarkEnd w:id="26"/>
    <w:bookmarkEnd w:id="27"/>
    <w:bookmarkEnd w:id="28"/>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PKyUxPzEspTk3NNtItK9ZFcA1rEmtrATN3D08">
    <w:name w:val="MDFIGREF_eJyrrk7LTC9KTbPKyUxPzEspTk3NNtItK9ZFcA1rEmtrATN3D08"/>
    <w:basedOn w:val="BodyTextChar"/>
  </w:style>
  <w:style w:type="character" w:customStyle="1" w:styleId="MDFIGREF_eJyrrk7LTC9KTbPKyUxPzEspTk3NNtItK9ZFcA1rkmprATN6D1A">
    <w:name w:val="MDFIGREF_eJyrrk7LTC9KTbPKyUxPzEspTk3NNtItK9ZFcA1rkmprATN6D1A"/>
    <w:basedOn w:val="BodyTextChar"/>
  </w:style>
  <w:style w:type="character" w:customStyle="1" w:styleId="MDFIGREF_eJyrrk7LTC9KTbPKyUxPzEspTk3NNtItK9ZFcA1rkmtrATN9D1E">
    <w:name w:val="MDFIGREF_eJyrrk7LTC9KTbPKyUxPzEspTk3NNtItK9ZFcA1rkmtrATN9D1E"/>
    <w:basedOn w:val="BodyTextChar"/>
  </w:style>
  <w:style w:type="character" w:customStyle="1" w:styleId="MDFIGREF_eJyrrk7LTC9KTbPKyUxPzEspTk3NNtItK9ZFcA1rUmprATOAD1I">
    <w:name w:val="MDFIGREF_eJyrrk7LTC9KTbPKyUxPzEspTk3NNtItK9ZFcA1rUmprATOAD1I"/>
    <w:basedOn w:val="BodyTextChar"/>
  </w:style>
  <w:style w:type="character" w:customStyle="1" w:styleId="MDFIGREF_eJyrrk7LTC9KTbPKyUxPzEspTk3NNtItK9ZFcA1rUnXSamsBUhcP5Q">
    <w:name w:val="MDFIGREF_eJyrrk7LTC9KTbPKyUxPzEspTk3NNtItK9ZFcA1rUnXSamsBUhcP5Q"/>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5" Type="http://schemas.openxmlformats.org/officeDocument/2006/relationships/image" Target="media/rId15.png"/><Relationship Id="rId19" Type="http://schemas.openxmlformats.org/officeDocument/2006/relationships/image" Target="media/rId19.png"/><Relationship Id="rId23" Type="http://schemas.openxmlformats.org/officeDocument/2006/relationships/image" Target="media/rId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2026-10-19T09:13:10Z</dcterms:created>
  <dcterms:modified xsi:type="dcterms:W3CDTF">2026-10-19T09:13:10Z</dcterms:modified>
</cp:coreProperties>
</file>

<file path=docProps/custom.xml><?xml version="1.0" encoding="utf-8"?>
<Properties xmlns="http://schemas.openxmlformats.org/officeDocument/2006/custom-properties" xmlns:vt="http://schemas.openxmlformats.org/officeDocument/2006/docPropsVTypes"/>
</file>