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Figure"/>
        <w:keepNext/>
        <w:spacing w:line="480" w:lineRule="auto"/>
        <w:ind w:firstLine="0"/>
      </w:pPr>
      <w:r>
        <w:rPr>
          <w:rFonts w:ascii="Times New Roman" w:hAnsi="Times New Roman"/>
          <w:sz w:val="24"/>
        </w:rPr>
        <w:drawing>
          <wp:inline>
            <wp:extent cx="5303520" cy="2056313"/>
            <wp:effectExtent b="0" l="0" r="0" t="0"/>
            <wp:docPr descr="" title="MDPPTFIG_eJydUsGO0zAQ_ZUoZ6iTlqxotFRCXeCyoAqJm6XKmziNaWJbtpsEARI32AM3xIUPgBMfwErwNez2M5iJ03ZXywERKfLzzPObmWe_DjVzZZgG4dWni99ffpLLdxfbrx8AjbR2XXgnCA23qmp4jqR5SukLy42lNE6m8ZTSE27XTmlKt99_XH5-v_14fvXtF6VejdLbcpLVHKUKsbqrGm4awVuM18ysNxozySSaJOOoG0fJ0SSevDnWIkvhD7q6kjZlD2hYOqdTQmxW8prZkdJcQrJQpmYOtmZFcsNaIVd1RcZRdERqJiQNBwXQ-h8NOOY2hu9lzD-JqKIQGT9R2abm0nklwyvmhJK2FNrScNZPKJuFyBbGb7JnzcIEObcZVpmnpHed9KaTwXNy3XLieK1hTLmBI0K7JfgLzdrl9F6bt_cnL4kPLCP84pGWKxhE5KAex4DwWgAvdjPOjsm-j0NLvkGGDp6qbG0DqeYlkyv-0BjVlpzlFgVRb5ewmmfOB0HzcPRaAa9KbplwVgn9WFQVVkTcn_eApdYZ7rISYQGc51Clz9_Y7Enkph7urAaHz9qnKsfB2cYp7JClXWFqXOHigg4yEUzzyq-9JsQxzTsXZJgfniuwMqQNr3YgA6tfd6LaWPeEqzpAAGwDnfqyrDm1nntAOzbmpfKtkwNkaSWDFlSmyTjxKn9l4b08knkf3WOWOiaqXfg6ruTgFzo0QPhn4ds_HAB96g" id="10" name="Picture"/>
            <a:graphic>
              <a:graphicData uri="http://schemas.openxmlformats.org/drawingml/2006/picture">
                <pic:pic>
                  <pic:nvPicPr>
                    <pic:cNvPr descr="C:/Users/15919/Desktop/论文草稿/temp/manuscript_figures_94wdw83j/figure_000001.png" id="11" name="Picture"/>
                    <pic:cNvPicPr>
                      <a:picLocks noChangeArrowheads="1" noChangeAspect="1"/>
                    </pic:cNvPicPr>
                  </pic:nvPicPr>
                  <pic:blipFill>
                    <a:blip r:embed="rId9"/>
                    <a:stretch>
                      <a:fillRect/>
                    </a:stretch>
                  </pic:blipFill>
                  <pic:spPr bwMode="auto">
                    <a:xfrm>
                      <a:off x="0" y="0"/>
                      <a:ext cx="5303520" cy="2056313"/>
                    </a:xfrm>
                    <a:prstGeom prst="rect">
                      <a:avLst/>
                    </a:prstGeom>
                    <a:noFill/>
                    <a:ln w="9525">
                      <a:noFill/>
                      <a:headEnd/>
                      <a:tailEnd/>
                    </a:ln>
                  </pic:spPr>
                </pic:pic>
              </a:graphicData>
            </a:graphic>
          </wp:inline>
        </w:drawing>
      </w:r>
    </w:p>
    <w:p>
      <w:pPr>
        <w:pStyle w:val="FirstParagraph"/>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它产生一系列blob：</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Match为Find阶段预测出来的blob与用户提供的配体身份(也就是SMILES)进行匹配。Matcher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的输入是:</w:t>
      </w:r>
      <w:r>
        <w:rPr>
          <w:rFonts w:ascii="Times New Roman" w:hAnsi="Times New Roman"/>
          <w:sz w:val="24"/>
        </w:rPr>
        <w:t xml:space="preserve"> </w:t>
      </w:r>
      <w:r>
        <w:rPr>
          <w:rFonts w:hint="eastAsia" w:ascii="Times New Roman" w:hAnsi="Times New Roman"/>
          <w:sz w:val="24"/>
        </w:rPr>
        <w:t xml:space="preserve">Find阶段预测得到的可能为假阳性的blobs</w:t>
      </w:r>
      <w:r>
        <w:rPr>
          <w:rFonts w:ascii="Times New Roman" w:hAnsi="Times New Roman"/>
          <w:sz w:val="24"/>
        </w:rPr>
        <w:t xml:space="preserve"> </w:t>
      </w:r>
      <m:oMath>
        <m:r>
          <m:rPr>
            <m:sty m:val="p"/>
          </m:rPr>
          <m:t>{</m:t>
        </m:r>
        <m:sSub>
          <m:e>
            <m:r>
              <m:t>B</m:t>
            </m:r>
          </m:e>
          <m:sub>
            <m:r>
              <m:t>j</m:t>
            </m:r>
          </m:sub>
        </m:sSub>
        <m:sSub>
          <m:e>
            <m:r>
              <m:rPr>
                <m:sty m:val="p"/>
              </m:rPr>
              <m:t>}</m:t>
            </m:r>
          </m:e>
          <m:sub>
            <m:r>
              <m:t>j</m:t>
            </m:r>
          </m:sub>
        </m:sSub>
      </m:oMath>
      <w:r>
        <w:rPr>
          <w:rFonts w:hint="eastAsia" w:ascii="Times New Roman" w:hAnsi="Times New Roman"/>
          <w:sz w:val="24"/>
        </w:rPr>
        <w:t xml:space="preserve">、Find阶段输出的多种辅助信息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Method)，以及用户提供的”这个PDB中存在的配体身份”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(其中K为这个PDB中含有的配体身份数目)。</w:t>
      </w:r>
      <w:r>
        <w:rPr>
          <w:rFonts w:ascii="Times New Roman" w:hAnsi="Times New Roman"/>
          <w:sz w:val="24"/>
        </w:rPr>
        <w:t xml:space="preserve"> Matcher </w:t>
      </w:r>
      <w:r>
        <w:rPr>
          <w:rFonts w:hint="eastAsia" w:ascii="Times New Roman" w:hAnsi="Times New Roman"/>
          <w:sz w:val="24"/>
        </w:rPr>
        <w:t xml:space="preserve">将会对所有blob判断它是否为Find预测的假阳性blob,</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个去冗余后的PDB中进行测试。在衡量</w:t>
      </w:r>
      <w:r>
        <w:rPr>
          <w:rFonts w:ascii="Times New Roman" w:hAnsi="Times New Roman"/>
          <w:sz w:val="24"/>
        </w:rPr>
        <w:t xml:space="preserve"> Find </w:t>
      </w:r>
      <w:r>
        <w:rPr>
          <w:rFonts w:hint="eastAsia" w:ascii="Times New Roman" w:hAnsi="Times New Roman"/>
          <w:sz w:val="24"/>
        </w:rPr>
        <w:t xml:space="preserve">阶段定位</w:t>
      </w:r>
    </w:p>
    <w:bookmarkEnd w:id="12"/>
    <w:bookmarkStart w:id="20" w:name="result"/>
    <w:p>
      <w:pPr>
        <w:pStyle w:val="Heading1"/>
        <w:keepNext/>
        <w:spacing w:line="480" w:lineRule="auto"/>
        <w:ind w:firstLine="0"/>
      </w:pPr>
      <w:r>
        <w:rPr>
          <w:rFonts w:ascii="Times New Roman" w:hAnsi="Times New Roman"/>
          <w:sz w:val="24"/>
        </w:rPr>
        <w:t xml:space="preserve">Result</w:t>
      </w:r>
    </w:p>
    <w:bookmarkStart w:id="19" w:name="stage1-配体区域检测"/>
    <w:p>
      <w:pPr>
        <w:pStyle w:val="Heading2"/>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配体区域检测</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test_0 </w:t>
      </w:r>
      <w:r>
        <w:rPr>
          <w:rFonts w:hint="eastAsia" w:ascii="Times New Roman" w:hAnsi="Times New Roman"/>
          <w:sz w:val="24"/>
        </w:rPr>
        <w:t xml:space="preserve">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上比较使用真实受体和</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Emap2lig，按</w:t>
      </w:r>
      <w:r>
        <w:rPr>
          <w:rFonts w:ascii="Times New Roman" w:hAnsi="Times New Roman"/>
          <w:sz w:val="24"/>
        </w:rPr>
        <w:t xml:space="preserve"> PDB </w:t>
      </w:r>
      <w:r>
        <w:rPr>
          <w:rFonts w:hint="eastAsia" w:ascii="Times New Roman" w:hAnsi="Times New Roman"/>
          <w:sz w:val="24"/>
        </w:rPr>
        <w:t xml:space="preserve">等权计算</w:t>
      </w:r>
      <w:r>
        <w:rPr>
          <w:rFonts w:ascii="Times New Roman" w:hAnsi="Times New Roman"/>
          <w:sz w:val="24"/>
        </w:rPr>
        <w:t xml:space="preserve"> macro </w:t>
      </w:r>
      <w:r>
        <w:rPr>
          <w:rFonts w:hint="eastAsia" w:ascii="Times New Roman" w:hAnsi="Times New Roman"/>
          <w:sz w:val="24"/>
        </w:rPr>
        <w:t xml:space="preserve">指标（图</w:t>
      </w:r>
      <w:r>
        <w:rPr>
          <w:rFonts w:ascii="Times New Roman" w:hAnsi="Times New Roman"/>
          <w:sz w:val="24"/>
        </w:rPr>
        <w:t xml:space="preserve"> </w:t>
      </w:r>
      <w:r>
        <w:rPr>
          <w:rFonts w:hint="eastAsia" w:ascii="Times New Roman" w:hAnsi="Times New Roman"/>
          <w:sz w:val="24"/>
        </w:rPr>
        <w:t xml:space="preserve">2）。在全配体评估中，三种方法的平均</w:t>
      </w:r>
      <w:r>
        <w:rPr>
          <w:rFonts w:ascii="Times New Roman" w:hAnsi="Times New Roman"/>
          <w:sz w:val="24"/>
        </w:rPr>
        <w:t xml:space="preserve"> Semantic Dice </w:t>
      </w:r>
      <w:r>
        <w:rPr>
          <w:rFonts w:hint="eastAsia" w:ascii="Times New Roman" w:hAnsi="Times New Roman"/>
          <w:sz w:val="24"/>
        </w:rPr>
        <w:t xml:space="preserve">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0.255。逐</w:t>
      </w:r>
      <w:r>
        <w:rPr>
          <w:rFonts w:ascii="Times New Roman" w:hAnsi="Times New Roman"/>
          <w:sz w:val="24"/>
        </w:rPr>
        <w:t xml:space="preserve"> PDB </w:t>
      </w:r>
      <w:r>
        <w:rPr>
          <w:rFonts w:hint="eastAsia" w:ascii="Times New Roman" w:hAnsi="Times New Roman"/>
          <w:sz w:val="24"/>
        </w:rPr>
        <w:t xml:space="preserve">配对比较中，使用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上具有更高的</w:t>
      </w:r>
      <w:r>
        <w:rPr>
          <w:rFonts w:ascii="Times New Roman" w:hAnsi="Times New Roman"/>
          <w:sz w:val="24"/>
        </w:rPr>
        <w:t xml:space="preserve"> one-to-one </w:t>
      </w:r>
      <w:r>
        <w:rPr>
          <w:rFonts w:hint="eastAsia" w:ascii="Times New Roman" w:hAnsi="Times New Roman"/>
          <w:sz w:val="24"/>
        </w:rPr>
        <w:t xml:space="preserve">PRAUC@0.3，40</w:t>
      </w:r>
      <w:r>
        <w:rPr>
          <w:rFonts w:ascii="Times New Roman" w:hAnsi="Times New Roman"/>
          <w:sz w:val="24"/>
        </w:rPr>
        <w:t xml:space="preserve"> </w:t>
      </w:r>
      <w:r>
        <w:rPr>
          <w:rFonts w:hint="eastAsia" w:ascii="Times New Roman" w:hAnsi="Times New Roman"/>
          <w:sz w:val="24"/>
        </w:rPr>
        <w:t xml:space="preserve">个相等，27</w:t>
      </w:r>
      <w:r>
        <w:rPr>
          <w:rFonts w:ascii="Times New Roman" w:hAnsi="Times New Roman"/>
          <w:sz w:val="24"/>
        </w:rPr>
        <w:t xml:space="preserve"> </w:t>
      </w:r>
      <w:r>
        <w:rPr>
          <w:rFonts w:hint="eastAsia" w:ascii="Times New Roman" w:hAnsi="Times New Roman"/>
          <w:sz w:val="24"/>
        </w:rPr>
        <w:t xml:space="preserve">个较低。</w:t>
      </w:r>
    </w:p>
    <w:p>
      <w:pPr>
        <w:pStyle w:val="BodyText"/>
        <w:spacing w:line="480" w:lineRule="auto" w:after="120"/>
        <w:ind w:firstLine="480"/>
      </w:pPr>
      <w:r>
        <w:rPr>
          <w:rFonts w:hint="eastAsia" w:ascii="Times New Roman" w:hAnsi="Times New Roman"/>
          <w:sz w:val="24"/>
        </w:rPr>
        <w:t xml:space="preserve">我们进一步在含小分子配体的</w:t>
      </w:r>
      <w:r>
        <w:rPr>
          <w:rFonts w:ascii="Times New Roman" w:hAnsi="Times New Roman"/>
          <w:sz w:val="24"/>
        </w:rPr>
        <w:t xml:space="preserve"> 94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个小分子实例）上进行小分子-only</w:t>
      </w:r>
      <w:r>
        <w:rPr>
          <w:rFonts w:ascii="Times New Roman" w:hAnsi="Times New Roman"/>
          <w:sz w:val="24"/>
        </w:rPr>
        <w:t xml:space="preserve"> </w:t>
      </w:r>
      <w:r>
        <w:rPr>
          <w:rFonts w:hint="eastAsia" w:ascii="Times New Roman" w:hAnsi="Times New Roman"/>
          <w:sz w:val="24"/>
        </w:rPr>
        <w:t xml:space="preserve">评估。该评估使用固定的真实配体归属规则忽略归属于非小分子的预测候选，未归属的预测候选仍计入评估；它衡量限定评价范围内的检测表现，不单独检验模型区分小分子与其他配体的能力。三种方法的平均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0.701、0.573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0.462。两种评价范围的样本和目标集合不同，因此不直接将两列均值的差异解释为性能改善。Precision</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均采用正式选定的预测候选，在</w:t>
      </w:r>
      <w:r>
        <w:rPr>
          <w:rFonts w:ascii="Times New Roman" w:hAnsi="Times New Roman"/>
          <w:sz w:val="24"/>
        </w:rPr>
        <w:t xml:space="preserve"> one-to-one@0.3 </w:t>
      </w:r>
      <w:r>
        <w:rPr>
          <w:rFonts w:hint="eastAsia" w:ascii="Times New Roman" w:hAnsi="Times New Roman"/>
          <w:sz w:val="24"/>
        </w:rPr>
        <w:t xml:space="preserve">下逐</w:t>
      </w:r>
      <w:r>
        <w:rPr>
          <w:rFonts w:ascii="Times New Roman" w:hAnsi="Times New Roman"/>
          <w:sz w:val="24"/>
        </w:rPr>
        <w:t xml:space="preserve"> PDB </w:t>
      </w:r>
      <w:r>
        <w:rPr>
          <w:rFonts w:hint="eastAsia" w:ascii="Times New Roman" w:hAnsi="Times New Roman"/>
          <w:sz w:val="24"/>
        </w:rPr>
        <w:t xml:space="preserve">计算。</w:t>
      </w:r>
    </w:p>
    <w:p>
      <w:pPr>
        <w:pStyle w:val="CaptionedFigure"/>
        <w:keepNext/>
        <w:spacing w:line="240" w:lineRule="auto" w:after="80"/>
        <w:ind w:firstLine="0"/>
      </w:pPr>
      <w:r>
        <w:rPr>
          <w:rFonts w:ascii="Times New Roman" w:hAnsi="Times New Roman"/>
          <w:sz w:val="24"/>
        </w:rPr>
        <w:drawing>
          <wp:inline>
            <wp:extent cx="5303520" cy="5886282"/>
            <wp:effectExtent b="0" l="0" r="0" t="0"/>
            <wp:docPr descr="图 2｜Stage1 配体区域检测。左列：全配体（179 PDB）；右列：小分子-only（94 PDB，821 实例）。a、b，Dice 与 one-to-one PRAUC；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ZOUzJqo6ES6gCbAVVI7CxVnsRJzCS2ZbtNELBGLNghNqzYzYoPAAm-Bqafwb1x-hgxC0SkyMf3HJ_7sF-HmrkqTIPw5uP3X59_EOtYyceAtl-uR1q7LrwXhIZbVW94jrpFSukLy42ldJzMxjNKz7m9ckpTuv367fend9sP72-uf1LqDSm901GyhqObJ08aJuSJFZ1mktfIN8xcrTUqkkk0SeKoS6bT03gavznTIkvhD7qmljZlD2hYOadTQmxW8YbZkdJcAlko0zAHW1OS3LBWyLKpSRxFpwTT0XBwAK__8YBjbm343sb8k4kqCpHxc5WtGy6ddzK8Zk4oaSuhLQ3nfYdysxTZ0vhN9myzNEHObYZZFinpL4D08yfD-Mnx9InjjYY25RqOCO1WhSihWLua3W_zdjp5SXxgFeEXj7QsoRGRg_s4AYTXA3i563F-RvZ1HEryBTKc4IXKrmwg1aJisuQPjVFtxVlu0RD9doTVPHM-CJ6Ho0cJvCv5awiXtdCPRV1jRsT9eQ9Yap3hLqsQFqB5Dll6_tZmLyK3_XBnNUz4sn2qcmycrZ3CClnaFabBFS4u6ICJoJtXfu09IY4071yQIT88V1BlKBte7SAGVb_uTLWx7glXTYAA1AYq9WnZ5sJ67QHt1MhL5UsnB8jSWgYtuMySOPEud6rwXh7JvI_uMUsdE_UufIxrOcwLJzRA-Ofh2z88X4Ff" id="14" name="Picture"/>
            <a:graphic>
              <a:graphicData uri="http://schemas.openxmlformats.org/drawingml/2006/picture">
                <pic:pic>
                  <pic:nvPicPr>
                    <pic:cNvPr descr="C:/Users/15919/Desktop/论文草稿/temp/manuscript_figures_94wdw83j/figure_000002.png" id="15" name="Picture"/>
                    <pic:cNvPicPr>
                      <a:picLocks noChangeArrowheads="1" noChangeAspect="1"/>
                    </pic:cNvPicPr>
                  </pic:nvPicPr>
                  <pic:blipFill>
                    <a:blip r:embed="rId13"/>
                    <a:stretch>
                      <a:fillRect/>
                    </a:stretch>
                  </pic:blipFill>
                  <pic:spPr bwMode="auto">
                    <a:xfrm>
                      <a:off x="0" y="0"/>
                      <a:ext cx="5303520" cy="588628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one-to-one </w:t>
      </w:r>
      <w:r>
        <w:rPr>
          <w:rFonts w:hint="eastAsia" w:ascii="Times New Roman" w:hAnsi="Times New Roman"/>
          <w:sz w:val="24"/>
        </w:rPr>
        <w:t xml:space="preserve">PRAUC；柱高为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p>
      <w:pPr>
        <w:pStyle w:val="BodyText"/>
        <w:spacing w:line="480" w:lineRule="auto" w:after="120"/>
        <w:ind w:firstLine="480"/>
      </w:pPr>
      <w:r>
        <w:rPr>
          <w:rFonts w:hint="eastAsia" w:ascii="Times New Roman" w:hAnsi="Times New Roman"/>
          <w:sz w:val="24"/>
        </w:rPr>
        <w:t xml:space="preserve">局部比较显示，Find</w:t>
      </w:r>
      <w:r>
        <w:rPr>
          <w:rFonts w:ascii="Times New Roman" w:hAnsi="Times New Roman"/>
          <w:sz w:val="24"/>
        </w:rPr>
        <w:t xml:space="preserve"> </w:t>
      </w:r>
      <w:r>
        <w:rPr>
          <w:rFonts w:hint="eastAsia" w:ascii="Times New Roman" w:hAnsi="Times New Roman"/>
          <w:sz w:val="24"/>
        </w:rPr>
        <w:t xml:space="preserve">既能检出与</w:t>
      </w:r>
      <w:r>
        <w:rPr>
          <w:rFonts w:ascii="Times New Roman" w:hAnsi="Times New Roman"/>
          <w:sz w:val="24"/>
        </w:rPr>
        <w:t xml:space="preserve"> Emap2lig </w:t>
      </w:r>
      <w:r>
        <w:rPr>
          <w:rFonts w:hint="eastAsia" w:ascii="Times New Roman" w:hAnsi="Times New Roman"/>
          <w:sz w:val="24"/>
        </w:rPr>
        <w:t xml:space="preserve">共同识别的配体区域，也能覆盖后者遗漏的部分（图</w:t>
      </w:r>
      <w:r>
        <w:rPr>
          <w:rFonts w:ascii="Times New Roman" w:hAnsi="Times New Roman"/>
          <w:sz w:val="24"/>
        </w:rPr>
        <w:t xml:space="preserve"> </w:t>
      </w:r>
      <w:r>
        <w:rPr>
          <w:rFonts w:hint="eastAsia" w:ascii="Times New Roman" w:hAnsi="Times New Roman"/>
          <w:sz w:val="24"/>
        </w:rPr>
        <w:t xml:space="preserve">3）。在病毒复制相关蛋白复合物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中，两种方法均较完整地检出</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0.766。对于</w:t>
      </w:r>
      <w:r>
        <w:rPr>
          <w:rFonts w:ascii="Times New Roman" w:hAnsi="Times New Roman"/>
          <w:sz w:val="24"/>
        </w:rPr>
        <w:t xml:space="preserve"> 9UWI </w:t>
      </w:r>
      <w:r>
        <w:rPr>
          <w:rFonts w:hint="eastAsia" w:ascii="Times New Roman" w:hAnsi="Times New Roman"/>
          <w:sz w:val="24"/>
        </w:rPr>
        <w:t xml:space="preserve">中的胆固醇，Emap2lig</w:t>
      </w:r>
      <w:r>
        <w:rPr>
          <w:rFonts w:ascii="Times New Roman" w:hAnsi="Times New Roman"/>
          <w:sz w:val="24"/>
        </w:rPr>
        <w:t xml:space="preserve"> </w:t>
      </w:r>
      <w:r>
        <w:rPr>
          <w:rFonts w:hint="eastAsia" w:ascii="Times New Roman" w:hAnsi="Times New Roman"/>
          <w:sz w:val="24"/>
        </w:rPr>
        <w:t xml:space="preserve">的区域精确率达到</w:t>
      </w:r>
      <w:r>
        <w:rPr>
          <w:rFonts w:ascii="Times New Roman" w:hAnsi="Times New Roman"/>
          <w:sz w:val="24"/>
        </w:rPr>
        <w:t xml:space="preserve"> </w:t>
      </w:r>
      <w:r>
        <w:rPr>
          <w:rFonts w:hint="eastAsia" w:ascii="Times New Roman" w:hAnsi="Times New Roman"/>
          <w:sz w:val="24"/>
        </w:rPr>
        <w:t xml:space="preserve">0.990，但仅覆盖</w:t>
      </w:r>
      <w:r>
        <w:rPr>
          <w:rFonts w:ascii="Times New Roman" w:hAnsi="Times New Roman"/>
          <w:sz w:val="24"/>
        </w:rPr>
        <w:t xml:space="preserve"> 30.0%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的覆盖率为</w:t>
      </w:r>
      <w:r>
        <w:rPr>
          <w:rFonts w:ascii="Times New Roman" w:hAnsi="Times New Roman"/>
          <w:sz w:val="24"/>
        </w:rPr>
        <w:t xml:space="preserve"> </w:t>
      </w:r>
      <w:r>
        <w:rPr>
          <w:rFonts w:hint="eastAsia" w:ascii="Times New Roman" w:hAnsi="Times New Roman"/>
          <w:sz w:val="24"/>
        </w:rPr>
        <w:t xml:space="preserve">81.2%，显示其预测延伸至更多配体部分。差异在漏检位点更为突出：在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w:t>
      </w:r>
      <w:r>
        <w:rPr>
          <w:rFonts w:ascii="Times New Roman" w:hAnsi="Times New Roman"/>
          <w:sz w:val="24"/>
        </w:rPr>
        <w:t xml:space="preserve"> </w:t>
      </w:r>
      <w:r>
        <w:rPr>
          <w:rFonts w:hint="eastAsia" w:ascii="Times New Roman" w:hAnsi="Times New Roman"/>
          <w:sz w:val="24"/>
        </w:rPr>
        <w:t xml:space="preserve">的选定预测均未覆盖该配体的真实区域，而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的覆盖率分别为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10.3%。这些实例说明，局部检测的差异不仅体现在是否找到结合位点，也体现在对配体空间范围的覆盖程度。</w:t>
      </w:r>
    </w:p>
    <w:p>
      <w:pPr>
        <w:pStyle w:val="BodyText"/>
        <w:spacing w:line="480" w:lineRule="auto" w:after="120"/>
        <w:ind w:firstLine="480"/>
      </w:pPr>
      <w:r>
        <w:rPr>
          <w:rFonts w:hint="eastAsia" w:ascii="Times New Roman" w:hAnsi="Times New Roman"/>
          <w:sz w:val="24"/>
        </w:rPr>
        <w:t xml:space="preserve">换用</w:t>
      </w:r>
      <w:r>
        <w:rPr>
          <w:rFonts w:ascii="Times New Roman" w:hAnsi="Times New Roman"/>
          <w:sz w:val="24"/>
        </w:rPr>
        <w:t xml:space="preserve"> CryoAtom2 </w:t>
      </w:r>
      <w:r>
        <w:rPr>
          <w:rFonts w:hint="eastAsia" w:ascii="Times New Roman" w:hAnsi="Times New Roman"/>
          <w:sz w:val="24"/>
        </w:rPr>
        <w:t xml:space="preserve">从密度图重建的受体后，Find</w:t>
      </w:r>
      <w:r>
        <w:rPr>
          <w:rFonts w:ascii="Times New Roman" w:hAnsi="Times New Roman"/>
          <w:sz w:val="24"/>
        </w:rPr>
        <w:t xml:space="preserve"> </w:t>
      </w:r>
      <w:r>
        <w:rPr>
          <w:rFonts w:hint="eastAsia" w:ascii="Times New Roman" w:hAnsi="Times New Roman"/>
          <w:sz w:val="24"/>
        </w:rPr>
        <w:t xml:space="preserve">仍保留了上述检测能力。9PQM、9UWI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0.715，与真实受体条件下的结果接近。在</w:t>
      </w:r>
      <w:r>
        <w:rPr>
          <w:rFonts w:ascii="Times New Roman" w:hAnsi="Times New Roman"/>
          <w:sz w:val="24"/>
        </w:rPr>
        <w:t xml:space="preserve"> 9RMI </w:t>
      </w:r>
      <w:r>
        <w:rPr>
          <w:rFonts w:hint="eastAsia" w:ascii="Times New Roman" w:hAnsi="Times New Roman"/>
          <w:sz w:val="24"/>
        </w:rPr>
        <w:t xml:space="preserve">中，受体替换伴随预测区域扩展，精确率由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0.532；该预测仍覆盖</w:t>
      </w:r>
      <w:r>
        <w:rPr>
          <w:rFonts w:ascii="Times New Roman" w:hAnsi="Times New Roman"/>
          <w:sz w:val="24"/>
        </w:rPr>
        <w:t xml:space="preserve"> 81.0% </w:t>
      </w:r>
      <w:r>
        <w:rPr>
          <w:rFonts w:hint="eastAsia" w:ascii="Times New Roman" w:hAnsi="Times New Roman"/>
          <w:sz w:val="24"/>
        </w:rPr>
        <w:t xml:space="preserve">的真实区域，Dice</w:t>
      </w:r>
      <w:r>
        <w:rPr>
          <w:rFonts w:ascii="Times New Roman" w:hAnsi="Times New Roman"/>
          <w:sz w:val="24"/>
        </w:rPr>
        <w:t xml:space="preserve"> </w:t>
      </w:r>
      <w:r>
        <w:rPr>
          <w:rFonts w:hint="eastAsia" w:ascii="Times New Roman" w:hAnsi="Times New Roman"/>
          <w:sz w:val="24"/>
        </w:rPr>
        <w:t xml:space="preserve">高于</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0.131。因此，在这些实例中，即使使用重建受体，Find</w:t>
      </w:r>
      <w:r>
        <w:rPr>
          <w:rFonts w:ascii="Times New Roman" w:hAnsi="Times New Roman"/>
          <w:sz w:val="24"/>
        </w:rPr>
        <w:t xml:space="preserve"> </w:t>
      </w:r>
      <w:r>
        <w:rPr>
          <w:rFonts w:hint="eastAsia" w:ascii="Times New Roman" w:hAnsi="Times New Roman"/>
          <w:sz w:val="24"/>
        </w:rPr>
        <w:t xml:space="preserve">仍优于仅以密度图为输入的</w:t>
      </w:r>
      <w:r>
        <w:rPr>
          <w:rFonts w:ascii="Times New Roman" w:hAnsi="Times New Roman"/>
          <w:sz w:val="24"/>
        </w:rPr>
        <w:t xml:space="preserve"> </w:t>
      </w:r>
      <w:r>
        <w:rPr>
          <w:rFonts w:hint="eastAsia" w:ascii="Times New Roman" w:hAnsi="Times New Roman"/>
          <w:sz w:val="24"/>
        </w:rPr>
        <w:t xml:space="preserve">Emap2lig，但区域边界的精确性可随受体来源改变。四个实例用于说明局部检测情形，测试集总体比较见图</w:t>
      </w:r>
      <w:r>
        <w:rPr>
          <w:rFonts w:ascii="Times New Roman" w:hAnsi="Times New Roman"/>
          <w:sz w:val="24"/>
        </w:rPr>
        <w:t xml:space="preserve"> 2。</w:t>
      </w:r>
    </w:p>
    <w:p>
      <w:pPr>
        <w:pStyle w:val="CaptionedFigure"/>
        <w:keepNext/>
        <w:pageBreakBefore/>
        <w:spacing w:line="240" w:lineRule="auto" w:after="80"/>
        <w:ind w:firstLine="0"/>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框选一个配体结合位点；右侧上排从左至右为真实受体、CryoAtom2 受体、真实配体及其标注区域，下排为使用真实受体的 Find、使用 CryoAtom2 受体的 Find 和 Emap2lig。下排均显示同一真实配体和实验密度，Find 两格另显示相应受体。每例六格共用朝向和尺度。浅绿为受体，灰色网格为实验密度，橙色为配体碳原子，其他原子按元素着色；蓝色包络为所选预测区域，浅灰蓝为真实标注区域。整体图叠加 Find 在真实受体条件下检出的小分子区域。所有配体原子均来自实验结构，用于对照预测区域，不表示预测构象。" title="MDPPTFIG_eJydUsuKFDEU_ZWi1k6nn850MTZIj7oZpRHcBZpMKtUVuyoJSfoh6tIRQXEjs3HlSjfqXkG_pmf6M7y3Uv0YFBQLipzce-65rzyNDfN5nETx1bvvq_c_iPNsIlqrF58vP5yv3n5dfzxfvb4Yz9sNY_wyvhHFVjhdzEWKMcOE0kdOWEdpq9dv9Sk9EW7qtaF0_eXb5cXL9ZtXV59-UhrEKf2rumKlQOVAPMj0zHLmxEHJpEJ_yex0ZpDRO-x0uq3e8rB51O72us-OjeQJ_NGyLJRL2C0a596bhBDHc1Ey19BGKHBm2pbMw9VOSGrZQqpJWZB2s3mTYBYa1wqg9T8aEOZnVmxl7D-J6CyTXJxoPiuF8kHJioJ5qZXLpXE0HlQdqvlI8pENF_5gPrJRKhzHLMOEVMsg1S5IvQqyvwniRWmgTTWDEGn8OJMTKNaN-91FujjqPCbBMG7i12kYNYFGZArqrSNAuB7Ao02Pg2OyrWNXUiiQ4QRPNZ-6SOlhztRE3LZWL3LBUoeCqLdxOCO4D0bQ3IXuJQiq5LchnBXS3JVFgRkRV_EBsMR5KzzPEWbAeQhZKv-1y5ZEruvhzRmY8Nnivk6xcTbzGitkyTKzJZ6wuGgJniZ08ySclSbY0S2WPuLor58rsDjS6ldbk4FVnRtRY52_J3QZIQC2hUpDWjY_dYG7Qxs2-pUOpZMdZEmhogWo9HvtXlD5Iwv3ckellXWLWeKZLDbmfVyoel44oRrCP4if_wI4BY9P" id="17" name="Picture"/>
            <a:graphic>
              <a:graphicData uri="http://schemas.openxmlformats.org/drawingml/2006/picture">
                <pic:pic>
                  <pic:nvPicPr>
                    <pic:cNvPr descr="C:/Users/15919/Desktop/论文草稿/temp/manuscript_figures_94wdw83j/figure_000003.png" id="18" name="Picture"/>
                    <pic:cNvPicPr>
                      <a:picLocks noChangeArrowheads="1" noChangeAspect="1"/>
                    </pic:cNvPicPr>
                  </pic:nvPicPr>
                  <pic:blipFill>
                    <a:blip r:embed="rId16"/>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252" w:lineRule="auto" w:before="0" w:after="120"/>
        <w:ind w:firstLine="0"/>
      </w:pPr>
      <w:r>
        <w:rPr>
          <w:rFonts w:hint="eastAsia" w:ascii="Times New Roman" w:hAnsi="Times New Roman"/>
          <w:i w:val="0"/>
          <w:sz w:val="21"/>
        </w:rPr>
        <w:t xml:space="preserve">图</w:t>
      </w:r>
      <w:r>
        <w:rPr>
          <w:rFonts w:ascii="Times New Roman" w:hAnsi="Times New Roman"/>
          <w:i w:val="0"/>
          <w:sz w:val="21"/>
        </w:rPr>
        <w:t xml:space="preserve"> </w:t>
      </w:r>
      <w:r>
        <w:rPr>
          <w:rFonts w:hint="eastAsia" w:ascii="Times New Roman" w:hAnsi="Times New Roman"/>
          <w:i w:val="0"/>
          <w:sz w:val="21"/>
        </w:rPr>
        <w:t xml:space="preserve">3｜不同受体条件下的小分子区域检测。a–d</w:t>
      </w:r>
      <w:r>
        <w:rPr>
          <w:rFonts w:ascii="Times New Roman" w:hAnsi="Times New Roman"/>
          <w:i w:val="0"/>
          <w:sz w:val="21"/>
        </w:rPr>
        <w:t xml:space="preserve"> </w:t>
      </w:r>
      <w:r>
        <w:rPr>
          <w:rFonts w:hint="eastAsia" w:ascii="Times New Roman" w:hAnsi="Times New Roman"/>
          <w:i w:val="0"/>
          <w:sz w:val="21"/>
        </w:rPr>
        <w:t xml:space="preserve">依次为</w:t>
      </w:r>
      <w:r>
        <w:rPr>
          <w:rFonts w:ascii="Times New Roman" w:hAnsi="Times New Roman"/>
          <w:i w:val="0"/>
          <w:sz w:val="21"/>
        </w:rPr>
        <w:t xml:space="preserve"> 9PQM </w:t>
      </w:r>
      <w:r>
        <w:rPr>
          <w:rFonts w:hint="eastAsia" w:ascii="Times New Roman" w:hAnsi="Times New Roman"/>
          <w:i w:val="0"/>
          <w:sz w:val="21"/>
        </w:rPr>
        <w:t xml:space="preserve">中的</w:t>
      </w:r>
      <w:r>
        <w:rPr>
          <w:rFonts w:ascii="Times New Roman" w:hAnsi="Times New Roman"/>
          <w:i w:val="0"/>
          <w:sz w:val="21"/>
        </w:rPr>
        <w:t xml:space="preserve"> </w:t>
      </w:r>
      <w:r>
        <w:rPr>
          <w:rFonts w:hint="eastAsia" w:ascii="Times New Roman" w:hAnsi="Times New Roman"/>
          <w:i w:val="0"/>
          <w:sz w:val="21"/>
        </w:rPr>
        <w:t xml:space="preserve">ATPγS（AGS，A:401）、9UWI</w:t>
      </w:r>
      <w:r>
        <w:rPr>
          <w:rFonts w:ascii="Times New Roman" w:hAnsi="Times New Roman"/>
          <w:i w:val="0"/>
          <w:sz w:val="21"/>
        </w:rPr>
        <w:t xml:space="preserve"> </w:t>
      </w:r>
      <w:r>
        <w:rPr>
          <w:rFonts w:hint="eastAsia" w:ascii="Times New Roman" w:hAnsi="Times New Roman"/>
          <w:i w:val="0"/>
          <w:sz w:val="21"/>
        </w:rPr>
        <w:t xml:space="preserve">中的胆固醇（CLR，B:502）、9WUP</w:t>
      </w:r>
      <w:r>
        <w:rPr>
          <w:rFonts w:ascii="Times New Roman" w:hAnsi="Times New Roman"/>
          <w:i w:val="0"/>
          <w:sz w:val="21"/>
        </w:rPr>
        <w:t xml:space="preserve"> </w:t>
      </w:r>
      <w:r>
        <w:rPr>
          <w:rFonts w:hint="eastAsia" w:ascii="Times New Roman" w:hAnsi="Times New Roman"/>
          <w:i w:val="0"/>
          <w:sz w:val="21"/>
        </w:rPr>
        <w:t xml:space="preserve">中的</w:t>
      </w:r>
      <w:r>
        <w:rPr>
          <w:rFonts w:ascii="Times New Roman" w:hAnsi="Times New Roman"/>
          <w:i w:val="0"/>
          <w:sz w:val="21"/>
        </w:rPr>
        <w:t xml:space="preserve"> </w:t>
      </w:r>
      <w:r>
        <w:rPr>
          <w:rFonts w:hint="eastAsia" w:ascii="Times New Roman" w:hAnsi="Times New Roman"/>
          <w:i w:val="0"/>
          <w:sz w:val="21"/>
        </w:rPr>
        <w:t xml:space="preserve">NADPH（NDP，A:1104）和</w:t>
      </w:r>
      <w:r>
        <w:rPr>
          <w:rFonts w:ascii="Times New Roman" w:hAnsi="Times New Roman"/>
          <w:i w:val="0"/>
          <w:sz w:val="21"/>
        </w:rPr>
        <w:t xml:space="preserve"> 9RMI </w:t>
      </w:r>
      <w:r>
        <w:rPr>
          <w:rFonts w:hint="eastAsia" w:ascii="Times New Roman" w:hAnsi="Times New Roman"/>
          <w:i w:val="0"/>
          <w:sz w:val="21"/>
        </w:rPr>
        <w:t xml:space="preserve">中的</w:t>
      </w:r>
      <w:r>
        <w:rPr>
          <w:rFonts w:ascii="Times New Roman" w:hAnsi="Times New Roman"/>
          <w:i w:val="0"/>
          <w:sz w:val="21"/>
        </w:rPr>
        <w:t xml:space="preserve"> </w:t>
      </w:r>
      <w:r>
        <w:rPr>
          <w:rFonts w:hint="eastAsia" w:ascii="Times New Roman" w:hAnsi="Times New Roman"/>
          <w:i w:val="0"/>
          <w:sz w:val="21"/>
        </w:rPr>
        <w:t xml:space="preserve">ADP（C:401）。每行左侧为复合物整体，框选一个配体结合位点；右侧上排从左至右为真实受体、CryoAtom2</w:t>
      </w:r>
      <w:r>
        <w:rPr>
          <w:rFonts w:ascii="Times New Roman" w:hAnsi="Times New Roman"/>
          <w:i w:val="0"/>
          <w:sz w:val="21"/>
        </w:rPr>
        <w:t xml:space="preserve"> </w:t>
      </w:r>
      <w:r>
        <w:rPr>
          <w:rFonts w:hint="eastAsia" w:ascii="Times New Roman" w:hAnsi="Times New Roman"/>
          <w:i w:val="0"/>
          <w:sz w:val="21"/>
        </w:rPr>
        <w:t xml:space="preserve">受体、真实配体及其标注区域，下排为使用真实受体的</w:t>
      </w:r>
      <w:r>
        <w:rPr>
          <w:rFonts w:ascii="Times New Roman" w:hAnsi="Times New Roman"/>
          <w:i w:val="0"/>
          <w:sz w:val="21"/>
        </w:rPr>
        <w:t xml:space="preserve"> </w:t>
      </w:r>
      <w:r>
        <w:rPr>
          <w:rFonts w:hint="eastAsia" w:ascii="Times New Roman" w:hAnsi="Times New Roman"/>
          <w:i w:val="0"/>
          <w:sz w:val="21"/>
        </w:rPr>
        <w:t xml:space="preserve">Find、使用</w:t>
      </w:r>
      <w:r>
        <w:rPr>
          <w:rFonts w:ascii="Times New Roman" w:hAnsi="Times New Roman"/>
          <w:i w:val="0"/>
          <w:sz w:val="21"/>
        </w:rPr>
        <w:t xml:space="preserve"> CryoAtom2 </w:t>
      </w:r>
      <w:r>
        <w:rPr>
          <w:rFonts w:hint="eastAsia" w:ascii="Times New Roman" w:hAnsi="Times New Roman"/>
          <w:i w:val="0"/>
          <w:sz w:val="21"/>
        </w:rPr>
        <w:t xml:space="preserve">受体的</w:t>
      </w:r>
      <w:r>
        <w:rPr>
          <w:rFonts w:ascii="Times New Roman" w:hAnsi="Times New Roman"/>
          <w:i w:val="0"/>
          <w:sz w:val="21"/>
        </w:rPr>
        <w:t xml:space="preserve"> Find </w:t>
      </w:r>
      <w:r>
        <w:rPr>
          <w:rFonts w:hint="eastAsia" w:ascii="Times New Roman" w:hAnsi="Times New Roman"/>
          <w:i w:val="0"/>
          <w:sz w:val="21"/>
        </w:rPr>
        <w:t xml:space="preserve">和</w:t>
      </w:r>
      <w:r>
        <w:rPr>
          <w:rFonts w:ascii="Times New Roman" w:hAnsi="Times New Roman"/>
          <w:i w:val="0"/>
          <w:sz w:val="21"/>
        </w:rPr>
        <w:t xml:space="preserve"> </w:t>
      </w:r>
      <w:r>
        <w:rPr>
          <w:rFonts w:hint="eastAsia" w:ascii="Times New Roman" w:hAnsi="Times New Roman"/>
          <w:i w:val="0"/>
          <w:sz w:val="21"/>
        </w:rPr>
        <w:t xml:space="preserve">Emap2lig。下排均显示同一真实配体和实验密度，Find</w:t>
      </w:r>
      <w:r>
        <w:rPr>
          <w:rFonts w:ascii="Times New Roman" w:hAnsi="Times New Roman"/>
          <w:i w:val="0"/>
          <w:sz w:val="21"/>
        </w:rPr>
        <w:t xml:space="preserve"> </w:t>
      </w:r>
      <w:r>
        <w:rPr>
          <w:rFonts w:hint="eastAsia" w:ascii="Times New Roman" w:hAnsi="Times New Roman"/>
          <w:i w:val="0"/>
          <w:sz w:val="21"/>
        </w:rPr>
        <w:t xml:space="preserve">两格另显示相应受体。每例六格共用朝向和尺度。浅绿为受体，灰色网格为实验密度，橙色为配体碳原子，其他原子按元素着色；蓝色包络为所选预测区域，浅灰蓝为真实标注区域。整体图叠加</w:t>
      </w:r>
      <w:r>
        <w:rPr>
          <w:rFonts w:ascii="Times New Roman" w:hAnsi="Times New Roman"/>
          <w:i w:val="0"/>
          <w:sz w:val="21"/>
        </w:rPr>
        <w:t xml:space="preserve"> Find </w:t>
      </w:r>
      <w:r>
        <w:rPr>
          <w:rFonts w:hint="eastAsia" w:ascii="Times New Roman" w:hAnsi="Times New Roman"/>
          <w:i w:val="0"/>
          <w:sz w:val="21"/>
        </w:rPr>
        <w:t xml:space="preserve">在真实受体条件下检出的小分子区域。所有配体原子均来自实验结构，用于对照预测区域，不表示预测构象。</w:t>
      </w:r>
    </w:p>
    <w:bookmarkEnd w:id="19"/>
    <w:bookmarkEnd w:id="20"/>
    <w:bookmarkStart w:id="43" w:name="method"/>
    <w:p>
      <w:pPr>
        <w:pStyle w:val="Heading1"/>
        <w:keepNext/>
        <w:spacing w:line="480" w:lineRule="auto"/>
        <w:ind w:firstLine="0"/>
      </w:pPr>
      <w:r>
        <w:rPr>
          <w:rFonts w:ascii="Times New Roman" w:hAnsi="Times New Roman"/>
          <w:sz w:val="24"/>
        </w:rPr>
        <w:t xml:space="preserve">Method</w:t>
      </w:r>
    </w:p>
    <w:bookmarkStart w:id="2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21"/>
    <w:bookmarkStart w:id="2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2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22"/>
    <w:bookmarkStart w:id="2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23"/>
    <w:bookmarkEnd w:id="24"/>
    <w:bookmarkStart w:id="31" w:name="stage1-find"/>
    <w:p>
      <w:pPr>
        <w:pStyle w:val="Heading2"/>
        <w:keepNext/>
        <w:spacing w:line="480" w:lineRule="auto"/>
        <w:ind w:firstLine="0"/>
      </w:pPr>
      <w:r>
        <w:rPr>
          <w:rFonts w:ascii="Times New Roman" w:hAnsi="Times New Roman"/>
          <w:sz w:val="24"/>
        </w:rPr>
        <w:t xml:space="preserve">Stage1-Find</w:t>
      </w:r>
    </w:p>
    <w:bookmarkStart w:id="2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25"/>
    <w:bookmarkStart w:id="2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26"/>
    <w:bookmarkStart w:id="2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27"/>
    <w:bookmarkStart w:id="2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28"/>
    <w:bookmarkStart w:id="29" w:name="评估"/>
    <w:p>
      <w:pPr>
        <w:pStyle w:val="Heading3"/>
        <w:keepNext/>
        <w:spacing w:line="480" w:lineRule="auto"/>
        <w:ind w:firstLine="0"/>
      </w:pPr>
      <w:r>
        <w:rPr>
          <w:rFonts w:hint="eastAsia" w:ascii="Times New Roman" w:hAnsi="Times New Roman"/>
          <w:sz w:val="24"/>
        </w:rPr>
        <w:t xml:space="preserve">评估</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w:t>
      </w:r>
      <w:r>
        <w:rPr>
          <w:rFonts w:ascii="Times New Roman" w:hAnsi="Times New Roman"/>
          <w:sz w:val="24"/>
        </w:rPr>
        <w:t xml:space="preserve"> (Semantic and instance-level) </w:t>
      </w:r>
      <w:r>
        <w:rPr>
          <w:rFonts w:hint="eastAsia" w:ascii="Times New Roman" w:hAnsi="Times New Roman"/>
          <w:sz w:val="24"/>
        </w:rPr>
        <w:t xml:space="preserve">【加引用】衡量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分数和对应的阈值无关的</w:t>
      </w:r>
      <w:r>
        <w:rPr>
          <w:rFonts w:ascii="Times New Roman" w:hAnsi="Times New Roman"/>
          <w:sz w:val="24"/>
        </w:rPr>
        <w:t xml:space="preserve"> sem-PRAUC </w:t>
      </w:r>
      <w:r>
        <w:rPr>
          <w:rFonts w:hint="eastAsia" w:ascii="Times New Roman" w:hAnsi="Times New Roman"/>
          <w:sz w:val="24"/>
        </w:rPr>
        <w:t xml:space="preserve">来进行评估。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算法求取两个部集的最大匹配。设得到了</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对成功匹配的实例，则定义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，以及对应的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29"/>
    <w:bookmarkStart w:id="30" w:name="case-study"/>
    <w:p>
      <w:pPr>
        <w:pStyle w:val="Heading3"/>
        <w:keepNext/>
        <w:spacing w:line="480" w:lineRule="auto"/>
        <w:ind w:firstLine="0"/>
      </w:pPr>
      <w:r>
        <w:rPr>
          <w:rFonts w:ascii="Times New Roman" w:hAnsi="Times New Roman"/>
          <w:sz w:val="24"/>
        </w:rPr>
        <w:t xml:space="preserve">case study</w:t>
      </w:r>
    </w:p>
    <w:bookmarkEnd w:id="30"/>
    <w:bookmarkEnd w:id="31"/>
    <w:bookmarkStart w:id="38" w:name="stage2-match"/>
    <w:p>
      <w:pPr>
        <w:pStyle w:val="Heading2"/>
        <w:keepNext/>
        <w:spacing w:line="480" w:lineRule="auto"/>
        <w:ind w:firstLine="0"/>
      </w:pPr>
      <w:r>
        <w:rPr>
          <w:rFonts w:ascii="Times New Roman" w:hAnsi="Times New Roman"/>
          <w:sz w:val="24"/>
        </w:rPr>
        <w:t xml:space="preserve">Stage2-Match</w:t>
      </w:r>
    </w:p>
    <w:bookmarkStart w:id="32"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32"/>
    <w:bookmarkStart w:id="33"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RDKID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，使用它的向量表示分别与它自身的图表示以及其他</w:t>
      </w:r>
      <w:r>
        <w:rPr>
          <w:rFonts w:ascii="Times New Roman" w:hAnsi="Times New Roman"/>
          <w:sz w:val="24"/>
        </w:rPr>
        <w:t xml:space="preserve"> SMILES </w:t>
      </w:r>
      <w:r>
        <w:rPr>
          <w:rFonts w:hint="eastAsia" w:ascii="Times New Roman" w:hAnsi="Times New Roman"/>
          <w:sz w:val="24"/>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33"/>
    <w:bookmarkStart w:id="34"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34"/>
    <w:bookmarkStart w:id="35"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35"/>
    <w:bookmarkStart w:id="36"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36"/>
    <w:bookmarkStart w:id="37" w:name="评估-1"/>
    <w:p>
      <w:pPr>
        <w:pStyle w:val="Heading3"/>
        <w:keepNext/>
        <w:spacing w:line="480" w:lineRule="auto"/>
        <w:ind w:firstLine="0"/>
      </w:pPr>
      <w:r>
        <w:rPr>
          <w:rFonts w:hint="eastAsia" w:ascii="Times New Roman" w:hAnsi="Times New Roman"/>
          <w:sz w:val="24"/>
        </w:rPr>
        <w:t xml:space="preserve">评估</w:t>
      </w:r>
    </w:p>
    <w:bookmarkEnd w:id="37"/>
    <w:bookmarkEnd w:id="38"/>
    <w:bookmarkStart w:id="42" w:name="stage3-build"/>
    <w:p>
      <w:pPr>
        <w:pStyle w:val="Heading2"/>
        <w:keepNext/>
        <w:spacing w:line="480" w:lineRule="auto"/>
        <w:ind w:firstLine="0"/>
      </w:pPr>
      <w:r>
        <w:rPr>
          <w:rFonts w:ascii="Times New Roman" w:hAnsi="Times New Roman"/>
          <w:sz w:val="24"/>
        </w:rPr>
        <w:t xml:space="preserve">Stage3-Build</w:t>
      </w:r>
    </w:p>
    <w:bookmarkStart w:id="39"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39"/>
    <w:bookmarkStart w:id="4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keepN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40"/>
    <w:bookmarkStart w:id="41" w:name="评估-2"/>
    <w:p>
      <w:pPr>
        <w:pStyle w:val="Heading3"/>
        <w:keepNext/>
        <w:spacing w:line="480" w:lineRule="auto"/>
        <w:ind w:firstLine="0"/>
      </w:pPr>
      <w:r>
        <w:rPr>
          <w:rFonts w:hint="eastAsia" w:ascii="Times New Roman" w:hAnsi="Times New Roman"/>
          <w:sz w:val="24"/>
        </w:rPr>
        <w:t xml:space="preserve">评估</w:t>
      </w:r>
    </w:p>
    <w:bookmarkEnd w:id="41"/>
    <w:bookmarkEnd w:id="42"/>
    <w:bookmarkEnd w:id="43"/>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6" Type="http://schemas.openxmlformats.org/officeDocument/2006/relationships/image" Target="media/rId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2026-09-30T07:06:35Z</dcterms:created>
  <dcterms:modified xsi:type="dcterms:W3CDTF">2026-09-30T07:06:35Z</dcterms:modified>
</cp:coreProperties>
</file>

<file path=docProps/custom.xml><?xml version="1.0" encoding="utf-8"?>
<Properties xmlns="http://schemas.openxmlformats.org/officeDocument/2006/custom-properties" xmlns:vt="http://schemas.openxmlformats.org/officeDocument/2006/docPropsVTypes"/>
</file>