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1g37ZbdRksl1AUuC6qQuFmqvI7TWE1sY7tJV4DEjeXADXHhAeDEA7ASPA27fQxm4vRntRwQkSJ_nvn8zcxnv44N80WcRvHNp6vfX36S63dX66-XgA6M8av4XhRb4XRZiwxJk5TSl05YR2kyHCUjSk-FW3htKF1__3H9-f3644ebb78oDWqU3pVTrBIolcv5fV0LW0vRzOo-pipmF0uDyeHRYHCYDFfJ6DA5Pjp-c2IkT-GPVlWpXMoe0rjw3qSEOF6IirkDbYSCZK5txTxs7ZxkljVSzauS9Hu9B6RiUtG4UwCt_9GAY35pxVbG_pOIznPJxanmy0ooH5SsKJmXWrlCGkfjcTuhqqeST23Y8Of11EaZcByrTFLSGk9a30lnO9l3nXhRGRhTLeGINH4GFkOzbta_qPirpuiREJj18EsOjJrDIDID9WQACG8G8HQz4_iEbPvYtRQaZOjgmeYLFyk9KZiai0fW6qYQLHMoiHqbhDOC-xAEzd3RvQJBldwx4byU5oksS6yIuD0fAEudt8LzAmEOnBdQpc3f2mxJ5LYe7pwBh8-bZzrDwdnSa-yQpavcVrjCxUUryPRgmouwtpoQx7RY-YhjvnuuwOJI615tRwZWu25EjXX-qdBVhADYFjoNZVl95gJ3hzZszCsdWic7yNJSRQ2ojIb9YVD5Kwvv5bHK2ugWs9QzWW7C-7hUnV_oUAfhH8dv_wABrn-S" id="12" name="Picture"/>
            <a:graphic>
              <a:graphicData uri="http://schemas.openxmlformats.org/drawingml/2006/picture">
                <pic:pic>
                  <pic:nvPicPr>
                    <pic:cNvPr descr="C:/Users/15919/Desktop/论文草稿/temp/manuscript_figures_2ymcqwh0/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tuEzEU_ZXRrGmcR5OooxIJpcCmRRESO0uR6_FkrIwf2E4yFSCxQyy6Q2z4AVZ8AEjwNbT9DO4dTx4VXSBGGvlc3-Nz7z32m9SyUKZZkt5--vH7y09yIUJp8pv3GHSsDXX6KEmd8KZaixx504zSV144T2lveNI7ofRM-GUwltK7b99vPn-4u_54-_UXpVGQ0gcVNVMC1Qq5OFIN4Wh9jAnF3HJlMTUcDwbHvWE9Go_7o0H37amVPIM_qVWlfcYe07QMwWaEeF4KxXzHWKEhWRinWIDQLUju2EbqhapIv9sdEcWkpmmrAFr_owHHwsqJnYz7JxFTFJKLM8NXSugQlZyoWJBG-1JaT9NJM6FezySfuRjwF-uZS3LhOVaZZqRxnjTGk9Z3cmg7CUJZGFOv4Ii0YQ4GQ7N-3r9S_PWm7JK4Me_i1-9YvYBBZA7qvREgvBfAs-2Mk1Oy62PfUmyQoYPnhi99os20ZHohnjhnNqVguUdB1NsmvBU8xE3Q3B89KBBVyV8mXFbSPpNVhRURN-cjYJkPTgReIiyA8xKqNPl7wY5E7uth5C04fLm5MDkOzlbBYIcsqwuncIWLS2rIdGGaq7g2mrCPaVGHhGO-fa7A4khrX21LBlazbkWt8-G5MCpBAGwHncaybH3uI3ePtmzMaxNbJ3vIskonG1A5GfaHUeVBFt7LU503uzvMssBktd0-xJVu_UKHWgj_JH33ByjIfvY" id="15" name="Picture"/>
            <a:graphic>
              <a:graphicData uri="http://schemas.openxmlformats.org/drawingml/2006/picture">
                <pic:pic>
                  <pic:nvPicPr>
                    <pic:cNvPr descr="C:/Users/15919/Desktop/论文草稿/temp/manuscript_figures_2ymcqwh0/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47" w:name="results"/>
    <w:p>
      <w:pPr>
        <w:pStyle w:val="Heading1"/>
        <w:keepNext/>
        <w:spacing w:line="480" w:lineRule="auto"/>
        <w:ind w:firstLine="0"/>
      </w:pPr>
      <w:r>
        <w:rPr>
          <w:rFonts w:ascii="Times New Roman" w:hAnsi="Times New Roman"/>
          <w:sz w:val="24"/>
        </w:rPr>
        <w:t xml:space="preserve">Results</w:t>
      </w:r>
    </w:p>
    <w:bookmarkStart w:id="46"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one-to-oneF1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one-to-onePRAUC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more precise assessment of the model’s performance.</w:t>
      </w:r>
    </w:p>
    <w:bookmarkEnd w:id="18"/>
    <w:bookmarkStart w:id="22"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 one-to-one PRAUC@0.3 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and Emap2lig-Find directly using one-to-one PRAUC@0.3</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performed better on 112 structures, comparably on 40 and worse on 27 in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Its performance was therefore substantially better than that of Emap2lig-Find. In the small-molecule subset, the corresponding counts were 40, 36 and 18 PDB entries</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qa0FANzhDSY"/>
          <w:rFonts w:ascii="Times New Roman" w:hAnsi="Times New Roman"/>
          <w:sz w:val="24"/>
        </w:rPr>
        <w:t xml:space="preserve">Fig. 3d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Although the advantage narrowed, LigandSeek-Find continued to outperform Emap2lig-Find. Emap2lig primarily targets small-molecule identification and modelling, explaining its better detection performance for small molecules than across all ligand categories.</w:t>
      </w:r>
    </w:p>
    <w:p>
      <w:pPr>
        <w:pStyle w:val="BodyText"/>
        <w:spacing w:line="480" w:lineRule="auto" w:after="120"/>
        <w:ind w:firstLine="480"/>
      </w:pPr>
      <w:r>
        <w:rPr>
          <w:rFonts w:ascii="Times New Roman" w:hAnsi="Times New Roman"/>
          <w:sz w:val="24"/>
        </w:rPr>
        <w:t xml:space="preserve">Emap2lig-Find tended to predict far more ligand instances than were present, resulting in much lower precision than recall in both semantic and instance-level metrics</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Accurate localisation requires both high precision and high recall, with a good balance between them. Sacrificing too much precision to increase recall is inappropriate for this task. LigandSeek-Find achieved a good balance between precision and recall under these conditions. The low precision of Emap2lig-Find directly resulted in its low Dice score. However, subsequent analyses showed reasonable top-k success rates for Emap2lig-Find</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5</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6a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Its PRAUC, which depends on ranking instances by their mean probability, was therefore substantially higher than its Dice score.</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ecision–recall area under the curve (PRAUC) at bidirectional coverage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a bidirectional coverage threshold of 0.3. Each point represents one PDB entry; open white circles and thick bars indicate the median and interquartile range, respectively." title="MDPPTFIG_eJydUstuEzEU_ZXRrGmcBwnqqERCKbApKEJiZylyPc6MlfED20mmAtaIBasiNiDWrPgAKsHX0PQzuHc8eVR0gRhp5ON7js992K9Ty0KZZkm6-Xj1-_NP4gMrRG9zdXn99UvH2lCn95LUCW-qlchRN8kofemF85T2hse9Y0pPhV8EYym9-f7j-tO7mw_vN99-URoNKb3TUTMl0C2SR4pJfeRlbZkWFfKKucXSomL4YDC43xvWo8EI1zcnVvIM_qRWlfYZe0jTMgSbEeJ5KRTzHWOFBnJunGIBtq4guWNrqQtVkX63OyKYjqatA3j9jwccC0sndjbun0zMfC65ODV8qYQO0cmJigVptC-l9TQdNx3q1VTyqYsb_nw1dUkuPMcsk4w0F0Ca-ZN2_ORw-iQIZaFNvYQj0obZXBZQrJ_1LxR_tS67JAZmXfwGHasLaETm4N7vAcLrATzd9jg-Ibs69iXFAhlO8MzwhU-0mZRMF-KRc2ZdCpZ7MGn8toS3gocYBM_90YME0ZX8NYTzStonsqowI-LmfAQs88GJwEuEc9C8gCwNf2uzE5HbfrjzFiZ8vn5mcmycLYPBCllWz53CFS4uqYHpQjcXcW08IY60qEPCkW-fK6g4ytpX24pB1axbU-t8eCqMShCA2kGlMS1bnfmo3aOtGnltYulkD1lW6WQNLsfD_jC63KnCe3ms8ya6wywLTFbb8CGudDsvnFAL4R-nb_8AUf-Bjg" id="20" name="Picture"/>
            <a:graphic>
              <a:graphicData uri="http://schemas.openxmlformats.org/drawingml/2006/picture">
                <pic:pic>
                  <pic:nvPicPr>
                    <pic:cNvPr descr="C:/Users/15919/Desktop/论文草稿/temp/manuscript_figures_2ymcqwh0/figure_000003.png" id="21" name="Picture"/>
                    <pic:cNvPicPr>
                      <a:picLocks noChangeArrowheads="1" noChangeAspect="1"/>
                    </pic:cNvPicPr>
                  </pic:nvPicPr>
                  <pic:blipFill>
                    <a:blip r:embed="rId19"/>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b, Per-PDB Dice scores and one-to-one precision–recall area under the curve (PRAUC) at bidirectional coverage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f, One-to-one precision and recall at a bidirectional coverage threshold of 0.3. Each point represents one PDB entry; open white circles and thick bars indicate the median and interquartile range, respectively.</w:t>
      </w:r>
    </w:p>
    <w:bookmarkEnd w:id="22"/>
    <w:bookmarkStart w:id="45"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instance Dice scores of 0.816 and 0.766,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Replacing deposited receptor structures with receptors reconstructed from density maps by CryoAtom2 retained the main detection and coverage advantages of LigandSeek-Find in these cases.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4a–c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The predicted region extended beyond the ligand, reducing precision from 0.607 to 0.396 and Dice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retained good detection performance with CryoAtom2-reconstructed receptors when deposited receptor structures were unavailable. Performance decreased in some regions, while the overall test-set comparison is shown in</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and ligand carbon atoms are orange. Other ligand atoms are coloured by element; blue envelopes show selected predicted regions, and pale grey-blue envelopes show ground-truth ligand regions." title="MDPPTFIG_eJydUt2KEzEUfpVhrt2m7bauHdaCdNWbVYrgXaBkM5lO6EwSk0w7i3qrLCjeyN74AHql9wr6NHX7GJ4zmba7yII4MOTLOd_5zl9exob5PE6i-Orjj_Wnn8R5Nhe99Ydvm89v1u8uO8b4Or4TxVY4XSxFitRJQulzJ6yjtDcc9UaUngi38NpQuvn6_ffl2837i6svvygNmpTeJqpYKVAw-A8yXVnOnDgomVToL5ldVAYZw6PDw0FvWB917_UHw8GrYyN5An9Ul4VyCbtP49x7kxDieC5K5jraCAXOTNuSebjaOUktW0k1LwvS73bvEsxC41YBtP5HA8J8ZcVOxv6TiM4yycWJ5lUplA9KVhTMS61cLo2j8bjpUC2nkk9tuPCny6mNUuE4ZpkkpNkBaVZA2g2Q6wsgXpQG2lQVhEjjZ5mcQ7Fu1j8v-YtV3iXBMOviN-gYNYdGZArq_SEgXA_g6bbH8THZ1bEvKRTIcIKnmi9cpPQkZ2ouHlirV7lgqQORHuptHc4I7oMRNPeh1xIEVfLXEM4KaR7JosCMiJv4AFjivBWe5wgz4DyDLI3_xmVHIjf18OYMTPhs9USn2DirvMYKWVJntsQTFhfV4OlCN-fhbDTBjm5R-4ijv32uwOJIa19tSwZWc25FjXX-sdBlhADYFioNadny1AXuHm3Z6Fc6lE72kCWFilagMhriDm9l4V4eqrSx7jBLPJPF1nwdF6qdF06ohfCP49d_ADYAhV8" id="24" name="Picture"/>
            <a:graphic>
              <a:graphicData uri="http://schemas.openxmlformats.org/drawingml/2006/picture">
                <pic:pic>
                  <pic:nvPicPr>
                    <pic:cNvPr descr="C:/Users/15919/Desktop/论文草稿/temp/manuscript_figures_2ymcqwh0/figure_000004.png" id="25" name="Picture"/>
                    <pic:cNvPicPr>
                      <a:picLocks noChangeArrowheads="1" noChangeAspect="1"/>
                    </pic:cNvPicPr>
                  </pic:nvPicPr>
                  <pic:blipFill>
                    <a:blip r:embed="rId23"/>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4 | Small-molecule region detection under different receptor conditions.</w:t>
      </w:r>
      <w:r>
        <w:rPr>
          <w:rFonts w:ascii="Times New Roman" w:hAnsi="Times New Roman"/>
          <w:sz w:val="24"/>
        </w:rPr>
        <w:t xml:space="preserve"> </w:t>
      </w:r>
      <w:r>
        <w:rPr>
          <w:rFonts w:ascii="Times New Roman" w:hAnsi="Times New Roman"/>
          <w:sz w:val="24"/>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and ligand carbon atoms are orange. Other ligand atoms are coloured by element; blue envelopes show selected predicted regions, and pale grey-blue envelopes show ground-truth ligand regions.</w:t>
      </w:r>
    </w:p>
    <w:p>
      <w:pPr>
        <w:pStyle w:val="CaptionedFigure"/>
        <w:keepNext/>
        <w:spacing w:line="480" w:lineRule="auto"/>
        <w:ind w:firstLine="0"/>
        <w:jc w:val="center"/>
      </w:pPr>
      <w:r>
        <w:rPr>
          <w:rFonts w:ascii="Times New Roman" w:hAnsi="Times New Roman"/>
          <w:sz w:val="24"/>
        </w:rPr>
        <w:drawing>
          <wp:inline>
            <wp:extent cx="5733415" cy="2915483"/>
            <wp:effectExtent b="0" l="0" r="0" t="0"/>
            <wp:docPr descr="Fig. 5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tuEzEUhl9lNGtSJ5MONKMSCaWBTUEREjtLkevxZKz4hu1cKmCNWLACsQGxZsUDUAmehqaPwfF4cqnKAjHSyL99fn8-59ivUkN8nRZJuvl49fvzTzTOxpurD9dfvxwZ49fpvSS1zGmxZGUwjQqMXzhmHca9fNAbYHzG3Nxrg_HN9x_Xn97evH-3-fYL40jD-C5OEckCimWsQ4ToVFyVHUk8rUNUEjtfmBDPH_T7x718nQ16-fFJ__Wp4bSAP1lLoVxBHuK09t4UCDlaM0nckTZMQbDSFnAwtTNUWrLiaiYFyrrd-0gSrnDaEoD1PwzY5heW7TD2nyC6qjhlZ5ouJFM-kiwTxHOtXM2Nw-mwqVAtJ5xObJzQZ8uJTUrmaDhlVKCm96hpPWo7jw4bjzyTBspUC9jCjZ9WfAbJuml2KenLVd1FcWHaDV9-ZNQMCuEl0LMTUOFyQE-2NQ5P0S6PfUoxQRI6eK7p3CVKj2qiZuyRtXpVM1I6gPQCbxtwhlEfF4G533pwQKSiO024ENw85kKEE4Nu9kdBCuctg6cTZAWe53BKE7812ZnQbV6YOQMdvlg91WUonCy8DhmSYl1ZGUa4uGQNkS5UcxnHhgnrIczWPqEh3j5XcNFga19tawZXM26hxjr_hGmZBAFuC5nGY8ny3EXvXm3dIa50TB3tJSmESlZAGeRZHil_dYV7GauyWd1pUnjCxXb5UAvV9it0qJXwD9M3fwCLTn1P" id="27" name="Picture"/>
            <a:graphic>
              <a:graphicData uri="http://schemas.openxmlformats.org/drawingml/2006/picture">
                <pic:pic>
                  <pic:nvPicPr>
                    <pic:cNvPr descr="C:/Users/15919/Desktop/论文草稿/temp/manuscript_figures_2ymcqwh0/figure_000005.png" id="28" name="Picture"/>
                    <pic:cNvPicPr>
                      <a:picLocks noChangeArrowheads="1" noChangeAspect="1"/>
                    </pic:cNvPicPr>
                  </pic:nvPicPr>
                  <pic:blipFill>
                    <a:blip r:embed="rId26"/>
                    <a:stretch>
                      <a:fillRect/>
                    </a:stretch>
                  </pic:blipFill>
                  <pic:spPr bwMode="auto">
                    <a:xfrm>
                      <a:off x="0" y="0"/>
                      <a:ext cx="5733415" cy="2915483"/>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5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179 test PDB entries with successful predictions within an attempt budget of</w:t>
      </w:r>
      <w:r>
        <w:rPr>
          <w:rFonts w:ascii="Times New Roman" w:hAnsi="Times New Roman"/>
          <w:sz w:val="24"/>
        </w:rPr>
        <w:t xml:space="preserve"> </w:t>
      </w:r>
      <m:oMath>
        <m:r>
          <m:t>K</m:t>
        </m:r>
      </m:oMath>
      <w:r>
        <w:rPr>
          <w:rFonts w:ascii="Times New Roman" w:hAnsi="Times New Roman"/>
          <w:sz w:val="24"/>
        </w:rPr>
        <w:t xml:space="preserve">, for</w:t>
      </w:r>
      <w:r>
        <w:rPr>
          <w:rFonts w:ascii="Times New Roman" w:hAnsi="Times New Roman"/>
          <w:sz w:val="24"/>
        </w:rPr>
        <w:t xml:space="preserve"> </w:t>
      </w:r>
      <m:oMath>
        <m:r>
          <m:t>K</m:t>
        </m:r>
        <m:r>
          <m:rPr>
            <m:sty m:val="p"/>
          </m:rPr>
          <m:t>=</m:t>
        </m:r>
        <m:r>
          <m:t>1</m:t>
        </m:r>
      </m:oMath>
      <w:r>
        <w:rPr>
          <w:rFonts w:ascii="Times New Roman" w:hAnsi="Times New Roman"/>
          <w:sz w:val="24"/>
        </w:rPr>
        <w:t xml:space="preserve">–</w:t>
      </w:r>
      <m:oMath>
        <m:r>
          <m:t>10</m:t>
        </m:r>
      </m:oMath>
      <w:r>
        <w:rPr>
          <w:rFonts w:ascii="Times New Roman" w:hAnsi="Times New Roman"/>
          <w:sz w:val="24"/>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spacing w:line="480" w:lineRule="auto"/>
        <w:ind w:firstLine="0"/>
        <w:jc w:val="center"/>
      </w:pPr>
      <w:r>
        <w:rPr>
          <w:rFonts w:ascii="Times New Roman" w:hAnsi="Times New Roman"/>
          <w:sz w:val="24"/>
        </w:rPr>
        <w:drawing>
          <wp:inline>
            <wp:extent cx="5733415" cy="5023421"/>
            <wp:effectExtent b="0" l="0" r="0" t="0"/>
            <wp:docPr descr="Fig. 6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stuEzEU_ZXRrGmcTDpFGZVIKA1sCoqQ2FmKXI8nY8UvbOdRAWvEglURGxBrVnwAleBraPoZXI8nj6osECONfHzv8bn3Hvt1aoiv0yJJNx-vf3_-icbZeHN9dfP1S8cYv04fJKllToslKwNpVGD80jHrMO7lg94A4zPm5l4bjG-__7j59O72w_vNt18YRzWM78spIlmQYhk7cpIIcWS4YYIrFrKS2PnChHz-sN8_7uXrvJv1j7Pem1PDaQF_spZCuYI8wmntvSkQcrRmkriONkxBstJWEg9bO0OlJSuuZlKgrNs9QZJwhdNWAbT-RwOO-YVlOxn7TyK6qjhlZ5ouJFM-KlkmiOdauZobh9NhM6FaTjid2Lihz5cTm5TM0VBlVKDGe9RYj1rn0aHxyDNpYEy1gCPc-GnFZ9Csm2aXkr5a1V0UA9Nu-E46Rs1gEF6Cer8HKFwO4Ml2xuEp2vWxbyk2SIKD55rOXaL0qCZqxh5bq1c1I6UDkUZvm3CGUR-DoLk_elAgqqJ7JlwIbp5wIULFgJvzEZDCecs8rQOsgPMCqjT5O5sdCd3VCztnwOGL1TNdhsHJwuvQISnWlZVhhYtL1pDpwjSXcW00IR7SbO0TGvLtcwUWDbT21bZkYDXrVtRY558yLZMAgG2h01iWLM9d5O7Rlh3ySsfW0R6SQqhkBSqDPMujyl9Z4V7GqmyiO0wKT7jYhg-xUK1fwaEWwj9M3_4Bjmh9hw" id="30" name="Picture"/>
            <a:graphic>
              <a:graphicData uri="http://schemas.openxmlformats.org/drawingml/2006/picture">
                <pic:pic>
                  <pic:nvPicPr>
                    <pic:cNvPr descr="C:/Users/15919/Desktop/论文草稿/temp/manuscript_figures_2ymcqwh0/figure_000006.png" id="31" name="Picture"/>
                    <pic:cNvPicPr>
                      <a:picLocks noChangeArrowheads="1" noChangeAspect="1"/>
                    </pic:cNvPicPr>
                  </pic:nvPicPr>
                  <pic:blipFill>
                    <a:blip r:embed="rId29"/>
                    <a:stretch>
                      <a:fillRect/>
                    </a:stretch>
                  </pic:blipFill>
                  <pic:spPr bwMode="auto">
                    <a:xfrm>
                      <a:off x="0" y="0"/>
                      <a:ext cx="5733415" cy="5023421"/>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6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The evaluation includes 77 PDB entries containing these small molecules. Find and Match denote LigandSeek-Find and LigandSeek-Match, respectively, within the LigandSeek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curves require correct region detection, whereas Find+Match curves require both correct region detection and correct ligand identity matching.</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Times New Roman" w:hAnsi="Times New Roman"/>
          <w:sz w:val="24"/>
        </w:rPr>
        <w:t xml:space="preserve"> </w:t>
      </w:r>
      <m:oMath>
        <m:r>
          <m:t>K</m:t>
        </m:r>
      </m:oMath>
      <w:r>
        <w:rPr>
          <w:rFonts w:ascii="Times New Roman" w:hAnsi="Times New Roman"/>
          <w:sz w:val="24"/>
        </w:rPr>
        <w:t xml:space="preserve">; the vertical axis shows the percentage of PDB entries with successful predictions within that budget. GT and CA2 denote deposited and CryoAtom2-reconstructed receptor structures, respectively.</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32">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33">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34">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35">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36">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37">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38">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39">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40">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41">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42">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43">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44">
        <w:r>
          <w:rPr>
            <w:rStyle w:val="Hyperlink"/>
          </w:rPr>
          <w:t xml:space="preserve">10.1021/acs.jmedchem.3c01134</w:t>
        </w:r>
      </w:hyperlink>
      <w:r>
        <w:rPr>
          <w:rFonts w:ascii="Times New Roman" w:hAnsi="Times New Roman"/>
          <w:sz w:val="24"/>
        </w:rPr>
        <w:t xml:space="preserve">.</w:t>
      </w:r>
    </w:p>
    <w:bookmarkEnd w:id="45"/>
    <w:bookmarkEnd w:id="46"/>
    <w:bookmarkEnd w:id="47"/>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qa0FANzhDSY">
    <w:name w:val="MDFIGREF_eJyrrk7LTC9KTbMqLklMTzXUzU3MzNMtzqwoSMxLzalJqa0FANzhDSY"/>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41" Type="http://schemas.openxmlformats.org/officeDocument/2006/relationships/hyperlink" Target="https://doi.org/10.1016/j.cell.2026.01.003" TargetMode="External"/><Relationship Id="rId43" Type="http://schemas.openxmlformats.org/officeDocument/2006/relationships/hyperlink" Target="https://doi.org/10.1016/j.str.2020.04.018" TargetMode="External"/><Relationship Id="rId39" Type="http://schemas.openxmlformats.org/officeDocument/2006/relationships/hyperlink" Target="https://doi.org/10.1016/j.str.2025.07.002" TargetMode="External"/><Relationship Id="rId33" Type="http://schemas.openxmlformats.org/officeDocument/2006/relationships/hyperlink" Target="https://doi.org/10.1016/j.tibs.2014.10.005" TargetMode="External"/><Relationship Id="rId44" Type="http://schemas.openxmlformats.org/officeDocument/2006/relationships/hyperlink" Target="https://doi.org/10.1021/acs.jmedchem.3c01134" TargetMode="External"/><Relationship Id="rId32" Type="http://schemas.openxmlformats.org/officeDocument/2006/relationships/hyperlink" Target="https://doi.org/10.1038/d41586-020-00341-9" TargetMode="External"/><Relationship Id="rId42" Type="http://schemas.openxmlformats.org/officeDocument/2006/relationships/hyperlink" Target="https://doi.org/10.1038/s41467-023-36732-5" TargetMode="External"/><Relationship Id="rId34" Type="http://schemas.openxmlformats.org/officeDocument/2006/relationships/hyperlink" Target="https://doi.org/10.1038/s41586-024-07215-4" TargetMode="External"/><Relationship Id="rId36" Type="http://schemas.openxmlformats.org/officeDocument/2006/relationships/hyperlink" Target="https://doi.org/10.1038/s41594-025-01723-1" TargetMode="External"/><Relationship Id="rId37" Type="http://schemas.openxmlformats.org/officeDocument/2006/relationships/hyperlink" Target="https://doi.org/10.1126/science.aat4346" TargetMode="External"/><Relationship Id="rId38" Type="http://schemas.openxmlformats.org/officeDocument/2006/relationships/hyperlink" Target="https://doi.org/10.64898/2026.06.01.729423" TargetMode="External"/><Relationship Id="rId35" Type="http://schemas.openxmlformats.org/officeDocument/2006/relationships/hyperlink" Target="https://doi.org/10.65215/LTSpreprints.2026.04.14.000185" TargetMode="External"/><Relationship Id="rId40"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doi.org/10.1016/j.cell.2026.01.003" TargetMode="External"/><Relationship Id="rId43" Type="http://schemas.openxmlformats.org/officeDocument/2006/relationships/hyperlink" Target="https://doi.org/10.1016/j.str.2020.04.018" TargetMode="External"/><Relationship Id="rId39" Type="http://schemas.openxmlformats.org/officeDocument/2006/relationships/hyperlink" Target="https://doi.org/10.1016/j.str.2025.07.002" TargetMode="External"/><Relationship Id="rId33" Type="http://schemas.openxmlformats.org/officeDocument/2006/relationships/hyperlink" Target="https://doi.org/10.1016/j.tibs.2014.10.005" TargetMode="External"/><Relationship Id="rId44" Type="http://schemas.openxmlformats.org/officeDocument/2006/relationships/hyperlink" Target="https://doi.org/10.1021/acs.jmedchem.3c01134" TargetMode="External"/><Relationship Id="rId32" Type="http://schemas.openxmlformats.org/officeDocument/2006/relationships/hyperlink" Target="https://doi.org/10.1038/d41586-020-00341-9" TargetMode="External"/><Relationship Id="rId42" Type="http://schemas.openxmlformats.org/officeDocument/2006/relationships/hyperlink" Target="https://doi.org/10.1038/s41467-023-36732-5" TargetMode="External"/><Relationship Id="rId34" Type="http://schemas.openxmlformats.org/officeDocument/2006/relationships/hyperlink" Target="https://doi.org/10.1038/s41586-024-07215-4" TargetMode="External"/><Relationship Id="rId36" Type="http://schemas.openxmlformats.org/officeDocument/2006/relationships/hyperlink" Target="https://doi.org/10.1038/s41594-025-01723-1" TargetMode="External"/><Relationship Id="rId37" Type="http://schemas.openxmlformats.org/officeDocument/2006/relationships/hyperlink" Target="https://doi.org/10.1126/science.aat4346" TargetMode="External"/><Relationship Id="rId38" Type="http://schemas.openxmlformats.org/officeDocument/2006/relationships/hyperlink" Target="https://doi.org/10.64898/2026.06.01.729423" TargetMode="External"/><Relationship Id="rId35" Type="http://schemas.openxmlformats.org/officeDocument/2006/relationships/hyperlink" Target="https://doi.org/10.65215/LTSpreprints.2026.04.14.000185" TargetMode="External"/><Relationship Id="rId40"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2026-10-06T09:24:13Z</dcterms:created>
  <dcterms:modified xsi:type="dcterms:W3CDTF">2026-10-06T09:24:13Z</dcterms:modified>
</cp:coreProperties>
</file>

<file path=docProps/custom.xml><?xml version="1.0" encoding="utf-8"?>
<Properties xmlns="http://schemas.openxmlformats.org/officeDocument/2006/custom-properties" xmlns:vt="http://schemas.openxmlformats.org/officeDocument/2006/docPropsVTypes"/>
</file>