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2O0zAQfpUoZ6iblrJqtFRCXeCyoAqJm6XK6ziJ1cS2bCctAiRuwIEb4sIDwIkHYCV4Gnb7GMzE6c9qOSAiRf488_mbmc9-FRvmyziN4utPl7-__CRXby-3X98DGhjjN_GdKLbC6aoVGZLmKaUvnLCO0mQyTaaUngm38tpQuv3-4-rzu-3HD9ffflEa1Ci9LadYLVAql8Vd3QrbSrFetiNM1cyuGoPJyck4mSTDTTK9l4zG49enRvIU_mhTV8ql7AGNS-9NSojjpaiZG2gjFCRzbWvmYWsLklm2lqqoKzIaDu-TmklF414BtP5HA475xoq9jP0nEZ3nkoszzZtaKB-UrKiYl1q5UhpH41k3oWoXki9s2PBn7cJGmXAcq8xT0hlPOt9Jbzs5dp14URsYUzVwRBq_BIuhWbdMTCNU4XMSAsshfsnAqAIGkRmoj08A4c0AXuxmnJ2SfR-HlkKDDB0813zlIqXnJVOFeGitXpeCZQ5EEtTbJZwR3IcgaB6OHhUIquSWCReVNI9lVWFFxN35AFjqvBWelwhz4DyHKl3-xmZPIjf1cOcMOHyxfqozHJw1XmOHLN3ktsYVLi7aQGYI07wMa6cJcUyLjY845vvnCiyOtP7V9mRgdetO1FjnnwhdRwiAbaHTUJa15y5wD2jHxrzSoXVygCytVLQGlelkNAkqf2XhvTxSWRfdY5Z6Jqtd-BhXqvcLHeoh_LP4zR8ca3-d" id="36" name="Picture"/>
            <a:graphic>
              <a:graphicData uri="http://schemas.openxmlformats.org/drawingml/2006/picture">
                <pic:pic>
                  <pic:nvPicPr>
                    <pic:cNvPr descr="C:/Users/15919/Desktop/论文草稿/temp/manuscript_figures_1puengtf/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Sa1tQB3QQlZ"/>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ind w:firstLine="0"/>
        <w:jc w:val="center"/>
      </w:pPr>
      <w:r>
        <w:drawing>
          <wp:inline>
            <wp:extent cx="5731510" cy="677038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 c, Foreground classification and identity assignment in Match. The candidate encoder processes a 48³ grid centred on each blob with a U-Net to generate voxel summary h_j^{\mathrm{vox}}. Find-derived blob, pocket and pseudo-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2O0zAQfpUoZ7ZOutstjZZKqAtcdlGFxM1S5U2cxGr8I9tpiwCJG-LADXHhBTjxACDB07C7j8FMnP6s2AMiUuRvPJ-_mfns17Fhvo6zKL759OP3l5_kkvtaF9fvMBgY4zfxgyi23OlmxQvkzTJKXzpuHaXpaJJOKD3nbum1ofT22_frz-9vP364-fqL0iBI6b2KikmOaqWojmRHOFqdYEIyu2wNpkbj43SUJpvT8Tg5fpi8OTMiz-CPNrJRLmOPaFx7bzJCXF5zydxAG64gWWormYfQVqSwbC1UJRsyTJJTIplQNO4VQOt_NOCYby3fydh_EtFlKXJ-rvNWcuWDkuUN80IrVwvjaDztJlSrucjnNgT589XcRgV3OVaZZaRznnTGk953cmg78VwaGFO1cEQYvwCDoVm3SE3LVeVLEjYWCX7DgVEVDCIKUD9JAOG9AJ5vZ5yekV0f-5ZCgwwdvND50kVKz2qmKv7YWr2uOSsciKSot004w3MfNkFzf_SgQFAlf5lw1QjzVDQNVkTcnQ-AZc5b7vMaYQmcF1Cly98JdiRyVw8jZ8Dhq_WlLnBw1nqNHbJsU1qJK1xctIEMuvMqrJ0m7GOab3yUY75_rsDKkda_2p4MrG7dihrr_DOuZYQA2BY6DWXZ6sIF7h5t2ZhXOrRO9pBljYrWoDIZDUdB5V4W3ssTVXS7O8wyz0Sz3T7Ejer9Qod6CP80fvsHceV_Fg" id="39" name="Picture"/>
            <a:graphic>
              <a:graphicData uri="http://schemas.openxmlformats.org/drawingml/2006/picture">
                <pic:pic>
                  <pic:nvPicPr>
                    <pic:cNvPr descr="C:/Users/15919/Desktop/论文草稿/temp/manuscript_figures_1puengtf/figure_000002.png" id="40" name="Picture"/>
                    <pic:cNvPicPr>
                      <a:picLocks noChangeArrowheads="1" noChangeAspect="1"/>
                    </pic:cNvPicPr>
                  </pic:nvPicPr>
                  <pic:blipFill>
                    <a:blip r:embed="rId38"/>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LigandSeek’s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Shared inputs. Experimental cryo-electron microscopy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ascii="华文仿宋" w:hAnsi="华文仿宋" w:eastAsia="华文仿宋"/>
          <w:sz w:val="18"/>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Foreground classification and identity assignment in Match. The candidate encoder processes a 48³ grid centred on each blob with a U-Net to generate voxel summary</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pocket and pseudo-atom features modulate</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via dual pooling, cross-attention and FiLM, yielding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Finally, a foreground head predicts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and learned cosine scoring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produces the assignment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Pose reconstruction in Build. The blob geometric centre</w:t>
      </w:r>
      <w:r>
        <w:rPr>
          <w:rFonts w:ascii="华文仿宋" w:hAnsi="华文仿宋" w:eastAsia="华文仿宋"/>
          <w:sz w:val="18"/>
        </w:rPr>
        <w:t xml:space="preserve"> </w:t>
      </w:r>
      <m:oMath>
        <m:r>
          <m:t>p</m:t>
        </m:r>
      </m:oMath>
      <w:r>
        <w:rPr>
          <w:rFonts w:ascii="华文仿宋" w:hAnsi="华文仿宋" w:eastAsia="华文仿宋"/>
          <w:sz w:val="18"/>
        </w:rPr>
        <w:t xml:space="preserve">, Match-assigned ligand identity and pocket environment are supplied to docking tools to generate ligand poses. The default tool is PocketXMol fine-tuned with density guidance. Vina, DiffDock and EMERALD are also supported.</w:t>
      </w:r>
    </w:p>
    <w:bookmarkEnd w:id="41"/>
    <w:bookmarkStart w:id="71" w:name="results"/>
    <w:p>
      <w:pPr>
        <w:pStyle w:val="1"/>
        <w:keepNext/>
        <w:ind w:firstLine="0"/>
      </w:pPr>
      <w:r>
        <w:t xml:space="preserve">Results</w:t>
      </w:r>
    </w:p>
    <w:bookmarkStart w:id="70"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performance was measured using the Dice score.</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 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one-to-oneF1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one-to-onePRAUC</m:t>
            </m:r>
          </m:e>
          <m:sub>
            <m:r>
              <m:t>τ</m:t>
            </m:r>
          </m:sub>
        </m:sSub>
      </m:oMath>
      <w:r>
        <w:t xml:space="preserve">.</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more precise assessment of the model’s performance.</w:t>
      </w:r>
    </w:p>
    <w:bookmarkEnd w:id="42"/>
    <w:bookmarkStart w:id="46" w:name="stage-1-results"/>
    <w:p>
      <w:pPr>
        <w:pStyle w:val="3"/>
        <w:keepNext/>
        <w:ind w:firstLine="0"/>
      </w:pPr>
      <w:r>
        <w:t xml:space="preserve">Stage 1: Results</w:t>
      </w:r>
    </w:p>
    <w:p>
      <w:pPr>
        <w:pStyle w:val="FirstParagraph"/>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 one-to-one PRAUC@0.3 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 one-to-one PRAUC@0.5 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and Emap2lig-Find directly using one-to-one PRAUC@0.3</w:t>
      </w:r>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performed better on 112 structures, comparably on 40 and worse on 27 in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Its performance was therefore substantially better than that of Emap2lig-Find. In the small-molecule subset, the corresponding counts were 40, 36 and 18 PDB entries</w:t>
      </w:r>
      <w:r>
        <w:t xml:space="preserve"> </w:t>
      </w:r>
      <w:r>
        <w:t xml:space="preserve">(</w:t>
      </w:r>
      <w:r>
        <w:rPr>
          <w:rStyle w:val="MDFIGREF_eJyrrk7LTC9KTbMqLklMTzXUzU3MzNMtzqwoSMxLzalJqa0FANzhDSY"/>
        </w:rPr>
        <w:t xml:space="preserve">Fig. 3d</w:t>
      </w:r>
      <w:r>
        <w:t xml:space="preserve">).</w:t>
      </w:r>
      <w:r>
        <w:t xml:space="preserve"> </w:t>
      </w:r>
      <w:r>
        <w:t xml:space="preserve">Although the advantage narrowed, LigandSeek-Find continued to outperform Emap2lig-Find. Emap2lig primarily targets small-molecule identification and modelling, explaining its better detection performance for small molecules than across all ligand categories.</w:t>
      </w:r>
    </w:p>
    <w:p>
      <w:pPr>
        <w:pStyle w:val="BodyText"/>
        <w:spacing w:line="360" w:lineRule="auto" w:after="120"/>
        <w:ind w:firstLine="420"/>
      </w:pPr>
      <w:r>
        <w:t xml:space="preserve">Emap2lig-Find tended to predict far more ligand instances than were present, resulting in much lower precision than recall in both semantic and instance-level metrics</w:t>
      </w:r>
      <w:r>
        <w:t xml:space="preserve"> </w:t>
      </w:r>
      <w:r>
        <w:t xml:space="preserve">(</w:t>
      </w:r>
      <w:r>
        <w:rPr>
          <w:rStyle w:val="MDFIGREF_eJyrrk7LTC9KTbMqLklMTzXUzU3MzNMtzqwoSMxLzalJ1UmrrQUA9yANuQ"/>
        </w:rPr>
        <w:t xml:space="preserve">Fig. 3e, f</w:t>
      </w:r>
      <w:r>
        <w:t xml:space="preserve">).</w:t>
      </w:r>
      <w:r>
        <w:t xml:space="preserve"> </w:t>
      </w:r>
      <w:r>
        <w:t xml:space="preserve">Accurate localisation requires both high precision and high recall, with a good balance between them. Sacrificing too much precision to increase recall is inappropriate for this task. LigandSeek-Find achieved a good balance between precision and recall under these conditions. The low precision of Emap2lig-Find directly resulted in its low Dice score. However, subsequent analyses showed reasonable top-k success rates for Emap2lig-Find</w:t>
      </w:r>
      <w:r>
        <w:t xml:space="preserve"> </w:t>
      </w:r>
      <w:r>
        <w:t xml:space="preserve">(</w:t>
      </w:r>
      <w:r>
        <w:rPr>
          <w:rStyle w:val="MDFIGREF_eJyrrk7LTC9KTbNKNUrVTczJ0U3LzEvRzU0sSc6orQUApM0LCA"/>
        </w:rPr>
        <w:t xml:space="preserve">Fig. 5</w:t>
      </w:r>
      <w:r>
        <w:t xml:space="preserve">,</w:t>
      </w:r>
      <w:r>
        <w:t xml:space="preserve"> </w:t>
      </w:r>
      <w:r>
        <w:rPr>
          <w:rStyle w:val="MDFIGREF_eJyrrk7LTC9KTbNKNUrVLc5NzMnRLcgsSM3JzEutSaytBQDAfQxA"/>
        </w:rPr>
        <w:t xml:space="preserve">Fig. 6a</w:t>
      </w:r>
      <w:r>
        <w:t xml:space="preserve">).</w:t>
      </w:r>
      <w:r>
        <w:t xml:space="preserve"> </w:t>
      </w:r>
      <w:r>
        <w:t xml:space="preserve">Its PRAUC, which depends on ranking instances by their mean probability, was therefore substantially higher than its Dice score.</w:t>
      </w:r>
    </w:p>
    <w:p>
      <w:pPr>
        <w:pStyle w:val="CaptionedFigure"/>
        <w:keepNext/>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ecision–recall area under the curve (PRAUC) at bidirectional coverage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a bidirectional coverage threshold of 0.3. Each point represents one PDB entry; open white circles and thick bars indicate the median and interquartile range, respectively." title="MDPPTFIG_eJydUstu1DAU_ZUoazpOOmRQozISmgKbgkZI7CyN3MRJrElsy3ZmgoA1YsGKig2INSs-gErwNXT6GdwbZx4VXSAiRT6-5_jch_061MxVYRqEm8ur359_EutYyePN1cfrr19GWrsuvBeEhltVr3iOullK6UvLjaU0Tk7iE0rPuF06pSm9-f7j-tO7mw_vN99-UeoNKb3TUbKGo5snjxom5JEVnWaS18g3zCxbjYrkwThO4qibjCfxOIrenGqRpfAHXVNLm7KHNKyc0ykhNqt4w-xIaS6BLJRpmIOtKUlu2FrIsqnJcRRNCKaj4eAAXv_jAcdca_jOxvyTiSoKkfEzlbUNl847GV4zJ5S0ldCWhtO-Q7mai2xu_CZ7vpqbIOc2wyyzlPQXQPr5k2H85HD6xPFGQ5uyhSNCu0UhSijWLmLdclm6gvjAIsJvPNKyhEZEDu73E0B4PYDn2x6np2RXx74kXyDDCZ6rbGkDqWYVkyV_ZIxaV5zlFkxi9NsSVvPM-SB47o8eJPCu5K8hXNRCPxF1jRkR9-c9YKl1hrusQliA5gVk6flbm52I3PbDndUw4Yv1M5Vj46x1CitkaVeYBle4uKADJoJuXvm194Q40rxzQYb88FxBlaFseLWDGFT9ujXVxrqnXDUBAlAbqNSnZatz67V7tFUjL5UvnewhS2sZrMHlJDlOvMudKryXxzLvozvMUsdEvQ0f4loO88IJDRD-afj2D4cWgaU" id="44" name="Picture"/>
            <a:graphic>
              <a:graphicData uri="http://schemas.openxmlformats.org/drawingml/2006/picture">
                <pic:pic>
                  <pic:nvPicPr>
                    <pic:cNvPr descr="C:/Users/15919/Desktop/论文草稿/temp/manuscript_figures_1puengtf/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b, Per-PDB Dice scores and one-to-one precision–recall area under the curve (PRAUC) at bidirectional coverage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d,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 f, One-to-one precision and recall at a bidirectional coverage threshold of 0.3. Each point represents one PDB entry; open white circles and thick bars indicate the median and interquartile range, respectively.</w:t>
      </w:r>
    </w:p>
    <w:bookmarkEnd w:id="46"/>
    <w:bookmarkStart w:id="69"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4a–d</w:t>
      </w:r>
      <w:r>
        <w:t xml:space="preserve">).</w:t>
      </w:r>
      <w:r>
        <w:t xml:space="preserve"> </w:t>
      </w:r>
      <w:r>
        <w:t xml:space="preserve">In the viral replication-associated protein complex 9PQM, both methods detected most of the region occupied by the ATP analogue ATPγS. LigandSeek-Find and Emap2lig-Find achieved instance Dice scores of 0.816 and 0.766, respectively</w:t>
      </w:r>
      <w:r>
        <w:t xml:space="preserve"> </w:t>
      </w:r>
      <w:r>
        <w:t xml:space="preserve">(</w:t>
      </w:r>
      <w:r>
        <w:rPr>
          <w:rStyle w:val="MDFIGREF_eJyrrk7LTC9KTbMqLklMTzXUTcsvLUpOLE7VzU3MzKtJrK0FAN2PDRc"/>
        </w:rPr>
        <w:t xml:space="preserve">Fig. 4a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4b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4c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4d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Replacing deposited receptor structures with receptors reconstructed from density maps by CryoAtom2 retained the main detection and coverage advantages of LigandSeek-Find in these cases.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4a–c</w:t>
      </w:r>
      <w:r>
        <w:t xml:space="preserve">).</w:t>
      </w:r>
      <w:r>
        <w:t xml:space="preserve"> </w:t>
      </w:r>
      <w:r>
        <w:t xml:space="preserve">The 9RMI case illustrated a loss of precision after receptor replacement. The predicted region extended beyond the ligand, reducing precision from 0.607 to 0.396 and Dice from 0.719 to 0.532</w:t>
      </w:r>
      <w:r>
        <w:t xml:space="preserve"> </w:t>
      </w:r>
      <w:r>
        <w:t xml:space="preserve">(</w:t>
      </w:r>
      <w:r>
        <w:rPr>
          <w:rStyle w:val="MDFIGREF_eJyrrk7LTC9KTbMqLklMTzXUTcsvLUpOLE7VzU3MzKtJqa0FAN2YDRo"/>
        </w:rPr>
        <w:t xml:space="preserve">Fig. 4d</w:t>
      </w:r>
      <w:r>
        <w:t xml:space="preserve">).</w:t>
      </w:r>
      <w:r>
        <w:t xml:space="preserve"> </w:t>
      </w:r>
      <w:r>
        <w:t xml:space="preserve">Nevertheless, the prediction still covered 0.810 of the ground-truth ligand region, and its Dice score exceeded the 0.131 achieved by Emap2lig-Find. Thus, across these four cases, LigandSeek-Find retained good detection performance with CryoAtom2-reconstructed receptors when deposited receptor structures were unavailable. Performance decreased in some regions, while the overall test-set comparison is shown in</w:t>
      </w:r>
      <w:r>
        <w:t xml:space="preserve"> </w:t>
      </w:r>
      <w:r>
        <w:rPr>
          <w:rStyle w:val="MDFIGREF_eJyrrk7LTC9KTbMqLklMTzXUzU3MzNMtzqwoSMxLzamtBQDDLQxG"/>
        </w:rPr>
        <w:t xml:space="preserve">Fig. 3</w:t>
      </w:r>
      <w:r>
        <w:t xml:space="preserve">.</w:t>
      </w:r>
    </w:p>
    <w:p>
      <w:pPr>
        <w:pStyle w:val="CaptionedFigure"/>
        <w:keepNext/>
        <w:ind w:firstLine="0"/>
        <w:jc w:val="center"/>
      </w:pPr>
      <w:r>
        <w:drawing>
          <wp:inline>
            <wp:extent cx="5731510" cy="7080101"/>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and ligand carbon atoms are orange. Other ligand atoms are coloured by element; blue envelopes show selected predicted regions, and pale grey-blue envelopes show ground-truth ligand regions." title="MDPPTFIG_eJydUt2K1DAUfpXSa3fTrjuuU9YBmVVvVhkE7wJDNk3bMG0SknRmRL1VBMUb2RsfQK_0XkGfZtx5DM9pOj-LCmKh5Ms53_nOX57FhvkqzqL46v231YfvxHlWinT17sv648vVm8tDY_wyvhHFVjhdz0WO1HFG6RMnrKM0HQzTIaVnws28NpSuP3_9eflq_fb11acflAZNSv8mqlgjUDD4DwrdWs6cOGiYVOhvmJ21BhmDk5vpIE2WJ8ntJE3S56dG8gz-aNnUymXsDo0r701GiOOVaJg71EYocBbaNszD1ZYkt2whVdnU5ChJbhHMQuNeAbT-RwPCfGvFVsb-k4guCsnFmeZtI5QPSlbUzEutXCWNo_Go61DNJ5JPbLjwR_OJjXLhOGYZZ6TbAelWQPoNkP0FEC8aA22qFkKk8dNCllCsm6amFar0BQmGaYLf8aFRJTQic1A_HgLC9QCebHocnZJtHbuSQoEMJ3iu-cxFSo8rpkpx11q9qATLHYikqLdxOCO4D0bQ3IXuJQiq5LchXNTS3Jd1jRkRd_EBsMx5KzyvEBbAeQxZOv-1y5ZEruvhzRmY8MXioc6xcdZ6jRWybFnYBk9YXLQETwLdPA1npwl2dIuljzj6--cKLI60_tX2ZGB150bUWOcfCN1ECIBtodKQls3PXeDu0IaNfqVD6WQHWVaraAEqw8HRIKj8kYV7uafyzrrFLPNM1hvzPq5VPy-cUA_hH8UvfgFZf4Vu" id="48" name="Picture"/>
            <a:graphic>
              <a:graphicData uri="http://schemas.openxmlformats.org/drawingml/2006/picture">
                <pic:pic>
                  <pic:nvPicPr>
                    <pic:cNvPr descr="C:/Users/15919/Desktop/论文草稿/temp/manuscript_figures_1puengtf/figure_000004.png" id="49" name="Picture"/>
                    <pic:cNvPicPr>
                      <a:picLocks noChangeArrowheads="1" noChangeAspect="1"/>
                    </pic:cNvPicPr>
                  </pic:nvPicPr>
                  <pic:blipFill>
                    <a:blip r:embed="rId47"/>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Small-molecule region detection under different receptor conditions.</w:t>
      </w:r>
      <w:r>
        <w:rPr>
          <w:rFonts w:ascii="华文仿宋" w:hAnsi="华文仿宋" w:eastAsia="华文仿宋"/>
          <w:sz w:val="18"/>
        </w:rPr>
        <w:t xml:space="preserve"> </w:t>
      </w:r>
      <w:r>
        <w:rPr>
          <w:rFonts w:ascii="华文仿宋" w:hAnsi="华文仿宋" w:eastAsia="华文仿宋"/>
          <w:sz w:val="18"/>
        </w:rPr>
        <w:t xml:space="preserve">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and ligand carbon atoms are orange. Other ligand atoms are coloured by element; blue envelopes show selected predicted regions, and pale grey-blue envelopes show ground-truth ligand regions.</w:t>
      </w:r>
    </w:p>
    <w:p>
      <w:pPr>
        <w:pStyle w:val="CaptionedFigure"/>
        <w:keepNext/>
        <w:ind w:firstLine="0"/>
        <w:jc w:val="center"/>
      </w:pPr>
      <w:r>
        <w:drawing>
          <wp:inline>
            <wp:extent cx="5731510" cy="2914514"/>
            <wp:effectExtent b="0" l="0" r="0" t="0"/>
            <wp:docPr descr="Fig. 5 | End-to-end ligand-region detection and identity matching. The curves show the percentage of 179 test PDB entries with successful predictions within an attempt budget of K, for K=1–10.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 title="MDPPTFIG_eJydks-O0zAQxl8lypnWTdiAGi2VULdwWVCFxM1S5XWcxKpjW7bTFgFnxIETKy4gzpx4AFaCp2G7j8E4Tv-slgMiUuTPns8_z4z9OtbE1XEexdvLq9-ff6JZOttefbz--mWotdvE96LYMKvEihXeNM0xfmmZsRgn2TgZY3zG7NIpjfHN9x_Xn97dfHi__fYL40DD-C5OkoZ5FEvZgAgxKLksBg1xtPbRhphlq308e3g_yZLRJh0nJ1ly8uZUc5rDH20aIW1OHuG4dk7nCFlas4bYodJMQrBUBnAwNRUqDFlzWTUCpaPRA9QQLnHcE4D1PwzY5lrD9hjzTxBVlpyyM0XbhkkXSIYJ4riStuba4njSVShXc07nJkzo89XcRAWz1J8yzVHXe9S1HvWdR8eNR441GsqULWzh2i1KXkGydpHolsnKlSgsLEb-y4ZaVlAIL4CepaD85YCe72qcnKJ9HoeUQoLEd_Bc0aWNpJrWRFbssTFqXTNSWIAknrcLWM2oC4vAPGw9OiBQ0Z0mXAiun3Ah_Iled_uDILl1hsHT8bIEzws4pYvfmuxN6DbPz6yGDl-sn6nCF05ap3yGJN-UpvEjXFy0gcgIqnkVxo4J6z7MNi6iPt4_V3BRb-tfbW8GVzfuoNpY95SpJvIC3AYyDceS1bkN3oPauX1cqpA6OkiSCxmtgTLO0ixQ_ury9zKTRbe61yR3hIvd8rEWsu-X71Av4Z_Eb_8Auh19Yw" id="51" name="Picture"/>
            <a:graphic>
              <a:graphicData uri="http://schemas.openxmlformats.org/drawingml/2006/picture">
                <pic:pic>
                  <pic:nvPicPr>
                    <pic:cNvPr descr="C:/Users/15919/Desktop/论文草稿/temp/manuscript_figures_1puengtf/figure_000005.png" id="52" name="Picture"/>
                    <pic:cNvPicPr>
                      <a:picLocks noChangeArrowheads="1" noChangeAspect="1"/>
                    </pic:cNvPicPr>
                  </pic:nvPicPr>
                  <pic:blipFill>
                    <a:blip r:embed="rId50"/>
                    <a:stretch>
                      <a:fillRect/>
                    </a:stretch>
                  </pic:blipFill>
                  <pic:spPr bwMode="auto">
                    <a:xfrm>
                      <a:off x="0" y="0"/>
                      <a:ext cx="5731510" cy="291451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179 test PDB entries with successful predictions within an attempt budget of</w:t>
      </w:r>
      <w:r>
        <w:rPr>
          <w:rFonts w:ascii="华文仿宋" w:hAnsi="华文仿宋" w:eastAsia="华文仿宋"/>
          <w:sz w:val="18"/>
        </w:rPr>
        <w:t xml:space="preserve"> </w:t>
      </w:r>
      <m:oMath>
        <m:r>
          <m:t>K</m:t>
        </m:r>
      </m:oMath>
      <w:r>
        <w:rPr>
          <w:rFonts w:ascii="华文仿宋" w:hAnsi="华文仿宋" w:eastAsia="华文仿宋"/>
          <w:sz w:val="18"/>
        </w:rPr>
        <w:t xml:space="preserve">, for</w:t>
      </w:r>
      <w:r>
        <w:rPr>
          <w:rFonts w:ascii="华文仿宋" w:hAnsi="华文仿宋" w:eastAsia="华文仿宋"/>
          <w:sz w:val="18"/>
        </w:rPr>
        <w:t xml:space="preserve"> </w:t>
      </w:r>
      <m:oMath>
        <m:r>
          <m:t>K</m:t>
        </m:r>
        <m:r>
          <m:rPr>
            <m:sty m:val="p"/>
          </m:rPr>
          <m:t>=</m:t>
        </m:r>
        <m:r>
          <m:t>1</m:t>
        </m:r>
      </m:oMath>
      <w:r>
        <w:rPr>
          <w:rFonts w:ascii="华文仿宋" w:hAnsi="华文仿宋" w:eastAsia="华文仿宋"/>
          <w:sz w:val="18"/>
        </w:rPr>
        <w:t xml:space="preserve">–</w:t>
      </w:r>
      <m:oMath>
        <m:r>
          <m:t>10</m:t>
        </m:r>
      </m:oMath>
      <w:r>
        <w:rPr>
          <w:rFonts w:ascii="华文仿宋" w:hAnsi="华文仿宋" w:eastAsia="华文仿宋"/>
          <w:sz w:val="18"/>
        </w:rPr>
        <w:t xml:space="preserve">.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w:t>
      </w:r>
    </w:p>
    <w:p>
      <w:pPr>
        <w:pStyle w:val="CaptionedFigure"/>
        <w:keepNext/>
        <w:ind w:firstLine="0"/>
        <w:jc w:val="center"/>
      </w:pPr>
      <w:r>
        <w:drawing>
          <wp:inline>
            <wp:extent cx="5731510" cy="5021752"/>
            <wp:effectExtent b="0" l="0" r="0" t="0"/>
            <wp:docPr descr="Fig. 6 | End-to-end modelling of single-residue organic small molecules with no missing atoms. The evaluation includes 77 PDB entries containing these small molecules. Find and Match denote LigandSeek-Find and LigandSeek-Match, respectively, within the LigandSeek framework. a, Find curves require correct region detection, whereas Find+Match curves require both correct region detection and correct ligand identity matching. b,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 K; the vertical axis shows the percentage of PDB entries with successful predictions within that budget. GT and CA2 denote deposited and CryoAtom2-reconstructed receptor structures, respectively." title="MDPPTFIG_eJydUk1v1DAQ_StRznS9CUqrRmUltF24FLRC4mZp5TpOYq1jW7azGwScEQdOoF5AnDnxA6gEv4ZufwbjOPtRlQMiUuTnmec3M89-HWvi6jiP4s2n69-ff6JZOttcf7z5-mWkteviB1FsmFVixQpPmuYYv7TMWIyT7DQ5xfic2aVTGuPb7z9urt7dfni_-fYL46CG8X05SRrmpVjKjmxDhDjSXDPBJfPZhphlq30-O3mYZMm4y8ZpcpKlb840pzn8UdcIaXPyCMe1czpHyNKaNcSOlGYSkqUyDXGwNRUqDFlzWTUCpePxMWoIlzgeFEDrfzTgmGsN28mYfxJRZckpO1e0bZh0QckwQRxX0tZcWxxP-gnlas7p3IQNfb6am6hglvoq0xz13qPeejQ4jw6NR441GsaULRzh2i1KXkGzdpHolsnKlSgEFmP_HY-0rGAQXoB6lgHylwN4vp1xcoZ2fexbCg0S7-CFoksbSTWtiazYY2PUumaksCCSeL1twmpGXQiC5v7oQYGgiu6ZcCm4fsKF8BU97s8HQHLrDHO09rAEzguo0ufvbHYkdFfP76wGhy_Xz1ThByetU75DknelafwKFxd1kBnDNK_C2mtC3KdZ5yLq88NzBRb1tOHVDmRg9etWVBvrnjLVRB4A20CnoSxZXdjA3aMt2-elCq2jPSS5kNEaVE6zNAsqf2X5e5nJoo_uMMkd4WIbPsRCDn55hwYI_yR--wcBAn26" id="54" name="Picture"/>
            <a:graphic>
              <a:graphicData uri="http://schemas.openxmlformats.org/drawingml/2006/picture">
                <pic:pic>
                  <pic:nvPicPr>
                    <pic:cNvPr descr="C:/Users/15919/Desktop/论文草稿/temp/manuscript_figures_1puengtf/figure_000006.png" id="55" name="Picture"/>
                    <pic:cNvPicPr>
                      <a:picLocks noChangeArrowheads="1" noChangeAspect="1"/>
                    </pic:cNvPicPr>
                  </pic:nvPicPr>
                  <pic:blipFill>
                    <a:blip r:embed="rId53"/>
                    <a:stretch>
                      <a:fillRect/>
                    </a:stretch>
                  </pic:blipFill>
                  <pic:spPr bwMode="auto">
                    <a:xfrm>
                      <a:off x="0" y="0"/>
                      <a:ext cx="5731510" cy="502175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The evaluation includes 77 PDB entries containing these small molecules. Find and Match denote LigandSeek-Find and LigandSeek-Match, respectively, within the LigandSeek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curves require correct region detection, whereas Find+Match curves require both correct region detection and correct ligand identity matching.</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the vertical axis shows the percentage of PDB entries with successful predictions within that budget. GT and CA2 denote deposited and CryoAtom2-reconstructed receptor structures, respectively.</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56">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57">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58">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59">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60">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61">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62">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63">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64">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65">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66">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67">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68">
        <w:r>
          <w:rPr>
            <w:rStyle w:val="a4"/>
          </w:rPr>
          <w:t xml:space="preserve">10.1021/acs.jmedchem.3c01134</w:t>
        </w:r>
      </w:hyperlink>
      <w:r>
        <w:t xml:space="preserve">.</w:t>
      </w:r>
    </w:p>
    <w:bookmarkEnd w:id="69"/>
    <w:bookmarkEnd w:id="70"/>
    <w:bookmarkEnd w:id="71"/>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qa0FANzhDSY">
    <w:name w:val="MDFIGREF_eJyrrk7LTC9KTbMqLklMTzXUzU3MzNMtzqwoSMxLzalJqa0FANzhDSY"/>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65" Type="http://schemas.openxmlformats.org/officeDocument/2006/relationships/hyperlink" Target="https://doi.org/10.1016/j.cell.2026.01.003" TargetMode="External"/><Relationship Id="rId67" Type="http://schemas.openxmlformats.org/officeDocument/2006/relationships/hyperlink" Target="https://doi.org/10.1016/j.str.2020.04.018" TargetMode="External"/><Relationship Id="rId63" Type="http://schemas.openxmlformats.org/officeDocument/2006/relationships/hyperlink" Target="https://doi.org/10.1016/j.str.2025.07.002" TargetMode="External"/><Relationship Id="rId57" Type="http://schemas.openxmlformats.org/officeDocument/2006/relationships/hyperlink" Target="https://doi.org/10.1016/j.tibs.2014.10.005" TargetMode="External"/><Relationship Id="rId68" Type="http://schemas.openxmlformats.org/officeDocument/2006/relationships/hyperlink" Target="https://doi.org/10.1021/acs.jmedchem.3c01134" TargetMode="External"/><Relationship Id="rId56" Type="http://schemas.openxmlformats.org/officeDocument/2006/relationships/hyperlink" Target="https://doi.org/10.1038/d41586-020-00341-9" TargetMode="External"/><Relationship Id="rId66" Type="http://schemas.openxmlformats.org/officeDocument/2006/relationships/hyperlink" Target="https://doi.org/10.1038/s41467-023-36732-5" TargetMode="External"/><Relationship Id="rId58" Type="http://schemas.openxmlformats.org/officeDocument/2006/relationships/hyperlink" Target="https://doi.org/10.1038/s41586-024-07215-4" TargetMode="External"/><Relationship Id="rId60" Type="http://schemas.openxmlformats.org/officeDocument/2006/relationships/hyperlink" Target="https://doi.org/10.1038/s41594-025-01723-1" TargetMode="External"/><Relationship Id="rId61" Type="http://schemas.openxmlformats.org/officeDocument/2006/relationships/hyperlink" Target="https://doi.org/10.1126/science.aat4346" TargetMode="External"/><Relationship Id="rId62" Type="http://schemas.openxmlformats.org/officeDocument/2006/relationships/hyperlink" Target="https://doi.org/10.64898/2026.06.01.729423" TargetMode="External"/><Relationship Id="rId59" Type="http://schemas.openxmlformats.org/officeDocument/2006/relationships/hyperlink" Target="https://doi.org/10.65215/LTSpreprints.2026.04.14.000185" TargetMode="External"/><Relationship Id="rId64"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65" Type="http://schemas.openxmlformats.org/officeDocument/2006/relationships/hyperlink" Target="https://doi.org/10.1016/j.cell.2026.01.003" TargetMode="External"/><Relationship Id="rId67" Type="http://schemas.openxmlformats.org/officeDocument/2006/relationships/hyperlink" Target="https://doi.org/10.1016/j.str.2020.04.018" TargetMode="External"/><Relationship Id="rId63" Type="http://schemas.openxmlformats.org/officeDocument/2006/relationships/hyperlink" Target="https://doi.org/10.1016/j.str.2025.07.002" TargetMode="External"/><Relationship Id="rId57" Type="http://schemas.openxmlformats.org/officeDocument/2006/relationships/hyperlink" Target="https://doi.org/10.1016/j.tibs.2014.10.005" TargetMode="External"/><Relationship Id="rId68" Type="http://schemas.openxmlformats.org/officeDocument/2006/relationships/hyperlink" Target="https://doi.org/10.1021/acs.jmedchem.3c01134" TargetMode="External"/><Relationship Id="rId56" Type="http://schemas.openxmlformats.org/officeDocument/2006/relationships/hyperlink" Target="https://doi.org/10.1038/d41586-020-00341-9" TargetMode="External"/><Relationship Id="rId66" Type="http://schemas.openxmlformats.org/officeDocument/2006/relationships/hyperlink" Target="https://doi.org/10.1038/s41467-023-36732-5" TargetMode="External"/><Relationship Id="rId58" Type="http://schemas.openxmlformats.org/officeDocument/2006/relationships/hyperlink" Target="https://doi.org/10.1038/s41586-024-07215-4" TargetMode="External"/><Relationship Id="rId60" Type="http://schemas.openxmlformats.org/officeDocument/2006/relationships/hyperlink" Target="https://doi.org/10.1038/s41594-025-01723-1" TargetMode="External"/><Relationship Id="rId61" Type="http://schemas.openxmlformats.org/officeDocument/2006/relationships/hyperlink" Target="https://doi.org/10.1126/science.aat4346" TargetMode="External"/><Relationship Id="rId62" Type="http://schemas.openxmlformats.org/officeDocument/2006/relationships/hyperlink" Target="https://doi.org/10.64898/2026.06.01.729423" TargetMode="External"/><Relationship Id="rId59" Type="http://schemas.openxmlformats.org/officeDocument/2006/relationships/hyperlink" Target="https://doi.org/10.65215/LTSpreprints.2026.04.14.000185" TargetMode="External"/><Relationship Id="rId64"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2026-10-06T09:24:49Z</dcterms:created>
  <dcterms:modified xsi:type="dcterms:W3CDTF">2026-10-06T09:24:49Z</dcterms:modified>
</cp:coreProperties>
</file>

<file path=docProps/custom.xml><?xml version="1.0" encoding="utf-8"?>
<Properties xmlns="http://schemas.openxmlformats.org/officeDocument/2006/custom-properties" xmlns:vt="http://schemas.openxmlformats.org/officeDocument/2006/docPropsVTypes"/>
</file>