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brJ-Tn5RUY6ILHc1JKM_BSIiEltLQDKTRKG"/>
        </w:rPr>
        <w:t xml:space="preserve">Figs. 2, 6</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53" w:name="overview-of-ligandseek"/>
    <w:p>
      <w:pPr>
        <w:pStyle w:val="1"/>
        <w:keepNext/>
        <w:ind w:firstLine="0"/>
      </w:pPr>
      <w:r>
        <w:t xml:space="preserve">Overview of LigandSeek</w:t>
      </w:r>
    </w:p>
    <w:p>
      <w:pPr>
        <w:pStyle w:val="Figure"/>
        <w:keepNext/>
        <w:spacing w:line="240" w:lineRule="auto" w:before="0" w:after="0"/>
        <w:ind w:firstLine="0"/>
        <w:jc w:val="center"/>
      </w:pPr>
      <w:r>
        <w:drawing>
          <wp:inline>
            <wp:extent cx="5731510" cy="2211921"/>
            <wp:effectExtent b="0" l="0" r="0" t="0"/>
            <wp:docPr descr="" title="MDPPTFIG_eJydUs2O0zAQfpUoZ7ZOuiqrRksl1AUuC6qQOGFUuY7TWE1sy3bTrgCJG-yBG-LCA8CJB2AleBp2-xjMxOnPajkgIkX-ZubzN39-HRvmyziL4ptPV7-__CTX7642Xz8A6hnj1_G9KLbC6aoROZLGGaUvnLCO0nQwTIeUngm38NpQuvn-4_rz-83Hy5tvvygNapTelVOsFihVyPmRboRtpFgdcV1pm2KYM-OlVtOa2cXSAPHlK_DurHhwcpwO0mTd76fpsJ--OTWSZ_BH67pSLmMPaFx6bzJCHC9FzVxPG6EgWGhbMw-mnZPcspVU87oi_SS5T2omFY07BdD6Hw245pdW7GTsP4noopBcnGm-rIXyQcmKiuEIXCmNo_Go7VA1E8knNhj8WTOxUS4cxyzjjLQrIe1GSLcQcrgP4kVtoE21hCvS-CkMH4p102Q6G14Yn5DgmCb4pT2j5tCIzEH9-AQQ7gzwZNvj6JTs6tiXFApkOMFzzRcuUnpcMjUXD63Vq1Kw3IFIinrbgDOC--AEzf3VgwRBldwZwqyS5rGsKsyIuL0fAMuct8LzEmEBnOeQpY3fMnYkclsPLWdgwrPVU51j42zpNVbIsnVhazxhcdEaIgl0cxHOVhP8GBZrH3GMd88VWBxp3avtyMBqz62osc4_EbqOEADbQqUhLWvOXeDu0ZaNcaVD6WQPWVapaAUqw0F_EFT-ysK9PFJ5691hlnkmq637EFeqmxdOqIPwj-K3fwB1LogV" id="36" name="Picture"/>
            <a:graphic>
              <a:graphicData uri="http://schemas.openxmlformats.org/drawingml/2006/picture">
                <pic:pic>
                  <pic:nvPicPr>
                    <pic:cNvPr descr="C:/Users/15919/Desktop/论文草稿/temp/manuscript_figures_0_b9ypt0/figure_000001.png" id="37" name="Picture"/>
                    <pic:cNvPicPr>
                      <a:picLocks noChangeArrowheads="1" noChangeAspect="1"/>
                    </pic:cNvPicPr>
                  </pic:nvPicPr>
                  <pic:blipFill>
                    <a:blip r:embed="rId35"/>
                    <a:stretch>
                      <a:fillRect/>
                    </a:stretch>
                  </pic:blipFill>
                  <pic:spPr bwMode="auto">
                    <a:xfrm>
                      <a:off x="0" y="0"/>
                      <a:ext cx="5731510" cy="2211921"/>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2211921"/>
            <wp:effectExtent b="0" l="0" r="0" t="0"/>
            <wp:docPr descr="Fig. 2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 title="MDPPTFIG_eJzVVs1uJDUQfhWrT7vSzvTMsAOkWSIlkwStlKBoAycaRR53zYyJ27Zsz9-ySHsDhJYLiAsPAKd9ACKx74LIbh6DKrvnJySHFRwQkSZddpW_-urHP19mlodJVrDszY-XVz__nr9-fnn9yzcota0Ni-wByxx4o2ZQkdGgKMtPPThflt3-TnenLA_AXwRjy_L65W-vf_r6-sW3b359VZYJrSxvw2leA0GN5LhlZuBmEuYtYZRxPVILboM0-rzm7mJq0fCz7NG8sGxRK-2L-YdlNgnBFnnuxQRq7tvGgkblyLiaBxy6cT43rrLOCPBe6nGt8l6n825ec6nLbJfQTl38nIWlAjYvZlwh7uOaj2GQ3JNdvrIg2wsAeyw1-Di_NZoX3nKBbhBH4RQC9R52yqwZPpkqmuLTYBrMxpxWSl2h2Ug6H47T0k5jhJpEIDFN_xr5yOjgcR33Qkpcc_Xie0z8n5evrl5-F_0C92HPS36XbrKn_e1F0VcCJhfDOB5GcZAijl8k_3Sdru77q4CepuWJXqBKxSApHovNgyUGND2S4zbrsWdsD3OBpYKKga5awbTww44w4j-e_3DCg5jgd38qFebGuIuRMnOGxWUOhNE-uKkIlG0lxxzXWePBs5EzNRNuaVqHJ6zigbeJUUi8_oME_os0sf8t808mwKS2U2TIHTCuGSwsOFmDDlxtygNIIyxZzS2jCoIME3CMowKLKakvsNRgA9Y8lXuKaIYs7pjnqZmk4EohpqlAKUQYLtkA_e2hsteOzcWUEdh0ngl0KrFHYNVCDsa44z27N1Rm6Nl-l_qvf59x4Yz3DNltc26z2KNsJFXAc5CNuPLQiszlDBjmo5IiREAC53gEjVHGlMpqy_fKaTArGhKdBARBivccxLzqkEI5O3l8fHh2n80xVVJHRh5PUXZ6sI97KLjlB8g6utvvManUFPNDTsLcsEp63C8iMEqtb_gg7Bqk8bt8wOZYB2wgtv-QrQn4mPYvQBCVv9Nvs7RPhamHdBpG0CYDsEls3J2xBhRANKoph3Aj6GiVcotJGYOGFMPEAbQq6iKPaNhIN3b-lE74FAyoxLI2KEwVd6wy4iKqjVE3TwQ6Wnezz_G-Wd8zWf-9d7r9bmfR63W7O73us0dWigJ_zdXD3-rqqRyf37pzGgTE-icYuIxafQ3j3grEjEZSwIERU9p_CcmB4rE1J9J62twUoZ6dSkFbmwbi49kp5g28IC-DIo-XfR7v-ry56vPtmz4PUFsMU09xibThHK91JOvPO-fDnaUNnTxNnHfor9e2eoyByArR4y1JrwGUT1cxYmnWPDaUEkFOGTzGmnqmzWDC9Rj2nDPYtrzydGAR3krhLXZDmkTMzdItBwk1v5WEoZL2CLcReSQ5rk8CL3BrAfYoiXgEqCfoJepvDNZG-U08Gnm809lwfoJH1dbDgBeLkavpi4Vji_QUYMv1kyDOkxoWgQnSN-2KVoLMmq5tjNEqflegFp8YHwFuMBLQGk_SkNzy2bFPthtpZU16bRL1fCPyQmlGL7Gdfq-fUO60orocxofMlsyLwKVaTW_LSjf58nZdF_ztZl_9BXmc6wA" id="39" name="Picture"/>
            <a:graphic>
              <a:graphicData uri="http://schemas.openxmlformats.org/drawingml/2006/picture">
                <pic:pic>
                  <pic:nvPicPr>
                    <pic:cNvPr descr="C:/Users/15919/Desktop/论文草稿/temp/manuscript_figures_0_b9ypt0/figure_000002.png" id="40" name="Picture"/>
                    <pic:cNvPicPr>
                      <a:picLocks noChangeArrowheads="1" noChangeAspect="1"/>
                    </pic:cNvPicPr>
                  </pic:nvPicPr>
                  <pic:blipFill>
                    <a:blip r:embed="rId38"/>
                    <a:stretch>
                      <a:fillRect/>
                    </a:stretch>
                  </pic:blipFill>
                  <pic:spPr bwMode="auto">
                    <a:xfrm>
                      <a:off x="0" y="0"/>
                      <a:ext cx="5731510" cy="221192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is an automated three-stage framework that reconstructs all-atom ligand poses from experimental cryo-EM density maps</w:t>
      </w:r>
      <w:r>
        <w:t xml:space="preserve"> </w:t>
      </w:r>
      <w:r>
        <w:t xml:space="preserve">(</w:t>
      </w:r>
      <w:r>
        <w:rPr>
          <w:rStyle w:val="MDFIGREF_eJyrrk7LTC9KTbMCUrr5ZalFZZmp5brJ-Tn5RUY6ILHc1JKM_BSIiEltLQDKTRKG"/>
        </w:rPr>
        <w:t xml:space="preserve">Figs. 2, 6</w:t>
      </w:r>
      <w:r>
        <w:t xml:space="preserve">).</w:t>
      </w:r>
      <w:r>
        <w:t xml:space="preserve"> </w:t>
      </w:r>
      <w:r>
        <w:t xml:space="preserve">Inputs comprise an experimental cryo-EM density map, a receptor structure, and candidate ligand identities represented by SMILES strings</w:t>
      </w:r>
      <w:r>
        <w:rPr>
          <w:rStyle w:val="MDCITE_eJyLdihPzczLzEtPLTK0tLAozs3MSS2OBQBdrwgo"/>
          <w:vertAlign w:val="superscript"/>
        </w:rPr>
        <w:t xml:space="preserve">14</w:t>
      </w:r>
      <w:r>
        <w:t xml:space="preserve">. The receptor can be a deposited structure or a model reconstructed automatically from the density map by CryoAtom2</w:t>
      </w:r>
      <w:r>
        <w:rPr>
          <w:rStyle w:val="MDCITE_eJyLdkguqsxPLMnPNYo3MjAyjQUAOC8FwQ"/>
          <w:vertAlign w:val="superscript"/>
        </w:rPr>
        <w:t xml:space="preserve">4</w:t>
      </w:r>
      <w: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360" w:lineRule="auto" w:after="120"/>
        <w:ind w:firstLine="420"/>
      </w:pPr>
      <w:r>
        <w:t xml:space="preserve">In the first stage, LigandSeek-Find (hereafter Find) uses a hybrid point–voxel network to locate candidate ligand regions (blobs) and extract auxiliary features</w:t>
      </w:r>
      <w:r>
        <w:t xml:space="preserve"> </w:t>
      </w:r>
      <w:r>
        <w:t xml:space="preserve">(</w:t>
      </w:r>
      <w:r>
        <w:rPr>
          <w:rStyle w:val="MDFIGREF_eJyrrk7LTC9KTbMCUrq5qSUZ-Sm6yfk5-UUmNYm1tQC3_Avf"/>
        </w:rPr>
        <w:t xml:space="preserve">Fig. 6a</w:t>
      </w:r>
      <w:r>
        <w:t xml:space="preserve">).</w:t>
      </w:r>
      <w:r>
        <w:t xml:space="preserve"> </w:t>
      </w:r>
      <w:r>
        <w:t xml:space="preserve">A receptor embedding head encodes atom representations, projects them onto the voxel grid and supplies processed atom tokens to the point-cloud branch. In the voxel branch, a 3D U-Net</w:t>
      </w:r>
      <w:r>
        <w:rPr>
          <w:rStyle w:val="MDCITE_eJyLdkjOTE7NNjIwNDNOKc1LLYkFADg_BhQ"/>
          <w:vertAlign w:val="superscript"/>
        </w:rPr>
        <w:t xml:space="preserve">15</w:t>
      </w:r>
      <w:r>
        <w:t xml:space="preserve"> </w:t>
      </w:r>
      <w:r>
        <w:t xml:space="preserve">combines the density bank with projected receptor-atom features to predict voxelwise ligand-region probabilities. In the point-cloud branch, Point Transformer V3</w:t>
      </w:r>
      <w:r>
        <w:rPr>
          <w:rStyle w:val="MDCITE_eJyLdigvNTIwMikoKTOOBQAdWAQ6"/>
          <w:vertAlign w:val="superscript"/>
        </w:rPr>
        <w:t xml:space="preserve">16</w:t>
      </w:r>
      <w:r>
        <w:t xml:space="preserve"> </w:t>
      </w:r>
      <w:r>
        <w:t xml:space="preserve">encodes receptor-atom representations and integrates multiscale voxel features through learnable neighbourhood sampling. An AlphaFold3-style</w:t>
      </w:r>
      <w:r>
        <w:rPr>
          <w:rStyle w:val="MDCITE_eJyLdkhMKkrMLc7PMzIwMknMKchITMvPSTGOBQB0aQjy"/>
          <w:vertAlign w:val="superscript"/>
        </w:rPr>
        <w:t xml:space="preserve">17</w:t>
      </w:r>
      <w:r>
        <w:t xml:space="preserve"> </w:t>
      </w:r>
      <w:r>
        <w:t xml:space="preserve">recycling mechanism iteratively refines representations across both branches. Find operates on</w:t>
      </w:r>
      <w:r>
        <w:t xml:space="preserve"> </w:t>
      </w:r>
      <m:oMath>
        <m:sSup>
          <m:e>
            <m:r>
              <m:t>80</m:t>
            </m:r>
          </m:e>
          <m:sup>
            <m:r>
              <m:t>3</m:t>
            </m:r>
          </m:sup>
        </m:sSup>
      </m:oMath>
      <w:r>
        <w:t xml:space="preserve"> </w:t>
      </w:r>
      <w: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360" w:lineRule="auto" w:after="120"/>
        <w:ind w:firstLine="420"/>
      </w:pPr>
      <w:r>
        <w:t xml:space="preserve">In the second stage, LigandSeek-Match (hereafter Match) assigns chemical identities to candidate blobs and classifies them as foreground or background to exclude residual false positives</w:t>
      </w:r>
      <w:r>
        <w:t xml:space="preserve"> </w:t>
      </w:r>
      <w:r>
        <w:t xml:space="preserve">(</w:t>
      </w:r>
      <w:r>
        <w:rPr>
          <w:rStyle w:val="MDFIGREF_eJyrrk7LTC9KTbMCUrq5qSUZ-Sm6yfk5-UUmNUm1tQC3_wvg"/>
        </w:rPr>
        <w:t xml:space="preserve">Fig. 6b</w:t>
      </w:r>
      <w:r>
        <w:t xml:space="preserve">).</w:t>
      </w:r>
      <w:r>
        <w:t xml:space="preserve"> </w:t>
      </w:r>
      <w:r>
        <w:t xml:space="preserve">It supports organic small molecules, metal ions, sugars and other ligand classes. Match pairs a candidate encoder with an identity encoder in a cross-modal architecture. For each candidate blob, the candidate encoder applies a 3D U-Net to a local</w:t>
      </w:r>
      <w:r>
        <w:t xml:space="preserve"> </w:t>
      </w:r>
      <m:oMath>
        <m:sSup>
          <m:e>
            <m:r>
              <m:t>48</m:t>
            </m:r>
          </m:e>
          <m:sup>
            <m:r>
              <m:t>3</m:t>
            </m:r>
          </m:sup>
        </m:sSup>
      </m:oMath>
      <w:r>
        <w:t xml:space="preserve"> </w:t>
      </w:r>
      <w:r>
        <w:t xml:space="preserve">voxel crop to obtain a base voxel summary. Mean and maximum pooling, cross-attention and feature-wise linear modulation (FiLM)</w:t>
      </w:r>
      <w:r>
        <w:rPr>
          <w:rStyle w:val="MDCITE_eJyLdihILUqtMjIwtEjLzMmNBQAvOgWS"/>
          <w:vertAlign w:val="superscript"/>
        </w:rPr>
        <w:t xml:space="preserve">18</w:t>
      </w:r>
      <w:r>
        <w:t xml:space="preserve"> </w:t>
      </w:r>
      <w: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vertAlign w:val="superscript"/>
        </w:rPr>
        <w:t xml:space="preserve">19</w:t>
      </w:r>
      <w:r>
        <w:t xml:space="preserve"> </w:t>
      </w:r>
      <w:r>
        <w:t xml:space="preserve">language representations as queries, it applies graph attention over RDKit-derived molecular graphs encoded by a graph neural network (GNN). In parallel, context attention incorporates information from co-occurring ligand identities. A foreground head predicts the foreground probability of each candidate, while cosine scoring over learned linear projections generates the candidate-to-identity matching score matrix.</w:t>
      </w:r>
    </w:p>
    <w:p>
      <w:pPr>
        <w:pStyle w:val="BodyText"/>
        <w:spacing w:line="360" w:lineRule="auto" w:after="120"/>
        <w:ind w:firstLine="420"/>
      </w:pPr>
      <w:r>
        <w:t xml:space="preserve">In the third stage, LigandSeek-Build (hereafter Build) receives the binding site located by Find and the SMILES identity assigned by Match</w:t>
      </w:r>
      <w:r>
        <w:t xml:space="preserve"> </w:t>
      </w:r>
      <w:r>
        <w:t xml:space="preserve">(</w:t>
      </w:r>
      <w:r>
        <w:rPr>
          <w:rStyle w:val="MDFIGREF_eJyrrk7LTC9KTbMCUrq5qSUZ-Sm6yfk5-UUmNcm1tQC4Agvh"/>
        </w:rPr>
        <w:t xml:space="preserve">Fig. 6c</w:t>
      </w:r>
      <w:r>
        <w:t xml:space="preserve">).</w:t>
      </w:r>
      <w:r>
        <w:t xml:space="preserve"> </w:t>
      </w:r>
      <w: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vertAlign w:val="superscript"/>
        </w:rPr>
        <w:t xml:space="preserve">10</w:t>
      </w:r>
      <w:r>
        <w:t xml:space="preserve"> </w:t>
      </w:r>
      <w: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vertAlign w:val="superscript"/>
        </w:rPr>
        <w:t xml:space="preserve">20</w:t>
      </w:r>
      <w:r>
        <w:t xml:space="preserve">, DiffDock</w:t>
      </w:r>
      <w:r>
        <w:rPr>
          <w:rStyle w:val="MDCITE_eJyLdkjOLyrONzIwMk7JTEtLyU_OjgUASSgHIA"/>
          <w:vertAlign w:val="superscript"/>
        </w:rPr>
        <w:t xml:space="preserve">9</w:t>
      </w:r>
      <w:r>
        <w:t xml:space="preserve"> </w:t>
      </w:r>
      <w:r>
        <w:t xml:space="preserve">and EMERALD</w:t>
      </w:r>
      <w:r>
        <w:rPr>
          <w:rStyle w:val="MDCITE_eJyLdsgtTc3LLjYyMDJOzU0tSsxJiQUASqEHLQ"/>
          <w:vertAlign w:val="superscript"/>
        </w:rPr>
        <w:t xml:space="preserve">11</w:t>
      </w:r>
      <w:r>
        <w:t xml:space="preserve">.</w:t>
      </w:r>
    </w:p>
    <w:p>
      <w:pPr>
        <w:pStyle w:val="Figure"/>
        <w:keepNext/>
        <w:spacing w:line="240" w:lineRule="auto" w:before="0" w:after="0"/>
        <w:ind w:firstLine="0"/>
        <w:jc w:val="center"/>
      </w:pPr>
      <w:r>
        <w:drawing>
          <wp:inline>
            <wp:extent cx="5731510" cy="4324477"/>
            <wp:effectExtent b="0" l="0" r="0" t="0"/>
            <wp:docPr descr="" title="MDPPTFIG_eJydUsuO0zAU_ZUoa6ZO-qBqNFRCHWAzgyokVnhUuY7TWI0fst02FSCxQ7Ngh9jwA6zmA0CCr2FmPoPrOH2MmAUiUuRz7z0-9-W3sSaujLMovv384_fXn-iCuVLlNx-80dHa1fGjKDbMqmrNcs-bZBi_tsxYjNPBKB1hfMbs0imN8d3195svH-8-Xd1--4VxEMT4QUVJBPNqBV-ciIZwQlWlTOqDlGjHlZwJYpYrDbQ3l-DdW_Fg2EsHaVL3e91-fzh8d6o5zeCPalFJm5EnOC6d0xlClpZMENtRmkkIFsoI4sA0C5QbsuFyISrUTZLHSBAucdwqgNb_aMA1tzJsL2P-SUQVBafsTNGVYNIFJcMq4kdgS64tjsdNh3I95XRqgkFfrqcmypmlPsskQ81OULMS1G4EHS8EOSY0tClXcIVrN4PRQ7F2lszmo612CQqOWeK_XkfLBTTCc1Dv9wD5jQGe7nocn6J9HYeSQoHET_Bc0aWNpJqURC7YU2PUpmQktyCSer1dwGpGXXCC5uHqUYKgiv4awrzi-jmvKp_R4-Z-ACSzzjBHSw8L4LyCLE38nrEnoft63rIaJjzfXKjcN05WTvkKSVYXRvgTFhfVEEmgm204G03w-zCrXUR9vH2uwKLbZprNq23JwGrOnag21r1gSkQeANtApSEtWZ_bwD2gHdvHpQqlowMkWSWjDaiMBt1BUHmQ5ffyTOaNd49J5givdu5jXMl2Xn5CLYR_HL__A49dh8w" id="42" name="Picture"/>
            <a:graphic>
              <a:graphicData uri="http://schemas.openxmlformats.org/drawingml/2006/picture">
                <pic:pic>
                  <pic:nvPicPr>
                    <pic:cNvPr descr="C:/Users/15919/Desktop/论文草稿/temp/manuscript_figures_0_b9ypt0/figure_000003.png" id="43" name="Picture"/>
                    <pic:cNvPicPr>
                      <a:picLocks noChangeArrowheads="1" noChangeAspect="1"/>
                    </pic:cNvPicPr>
                  </pic:nvPicPr>
                  <pic:blipFill>
                    <a:blip r:embed="rId41"/>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tuEzEU_ZXRrGk8SZNWGZVIKAU2LYqQWGEUOR5Pxsr4Idt5VIDEDrFgh9jwA6z4AJDga2j7Gdw7njwqukCMNPK59x6f-_Lr1LJQpXmS3nz68fvLT3IpQmWK63dodKwNm_RBkjrhTb0SBfLGOaUvvHCe0u5g2B1Sei78IhhL6e2379ef399-_HDz9RelUZDSexU1UwLVSjk_Ug3hiJvauB4GObNBGj1VzC2WFmgvX4F3Z6WD0-PuoJtt-se9fv_09M2ZlTyHP9moWvucPaRpFYLNCfG8Eor5jrFCQ7A0TrEAppuTwrG11HNVk16WnRDFpKZpqwBa_6MB18LSiZ2M-ycRU5aSi3PDl0roEJWcqBmOwFfSepqOmg71aiL5xEWDP1tNXFIIzzHLOCfNTkizEtJuhBwuhAShLLSpl3BF2jCF0UOxfppNZ8MrGzISHdMMv37H6jk0IgtQ758Awo0Bnmx7HJ2RXR37kmKBDCd4YfjCJ9qMK6bn4pFzZl0JVngQ6aLeNuCt4CE6QXN_9SBBVCV_DWFWS_tE1jVmRNzcj4DlPjgReIWwBM5zyNLE7xg7Ermrh5a3MOHZ-tIU2DhbBoMVsnxTOoUnLC7ZQCSDbq7i2WiCH8NiExKO8fa5AosjrX21LRlYzbkVtc6Hp8KoBAGwHVQa07LVhY_cPdqyMa5NLJ3sIctrnaxBZTjoDaLKvSzcy2NdNN4dZnlgst66D3Gt23nhhFoI_yh9-webzofR" id="45" name="Picture"/>
            <a:graphic>
              <a:graphicData uri="http://schemas.openxmlformats.org/drawingml/2006/picture">
                <pic:pic>
                  <pic:nvPicPr>
                    <pic:cNvPr descr="C:/Users/15919/Desktop/论文草稿/temp/manuscript_figures_0_b9ypt0/figure_000004.png" id="46" name="Picture"/>
                    <pic:cNvPicPr>
                      <a:picLocks noChangeArrowheads="1" noChangeAspect="1"/>
                    </pic:cNvPicPr>
                  </pic:nvPicPr>
                  <pic:blipFill>
                    <a:blip r:embed="rId44"/>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uO0zAU_ZUoa6ZOX1SNhkqoA2xmUIXECqPKdZzGamJbtttmBEjs0CzYITb8ACs-ACT4GmbmM7g3Th8jZoGIFPnce4_PfflNbJgv4jSKbz79-P3lJ7kQvtDZ9Xs0Osb4On4QxVY4XW5EhrxpSulLJ6yjtDscd8eUngm38tpQevvt-_XnD7cfr26-_qI0CFJ6r6JilUC1XC5PqoZwwnWpbR-DnBkvtZpXzK7WBmivXoN3b8XDUb877Cb1oN8bDEajt6dG8hT-qK5K5VL2iMaF9yYlxPFCVMx1tBEKgrm2FfNg2iXJLNtKtaxK0kuSh6RiUtG4VQCt_9GAa35txV7G_pOIznPJxZnm60ooH5SsKBmOwBXSOBpPmg7VZib5zAaDP9_MbJQJxzHLNCXNTkizEtJuhBwvhHhRGWhTreGKNH4Oo4di3TyZL8aXxickOOYJfsOOUUtoRGagPhgDwo0Bnu16nJySfR2HkkKBDCd4rvnKRUpPC6aW4rG1elsIljkQ6aLeLuCM4D44QfNw9ShBUCV_DWFRSvNUliVmRNzcD4ClzlvheYEwB84LyNLE7xh7Ermrh5YzMOHF9kJn2Dhbe40VsrTObYUnLC6qIZJAN5fhbDTBj2FR-4hjvH2uwOJIa19tSwZWc-5EjXX-mdBVhADYFioNadnm3AXuAe3YGFc6lE4OkKWliragMh72hkHlXhbu5YnKGu8es9QzWe7cx7hU7bxwQi2EfxK_-wOoP4fW" id="48" name="Picture"/>
            <a:graphic>
              <a:graphicData uri="http://schemas.openxmlformats.org/drawingml/2006/picture">
                <pic:pic>
                  <pic:nvPicPr>
                    <pic:cNvPr descr="C:/Users/15919/Desktop/论文草稿/temp/manuscript_figures_0_b9ypt0/figure_000005.png" id="49" name="Picture"/>
                    <pic:cNvPicPr>
                      <a:picLocks noChangeArrowheads="1" noChangeAspect="1"/>
                    </pic:cNvPicPr>
                  </pic:nvPicPr>
                  <pic:blipFill>
                    <a:blip r:embed="rId47"/>
                    <a:stretch>
                      <a:fillRect/>
                    </a:stretch>
                  </pic:blipFill>
                  <pic:spPr bwMode="auto">
                    <a:xfrm>
                      <a:off x="0" y="0"/>
                      <a:ext cx="5731510" cy="4324477"/>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4324477"/>
            <wp:effectExtent b="0" l="0" r="0" t="0"/>
            <wp:docPr descr="Fig. 6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integrates the predicted binding site, SMILES identity, pocket context, and density to reconstruct ligand conformations using DG-PocketXMol. An iterative denoising process is employed to generate the final all-atom pose(s) from initial Gaussian noise." title="MDPPTFIG_eJztWN1qHDcUfhWxVwnsetZ_Sb2kBseOQ8AOJk5KoVuMRqPdFdaMhKTZnzSF3JVS0puW3vQFepUHaKB5l9L8PEa_o_nxOvZFSCmJIQbvSKOj7xzpnO8cjb7rWB4mnQHrvPn1xavf_0oOZZiY7PVT6qxYG-adLus46Y2eyozkdgfD4SMvnR8OVze3VreGwz3pT4Oxw-Hb53--_u2Ht89-fPPHy-GwAhwOL0UseC4JbaTGvTwK9ITRxm3QoOA2KFOc5NydlhZi33RuzQaWzXNd-MHsy2FnEoIdJIkXE5lzv2KsLDA4Mi7nAV03TmbGZdYZIb1XxTjXyVq_fyPJuSqGnW1CO3LxcRwWWrLZYMo1cO_lfCx3K_UklzQSJHsqpT1QhfTx_VJvNvCWC6gBjsYrAK1t9Ieduvug1PSKl8HUmLU4zVRFBrGRcj4cVFP7tRBGKgMqS6ufur1viuAxj3uhFOa8evYzdv6fFy9fPf8p6pXchx2v-GVjk53CX5wUdVXApCKN_TQ2d6sVxyeMf9xu1-oXzYIeV9Mr8wJ5Ki6S1mMRPdJNJUT31XiF3WBP2H0Z4KBTxp2YqCBFKJ1kHFuR8cDZSJsZMyMWJpIdqDHeH0t5yvaxI38__eWQBzHB83apdMZGDpFEWCtkQKjM-Aj79R92hX1cy_8XT_Mr641ujDMmC2Ey6VkmoS4sYnA6KaQNxjFVVKkGWYIFw5BnslJIJiCkEMGS6Ri1mDCGiGfXUm1Sj2lXdlfOx2g-MGDhpE7I-XslZDMaKSH3jChzWYQmHYcJ2ZEP_HFp6SnpJ2qIFmFAOJbXRmemTLXs-eBKcRrtj-NRDC5qxGwzFBbxWSOF7QfUC9W7-Bu1-UpzLbP-rkwcThoLk3rpV8t712P48nKutOJuwUaSU8b1K-whUmwb1jJPZZZRHZtIfkYBmotdsFpRJ5gcMyJ4ESIFALPD1vfY1MylZo96SO5xzpFRRWAPHS88BYJ07Kt1Jkyeos5dyqteBG-Mi0Oj0qEKuNoWqgg5tBVsR9sJ3zc6W0c4UAUHxkJosj2XYsIL5XOGyuJg4VTqBcZHVKzBVZkpEc1mXDjjPUsNQjmFmQhe_7mMfEplJL2y3uiyeE5hQnOcQEdEnbY8IPI8AyXk2JkSQQ7qpVyc1r1IVcwZI0LrOqLAlqCCkg3VKpK1BGXaCK5rAiKo7QrIZ4gNXRZjHMwKBIF6RXj76uAQ1SjAAKpW1ojTmrNUqM6Vt5kCOS5mDpy7QNVYKYFj4lHtrPydzw9VlqnXsKitdk0m8Cw3WopSc8dgjp20Orrs-PBe7-GdPaZ5MS5xMn838bClzVkAECuah2iyKqJJHodDdrR3G0qDW9DmLW17THJ1PjjnD9TzlKdYcVh0owphPOUsL4yjDFPX-yWP9oLptXbk5HiSI_nPGeXTyijiynqjy6ovnpa3PoZ4HcAS3AUbY9ih7kXuHNw5btnRbVhes6QK7KYKg8EooGAUHa1Ck3bwok0EnpX0Ic327vaOItDXh0bHUtxWWUIzytcMoS9vpjwOFVabBcyDjrEsZMw4ZDjqMXIW17oq-9Z4ec1frxKLKpDtMHqXl8iEvGAELM8ziT6NtzvfdlmnvSfobN5cX91c7c831tc2Nm7efHLLKjHAf31S5e91Us0cn124M6gRgPUhGJhGKa2FcR98ZHZSV_6YKOspgGiFxfRICQof6oj70yMHX-BkDC27gyTe1iTxsiap72qS5auaJMBHWGZRYoqy4WSkxpR_T_on6dbChn5SvTjp09-NFVuMsRCVAX1zDS26y0H7qFkjXNPacWZSZSCnHTxAAHm4dBfntLHccc7MKBd7IgXhNQPeShGql8A8m7qkoEJNLmxCqpXdV1qTRmrH-VWD48PASaRoao4g8wBa4vi5TiuUnMejnrfY4XR2iDq2dLHDB_ORy-kJx7F5dZXDFu2VTnxPw1SkBI3X4QopQWJ11NbCkIrPBtQ6H-5KYgoakAZhQ6WWTw98JXvWaqRpvDCV6clZkw80ajtQtjbXNiuUS6XIL3fiRdRSmw8CV7p5vdzWRb1f3rZ-wf925_t_AQXTrQM" id="51" name="Picture"/>
            <a:graphic>
              <a:graphicData uri="http://schemas.openxmlformats.org/drawingml/2006/picture">
                <pic:pic>
                  <pic:nvPicPr>
                    <pic:cNvPr descr="C:/Users/15919/Desktop/论文草稿/temp/manuscript_figures_0_b9ypt0/figure_000006.png" id="52" name="Picture"/>
                    <pic:cNvPicPr>
                      <a:picLocks noChangeArrowheads="1" noChangeAspect="1"/>
                    </pic:cNvPicPr>
                  </pic:nvPicPr>
                  <pic:blipFill>
                    <a:blip r:embed="rId50"/>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integrates the predicted binding site, SMILES identity, pocket context, and density to reconstruct ligand conformations using DG-PocketXMol. An iterative denoising process is employed to generate the final all-atom pose(s) from initial Gaussian noise.</w:t>
      </w:r>
    </w:p>
    <w:bookmarkEnd w:id="53"/>
    <w:bookmarkStart w:id="105" w:name="results"/>
    <w:p>
      <w:pPr>
        <w:pStyle w:val="1"/>
        <w:keepNext/>
        <w:ind w:firstLine="0"/>
      </w:pPr>
      <w:r>
        <w:t xml:space="preserve">Results</w:t>
      </w:r>
    </w:p>
    <w:bookmarkStart w:id="60" w:name="X9497fdd810c5493d41625124eb25d30fb387f27"/>
    <w:p>
      <w:pPr>
        <w:pStyle w:val="2"/>
        <w:keepNext/>
        <w:ind w:firstLine="0"/>
      </w:pPr>
      <w:r>
        <w:t xml:space="preserve">LigandSeek-Find improves ligand-region detection</w:t>
      </w:r>
    </w:p>
    <w:p>
      <w:pPr>
        <w:pStyle w:val="FirstParagraph"/>
        <w:spacing w:line="360" w:lineRule="auto" w:after="120"/>
        <w:ind w:firstLine="420"/>
      </w:pPr>
      <w: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vertAlign w:val="superscript"/>
        </w:rPr>
        <w:t xml:space="preserve">7</w:t>
      </w:r>
      <w:r>
        <w:t xml:space="preserve">, which was additionally supplied with the EMDB-recommended contour level.</w:t>
      </w:r>
    </w:p>
    <w:p>
      <w:pPr>
        <w:pStyle w:val="BodyText"/>
        <w:spacing w:line="360" w:lineRule="auto" w:after="120"/>
        <w:ind w:firstLine="420"/>
      </w:pPr>
      <w: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360" w:lineRule="auto" w:after="120"/>
        <w:ind w:firstLine="420"/>
      </w:pPr>
      <w:r>
        <w:t xml:space="preserve">At the voxel level, incorporating receptor information substantially improved semantic Dice</w:t>
      </w:r>
      <w:r>
        <w:t xml:space="preserve"> </w:t>
      </w:r>
      <w:r>
        <w:t xml:space="preserve">(</w:t>
      </w:r>
      <w:r>
        <w:rPr>
          <w:rStyle w:val="MDFIGREF_eJyrrk7LTC9KTbMqLklMTzXUzS9LLUrMydEtSC1Kyy_KTcxLTtUoM9SsSdRJqa0FAJNuESk"/>
        </w:rPr>
        <w:t xml:space="preserve">Fig. 7a, d</w:t>
      </w:r>
      <w:r>
        <w:t xml:space="preserve">).</w:t>
      </w:r>
      <w:r>
        <w:t xml:space="preserve"> </w:t>
      </w:r>
      <w:r>
        <w:t xml:space="preserve">Across all ligands, mean semantic Dice increased from 0.247 for Emap2lig-Find to 0.477 for LigandSeek-Find with CA2 receptors and 0.584 with GT receptors</w:t>
      </w:r>
      <w:r>
        <w:t xml:space="preserve"> </w:t>
      </w:r>
      <w:r>
        <w:t xml:space="preserve">(</w:t>
      </w:r>
      <w:r>
        <w:rPr>
          <w:rStyle w:val="MDFIGREF_eJyrrk7LTC9KTbMqLklMTzXUzS9LLUrMydEtSC1Kyy_KTcxLTtUoM9SsSaytBQByVBCZ"/>
        </w:rPr>
        <w:t xml:space="preserve">Fig. 7a</w:t>
      </w:r>
      <w:r>
        <w:t xml:space="preserve">).</w:t>
      </w:r>
      <w:r>
        <w:t xml:space="preserve"> </w:t>
      </w:r>
      <w:r>
        <w:t xml:space="preserve">In the small-molecule subset, it increased from 0.356 to 0.482 for CA2 and 0.576 for GT</w:t>
      </w:r>
      <w:r>
        <w:t xml:space="preserve"> </w:t>
      </w:r>
      <w:r>
        <w:t xml:space="preserve">(</w:t>
      </w:r>
      <w:r>
        <w:rPr>
          <w:rStyle w:val="MDFIGREF_eJyrrk7LTC9KTbMqLklMTzXUzS9LLUrMydEtSC1Kyy_KTcxLTtUoM9SsSamtBQByXRCc"/>
        </w:rPr>
        <w:t xml:space="preserve">Fig. 7d</w:t>
      </w:r>
      <w:r>
        <w:t xml:space="preserve">).</w:t>
      </w:r>
      <w:r>
        <w:t xml:space="preserve"> </w:t>
      </w:r>
      <w:r>
        <w:t xml:space="preserve">Head-to-head comparisons of individual complexes confirmed the consistency of this voxel-level advantage across the benchmark</w:t>
      </w:r>
      <w:r>
        <w:t xml:space="preserve"> </w:t>
      </w:r>
      <w:r>
        <w:t xml:space="preserve">(</w:t>
      </w:r>
      <w:r>
        <w:rPr>
          <w:rStyle w:val="MDFIGREF_eJyrrk7LTC9KTbMqLklMTzXUzS9LLUrMydEtSC1Kyy_KTcxLTtUoM9SsSdJJra0FAJN2ESs"/>
        </w:rPr>
        <w:t xml:space="preserve">Fig. 7b, e</w:t>
      </w:r>
      <w:r>
        <w:t xml:space="preserve">).</w:t>
      </w:r>
      <w:r>
        <w:t xml:space="preserve"> </w:t>
      </w:r>
      <w:r>
        <w:t xml:space="preserve">With CA2 receptors, LigandSeek-Find achieved higher semantic Dice than Emap2lig-Find on 141 complexes, equal scores on 15 and lower scores on 23 across all ligands</w:t>
      </w:r>
      <w:r>
        <w:t xml:space="preserve"> </w:t>
      </w:r>
      <w:r>
        <w:t xml:space="preserve">(</w:t>
      </w:r>
      <w:r>
        <w:rPr>
          <w:rStyle w:val="MDFIGREF_eJyrrk7LTC9KTbMqLklMTzXUzS9LLUrMydEtSC1Kyy_KTcxLTtUoM9SsSaqtBQByVxCa"/>
        </w:rPr>
        <w:t xml:space="preserve">Fig. 7b</w:t>
      </w:r>
      <w:r>
        <w:t xml:space="preserve">).</w:t>
      </w:r>
      <w:r>
        <w:t xml:space="preserve"> </w:t>
      </w:r>
      <w:r>
        <w:t xml:space="preserve">In the small-molecule subset, it achieved higher scores on 68 complexes, equal scores on 7 and lower scores on 19</w:t>
      </w:r>
      <w:r>
        <w:t xml:space="preserve"> </w:t>
      </w:r>
      <w:r>
        <w:t xml:space="preserve">(</w:t>
      </w:r>
      <w:r>
        <w:rPr>
          <w:rStyle w:val="MDFIGREF_eJyrrk7LTC9KTbMqLklMTzXUzS9LLUrMydEtSC1Kyy_KTcxLTtUoM9SsSa2tBQByYBCd"/>
        </w:rPr>
        <w:t xml:space="preserve">Fig. 7e</w:t>
      </w:r>
      <w:r>
        <w:t xml:space="preserve">).</w:t>
      </w:r>
    </w:p>
    <w:p>
      <w:pPr>
        <w:pStyle w:val="CaptionedFigure"/>
        <w:keepNext/>
        <w:spacing w:line="240" w:lineRule="auto" w:before="0" w:after="0"/>
        <w:ind w:firstLine="0"/>
        <w:jc w:val="center"/>
      </w:pPr>
      <w:r>
        <w:drawing>
          <wp:inline>
            <wp:extent cx="5731510" cy="4315060"/>
            <wp:effectExtent b="0" l="0" r="0" t="0"/>
            <wp:docPr descr="Fig. 7 | Overall performance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a, d, Semantic Dice and instance-level PRAUC for all ligands (a) and small molecules (d). Bars and horizontal marks represent means across PDB entries; faint points indicate individual PDB entries. Error bars denote 95% confidence intervals derived from 10,000 PDB bootstrap resamples. b, 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 c, f,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 title="MDPPTFIG_eJztWV9vIzUQ_ypWJKSrtM3u5pr2kjtO6qXtcVKB6P7wwqLK8TpZq7u2sZ2kOY5nhNDxAuIFxDNP9wE4ifsy3J-PwYy9SZOmIAQPNKiV2rXX49-MPbM_j6dfNDR1RaNLGm-_f_n6x99i6-iIp29ffvfm55-aWruzRkQahltVTniOcr1ulj2x3NgsS9udtJNlB9yeOqWz7N2LX9_88NW751-__eVVlgXALLsUUdKKI1oY3FYTbmhZbmtuhspUVDJ-Y5JuoSSj2gklTypqTsca5nzauDPtanJWldJ2p-9njcI53Y1jywpeUdtUmksY9DgOumYUT5XJtVGMWyvkqCrjVpLsxhUVMmvcRbS-8Y9HblZyMu1OaAm4DyqwrRfUo1w8l0DZU871sZDc-vdLvWnXaspADeCU8AqAWjtJ1qi7D8clvqJjp2rMWhxnCpmD2FAY647D1KQWgpFgQLA0_KnbR0o6C_OoZULAnNfPvwU3_P7y1esX33i9nFq3bwW9bKzYl3Z9ktcVgFHFwPcHvtkLK_ZPMP7pYrvSW_MFPQ3Tg3kOPeUXievREErcTDiIHolRk-yRZ-Tj4Hyy5HyihqQUIyrzbcNHsP8k544z9EQTsV3Q8B9sxb9YMNlYy4-9Kx5xfrp9hDE6ttyCR7SywvGcGM64dspYcuP-4y2iDOmZmdp3qmqB-5iS1pkxuyDZ229tEUAlwhKmKk0NjE-FK4grOIDDitxsW8lyRiruCpWTw4rqFkSFt6FJHoMY0A4xakpsoaaWYBCFqAH8dK9D-gf3CJfOCG4j0oraSYsIMAYjzG7d9ookP3NLEF6frRCpUiVn8LUCVmdnFepWK10Cuo7Iq0QrdGO9EW2s5f_HOMo31hsReQSJkHSCkQMBZ6kn2Zqttks-4SXpP9x_0iNw2q5yJg2MvMZ_-VaT3KPA2jhaKCOegpkURCAns0DqXrl0QNRUghAzytplxrxNhpBrOaKVwH0D-haMOu4bE5GPAWpJukkOjQHTBqgRDgIFkp32e3BKyKGAPsOJDhZLSxw3AjJTMjSqImkSJUnisQZKOTh2KJwP3NJKwzquefoqfV-DjfXGNU9fpTjiG-uNiPSpwKzXrtB1SIaFhbSZDLibci7JxQT8PHu-kBQfUlYEmj2nZcxq-YJgZ7dBQ6nGZomHq0CTqhzjDSvywDm1BdiGd9YlSZ-bCzpSkpZN8oEYFdzE_HNg8LhUU24Ae4waIZsn6U4ap-24ddPj7d6K9-K0s3boXHLgRGiMxusenFWza9q-Sp8b21hvXNP2VYqj4cZ6IyIPVpNpGGPCYpEKuQw6SGZruTX7k9x6CLn1J0IBz1pfgwB6hbxVDDwVAxWuZM5e4PKsObD2tBDA0kwYhuD4xhWCnV6k8YoDiUtbXw0glwYGN06UnBgqR2sMDCsmNCIsIjkYFJGR4bOIDMoxD1odB1vOrwErZ1J0-eEVJq4N3X-89VfsjxXQu43PItJYlIMb7b2baTtNznbgkewmz-5owbrwW1eI6d-qEOeGTtdKwzUCYP0TDJjmxoYvYMzfAlHDISQBB4qNK9jKgGR4SX00FEJbDFZcoZz0BcNQxQ77aNI3cBeyDLX0urGv0Me-QB_X9fl4uTwfO15pWKYcwxSh3clQjMBYe5KcDDoz7ZI4vDhJ8GevqeUIFiJyQG_vQgvr99Duz9cIrlnYcW5SMJDiDh4rBldFqXoFBtg-XPCmBae5xQ8Q8eYD3vPhJWCeT11SEFDjtU0YlEIfibJEjdj280ODduGb4o4V2ByCzEPQ4sdXOguheBUPe1bDDg-mH6p8uX5Pu2dDU-ETHEfOQsWezBaVe_8eh7HMyHC8DleQYihWR20tDFL-OQfVxrr7HG622ABpIBcX1NLJsQ2y5625NI5LFUyPz5u0W0qC_zDptFvtgHKpFPrl0P-_YalNu46Kcv56uV3Ker-sXvgFfu82vvwD7qsB2A" id="55" name="Picture"/>
            <a:graphic>
              <a:graphicData uri="http://schemas.openxmlformats.org/drawingml/2006/picture">
                <pic:pic>
                  <pic:nvPicPr>
                    <pic:cNvPr descr="C:/Users/15919/Desktop/论文草稿/temp/manuscript_figures_0_b9ypt0/figure_000007.png" id="56" name="Picture"/>
                    <pic:cNvPicPr>
                      <a:picLocks noChangeArrowheads="1" noChangeAspect="1"/>
                    </pic:cNvPicPr>
                  </pic:nvPicPr>
                  <pic:blipFill>
                    <a:blip r:embed="rId54"/>
                    <a:stretch>
                      <a:fillRect/>
                    </a:stretch>
                  </pic:blipFill>
                  <pic:spPr bwMode="auto">
                    <a:xfrm>
                      <a:off x="0" y="0"/>
                      <a:ext cx="5731510" cy="431506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Overall performance of ligand-region detection.</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Semantic Dice and instance-level PRAUC for all ligands (a) and small molecules (d). Bars and horizontal marks represent means across PDB entries; faint points indicate individual PDB entries. Error bars denote 95% confidence intervals derived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w:t>
      </w:r>
    </w:p>
    <w:p>
      <w:pPr>
        <w:pStyle w:val="BodyText"/>
        <w:spacing w:line="360" w:lineRule="auto" w:after="120"/>
        <w:ind w:firstLine="420"/>
      </w:pPr>
      <w:r>
        <w:t xml:space="preserve">At the default 0.3 coverage threshold, instance-level</w:t>
      </w:r>
      <w:r>
        <w:t xml:space="preserve"> </w:t>
      </w:r>
      <m:oMath>
        <m:r>
          <m:rPr>
            <m:sty m:val="p"/>
          </m:rPr>
          <m:t>P</m:t>
        </m:r>
        <m:r>
          <m:rPr>
            <m:sty m:val="p"/>
          </m:rPr>
          <m:t>R</m:t>
        </m:r>
        <m:r>
          <m:rPr>
            <m:sty m:val="p"/>
          </m:rPr>
          <m:t>A</m:t>
        </m:r>
        <m:r>
          <m:rPr>
            <m:sty m:val="p"/>
          </m:rPr>
          <m:t>U</m:t>
        </m:r>
        <m:r>
          <m:rPr>
            <m:sty m:val="p"/>
          </m:rPr>
          <m:t>C</m:t>
        </m:r>
      </m:oMath>
      <w:r>
        <w:t xml:space="preserve"> </w:t>
      </w:r>
      <w:r>
        <w:t xml:space="preserve">increased from 0.269 for Emap2lig-Find to 0.541 with CA2 receptors and 0.663 with GT receptors across all ligands</w:t>
      </w:r>
      <w:r>
        <w:t xml:space="preserve"> </w:t>
      </w:r>
      <w:r>
        <w:t xml:space="preserve">(</w:t>
      </w:r>
      <w:r>
        <w:rPr>
          <w:rStyle w:val="MDFIGREF_eJyrrk7LTC9KTbMqLklMTzXUzS9LLUrMydEtSC1Kyy_KTcxLTtUoM9SsSaytBQByVBCZ"/>
        </w:rPr>
        <w:t xml:space="preserve">Fig. 7a</w:t>
      </w:r>
      <w:r>
        <w:t xml:space="preserve">).</w:t>
      </w:r>
      <w:r>
        <w:t xml:space="preserve"> </w:t>
      </w:r>
      <w:r>
        <w:t xml:space="preserve">The advantage persisted for small molecules, with instance-level</w:t>
      </w:r>
      <w:r>
        <w:t xml:space="preserve"> </w:t>
      </w:r>
      <m:oMath>
        <m:r>
          <m:rPr>
            <m:sty m:val="p"/>
          </m:rPr>
          <m:t>P</m:t>
        </m:r>
        <m:r>
          <m:rPr>
            <m:sty m:val="p"/>
          </m:rPr>
          <m:t>R</m:t>
        </m:r>
        <m:r>
          <m:rPr>
            <m:sty m:val="p"/>
          </m:rPr>
          <m:t>A</m:t>
        </m:r>
        <m:r>
          <m:rPr>
            <m:sty m:val="p"/>
          </m:rPr>
          <m:t>U</m:t>
        </m:r>
        <m:r>
          <m:rPr>
            <m:sty m:val="p"/>
          </m:rPr>
          <m:t>C</m:t>
        </m:r>
      </m:oMath>
      <w:r>
        <w:t xml:space="preserve"> </w:t>
      </w:r>
      <w:r>
        <w:t xml:space="preserve">reaching 0.573 for CA2 and 0.701 for GT, compared with 0.483 for Emap2lig-Find</w:t>
      </w:r>
      <w:r>
        <w:t xml:space="preserve"> </w:t>
      </w:r>
      <w:r>
        <w:t xml:space="preserve">(</w:t>
      </w:r>
      <w:r>
        <w:rPr>
          <w:rStyle w:val="MDFIGREF_eJyrrk7LTC9KTbMqLklMTzXUzS9LLUrMydEtSC1Kyy_KTcxLTtUoM9SsSamtBQByXRCc"/>
        </w:rPr>
        <w:t xml:space="preserve">Fig. 7d</w:t>
      </w:r>
      <w:r>
        <w:t xml:space="preserve">).</w:t>
      </w:r>
      <w:r>
        <w:t xml:space="preserve"> </w:t>
      </w:r>
      <w:r>
        <w:t xml:space="preserve">At the stricter coverage threshold of 0.5, LigandSeek-Find retained substantially higher instance-level</w:t>
      </w:r>
      <w:r>
        <w:t xml:space="preserve"> </w:t>
      </w:r>
      <m:oMath>
        <m:r>
          <m:rPr>
            <m:sty m:val="p"/>
          </m:rPr>
          <m:t>P</m:t>
        </m:r>
        <m:r>
          <m:rPr>
            <m:sty m:val="p"/>
          </m:rPr>
          <m:t>R</m:t>
        </m:r>
        <m:r>
          <m:rPr>
            <m:sty m:val="p"/>
          </m:rPr>
          <m:t>A</m:t>
        </m:r>
        <m:r>
          <m:rPr>
            <m:sty m:val="p"/>
          </m:rPr>
          <m:t>U</m:t>
        </m:r>
        <m:r>
          <m:rPr>
            <m:sty m:val="p"/>
          </m:rPr>
          <m:t>C</m:t>
        </m:r>
      </m:oMath>
      <w:r>
        <w:t xml:space="preserve"> </w:t>
      </w:r>
      <w:r>
        <w:t xml:space="preserve">with both receptor sources across all ligands and within the small-molecule subset (Supplementary Fig. 1).</w:t>
      </w:r>
    </w:p>
    <w:p>
      <w:pPr>
        <w:pStyle w:val="BodyText"/>
        <w:spacing w:line="360" w:lineRule="auto" w:after="120"/>
        <w:ind w:firstLine="420"/>
      </w:pPr>
      <w:r>
        <w:t xml:space="preserve">Without structural context from the receptor, density-only approaches must search across the entire map, making them inherently vulnerable to false positives from the receptor background while overlooking true ligand regions. Even when supplied with the manually determined EMDB-recommended contour level, Emap2lig-Find achieved a mean instance-level precision of only 0.238 and a mean recall of 0.316 across the 179 complexes</w:t>
      </w:r>
      <w:r>
        <w:t xml:space="preserve"> </w:t>
      </w:r>
      <w:r>
        <w:t xml:space="preserve">(</w:t>
      </w:r>
      <w:r>
        <w:rPr>
          <w:rStyle w:val="MDFIGREF_eJyrrk7LTC9KTbMqLklMTzXUzS9LLUrMydEtSC1Kyy_KTcxLTtUoM9SsSa6tBQByWhCb"/>
        </w:rPr>
        <w:t xml:space="preserve">Fig. 7c</w:t>
      </w:r>
      <w:r>
        <w:t xml:space="preserve">);</w:t>
      </w:r>
      <w:r>
        <w:t xml:space="preserve"> </w:t>
      </w:r>
      <w:r>
        <w:t xml:space="preserve">without this manual prior, it produced numerous false positives (averaging 353.9 candidate regions per complex) and its performance degraded markedly (Supplementary Figs. 7 and 8). In contrast, incorporating receptor information enabled LigandSeek-Find to suppress background macromolecular density and focus detection on plausible binding regions, raising mean instance-level precision with CA2 receptors to 0.631 and mean recall to 0.594</w:t>
      </w:r>
      <w:r>
        <w:t xml:space="preserve"> </w:t>
      </w:r>
      <w:r>
        <w:t xml:space="preserve">(</w:t>
      </w:r>
      <w:r>
        <w:rPr>
          <w:rStyle w:val="MDFIGREF_eJyrrk7LTC9KTbMqLklMTzXUzS9LLUrMydEtSC1Kyy_KTcxLTtUoM9SsSa6tBQByWhCb"/>
        </w:rPr>
        <w:t xml:space="preserve">Fig. 7c</w:t>
      </w:r>
      <w:r>
        <w:t xml:space="preserve">).</w:t>
      </w:r>
      <w:r>
        <w:t xml:space="preserve"> </w:t>
      </w:r>
      <w:r>
        <w:t xml:space="preserve">LigandSeek-Find thus substantially reduced false positives while recovering more true ligand instances, with a consistent advantage observed for small molecules</w:t>
      </w:r>
      <w:r>
        <w:t xml:space="preserve"> </w:t>
      </w:r>
      <w:r>
        <w:t xml:space="preserve">(</w:t>
      </w:r>
      <w:r>
        <w:rPr>
          <w:rStyle w:val="MDFIGREF_eJyrrk7LTC9KTbMqLklMTzXUzS9LLUrMydEtSC1Kyy_KTcxLTtUoM9SsSautBQByYxCe"/>
        </w:rPr>
        <w:t xml:space="preserve">Fig. 7f</w:t>
      </w:r>
      <w:r>
        <w:t xml:space="preserve">).</w:t>
      </w:r>
    </w:p>
    <w:p>
      <w:pPr>
        <w:pStyle w:val="BodyText"/>
        <w:spacing w:line="360" w:lineRule="auto" w:after="120"/>
        <w:ind w:firstLine="420"/>
      </w:pPr>
      <w:r>
        <w:t xml:space="preserve">The advantages of our approach are clearly demonstrated in the 9NVS case</w:t>
      </w:r>
      <w:r>
        <w:t xml:space="preserve"> </w:t>
      </w:r>
      <w:r>
        <w:t xml:space="preserve">(</w:t>
      </w:r>
      <w:r>
        <w:rPr>
          <w:rStyle w:val="MDFIGREF_eJyrrk7LTC9KTbMqLklMTzXUzUktS83RTc_JT0rM0c3JTwaSlnllxRplhpq1tQCL5RCz"/>
        </w:rPr>
        <w:t xml:space="preserve">Fig. 8</w:t>
      </w:r>
      <w:r>
        <w:t xml:space="preserve">).</w:t>
      </w:r>
      <w:r>
        <w:t xml:space="preserve"> </w:t>
      </w:r>
      <w:r>
        <w:t xml:space="preserve">Globally, Emap2lig-Find produced false-positive ligand regions overlapping the receptor, whereas LigandSeek-Find with CA2 receptor context effectively avoided these artifacts (global semantic Dice, 0.757 versus 0.160 for Emap2lig-Find)</w:t>
      </w:r>
      <w:r>
        <w:t xml:space="preserve"> </w:t>
      </w:r>
      <w:r>
        <w:t xml:space="preserve">(</w:t>
      </w:r>
      <w:r>
        <w:rPr>
          <w:rStyle w:val="MDFIGREF_eJyrrk7LTC9KTbMqLklMTzXUzUktS83RTc_JT0rM0c3JTwaSlnllxRplhpo1iY8aJqfU1gIA_AYT6Q"/>
        </w:rPr>
        <w:t xml:space="preserve">Fig. 8a–d</w:t>
      </w:r>
      <w:r>
        <w:t xml:space="preserve">).</w:t>
      </w:r>
      <w:r>
        <w:t xml:space="preserve"> </w:t>
      </w:r>
      <w:r>
        <w:t xml:space="preserve">Locally, for the A1B32 instance identified by both methods, LigandSeek-Find aligned much more closely with the ground truth, achieving an IoU of 0.656 compared to 0.306 for Emap2lig-Find</w:t>
      </w:r>
      <w:r>
        <w:t xml:space="preserve"> </w:t>
      </w:r>
      <w:r>
        <w:t xml:space="preserve">(</w:t>
      </w:r>
      <w:r>
        <w:rPr>
          <w:rStyle w:val="MDFIGREF_eJyrrk7LTC9KTbMqLklMTzXUzUktS83RTc_JT0rM0c3JTwaSlnllxRplhpo1qTpptbUA0YwSJg"/>
        </w:rPr>
        <w:t xml:space="preserve">Fig. 8e, f</w:t>
      </w:r>
      <w:r>
        <w:t xml:space="preserve">).</w:t>
      </w:r>
      <w:r>
        <w:t xml:space="preserve"> </w:t>
      </w:r>
      <w:r>
        <w:t xml:space="preserve">Together with the internal ablation results (Supplementary Table 4), these observations demonstrate that incorporating receptor context not only helps distinguish true ligand regions from the receptor background, but also refines their spatial boundaries.</w:t>
      </w:r>
    </w:p>
    <w:p>
      <w:pPr>
        <w:pStyle w:val="CaptionedFigure"/>
        <w:keepNext/>
        <w:spacing w:line="240" w:lineRule="auto" w:before="0" w:after="0"/>
        <w:ind w:firstLine="0"/>
        <w:jc w:val="center"/>
      </w:pPr>
      <w:r>
        <w:drawing>
          <wp:inline>
            <wp:extent cx="5731510" cy="4206477"/>
            <wp:effectExtent b="0" l="0" r="0" t="0"/>
            <wp:docPr descr="Fig. 8 | Global and local comparison of Emap2lig-Find and LigandSeek-Find for ligand-region detection on 9NVS. 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 title="MDPPTFIG_eJzVVk1vG0UY_isjnxIp2V27dVJvSyXXaapKoYpayoVF0Xj3tT1kdmY0M_4KReIEQlA4gHrhwg1O5U4lKvFTEKH9GbzvjO3YTZAqOCCirOfrmef9nHfm44bhftTIWePVdy_Ov_81dZ4PoXn-zc-vf_zs_KtniTF-1thhDQtOywlUBO3lRfHYgXVF0Wx3mp2iOAB36rUpitfPf_nz2eevn37x6qeXRRE5i-LvSBWvgQjj-q6ECcjdodR9LnelLvG3oyZua9LcJnTJjRdandTcno4N7vugcWuaGzarpXL59J2iMfLe5GnqyhHU3CXagMLFgbY19zi0w3SqbWWsLsE5oYa1TFtZtpfWXKiicZvYjm1oHvm5BDbNJ1wi7_0a9etF8YRLlwjCngKYI6HAhfm10TR3hpcoBnkkTiFR63pWNBbDh2NJU3zs9YJzAaedQlUIGwjr_FHcmi1AuBIViJrGn0X_UCvvcB93pRC45_zp1xiNP168PH_-ZZAL3PmuE_yqtVFXucubgqxITCL6YdwP3V60OLSo_NnKXc0bS4PO4vaonqdIBSPJHoMZBXYCCD0Uw4TdYE_YvRB6xtH4EH5W6tpwK5xWTA_Y3ZqblhTD3UNyD6GOxBCbRwCncQ5DzWSY27UwxGixCjyUFDeG_50H7z9KSCMf9foPHPgv3MT-t5q_GSbPT8ExPwLWs3Pd9bpuYbxKrZy349JDxXAExmM0t3rd1jbjjgllxj5h9xHDVQkMj3Q5osNFMe9rP2I1-JGuHBs7JOCsLyphY-xDJk3A4ilGqajXSMuKMipLriWM__7pt-UOewgDsEDUMYNYzCDHtoYWQG3vvJF_aF8lAj1CtOVqCIi5KivXkVOBmqJNKwtxc1-OYTthB2C0E-vWO8YtMNR2qtB-tInY-1FI8N4aDwHK5LcfulLinMeKBpuSiaoSzkg-hypZnjWHlVJ5UbIDgZa7UqN3AjRLmntZcO7lY5cl--39sPaGqQmrdth7qNlSq13unC4FJ6sGXDpgwUYxoQDaU5ztzzF6MyaCmY6dgdWMYiW5ic7ias6GVo_xTGN24MRGeBIGO4Md1lsrFCr4xuHdwrrNO9dabOtO3syy5ja6aJU8G7IF27qvH-eUDtneFTZPHDo2S_bae1cZjaG7RxmCCehGWHCU9ovs3lA76nuTOfT2qQvmBlC1CvvCsPBVH-EpUv4ivBgXUY3BJeyYK5Aupi3SULCCsBjQiYBpoHBYQOEmgzAYrAFjad3EbVZFul5uNz7EO3d11zba-9ea7WY2u97K9q7v7z-5ZUSZ47e4fvlbXb-V5dNL9-6CAbn-CQdu82MLKxr7ViR6MMB8P9DluEYvRyYLkoejMhLGUYEjC9XkWJRU3mhQPpgcWwyYK0lKL0_DKygNj6B08QZK159AqYfaoJlqjFuE8ScDMURl3Ul20u_Mjc_SOHGS0d-NxKghGiIqZG93sEcPJOwfL23E0Kz0uFApKsjJg0eackvp3ojqUddaPR0BrxwVbeJbLjiDlTFOIufF1jUBkTW95IS-FOZQSEkSqR_2xw7PsYAD1mXqDhDzEKWE9Y3BCpRu8tHI4buG9afv6mr9ccTz2cDW1GLg2Cw-h9h89SwK87QMM89KWl-kK6JKgi2ydgFGVGiXpAafWfdA14w6iKZrI4rlkyMXsRe9JZrWlY6qpxddnkvF6DXaabfakeVKFMXlbnjMrfV5jpVbLqfX-1It_OXMKi743W588hdpfEHe" id="58" name="Picture"/>
            <a:graphic>
              <a:graphicData uri="http://schemas.openxmlformats.org/drawingml/2006/picture">
                <pic:pic>
                  <pic:nvPicPr>
                    <pic:cNvPr descr="C:/Users/15919/Desktop/论文草稿/temp/manuscript_figures_0_b9ypt0/figure_000008.png" id="59" name="Picture"/>
                    <pic:cNvPicPr>
                      <a:picLocks noChangeArrowheads="1" noChangeAspect="1"/>
                    </pic:cNvPicPr>
                  </pic:nvPicPr>
                  <pic:blipFill>
                    <a:blip r:embed="rId57"/>
                    <a:stretch>
                      <a:fillRect/>
                    </a:stretch>
                  </pic:blipFill>
                  <pic:spPr bwMode="auto">
                    <a:xfrm>
                      <a:off x="0" y="0"/>
                      <a:ext cx="5731510" cy="4206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Global and local comparison of Emap2lig-Find and LigandSeek-Find for ligand-region detection on 9NVS.</w:t>
      </w:r>
      <w:r>
        <w:rPr>
          <w:rFonts w:ascii="华文仿宋" w:hAnsi="华文仿宋" w:eastAsia="华文仿宋"/>
          <w:sz w:val="18"/>
        </w:rPr>
        <w:t xml:space="preserve"> </w:t>
      </w:r>
      <w:r>
        <w:rPr>
          <w:rFonts w:ascii="华文仿宋" w:hAnsi="华文仿宋" w:eastAsia="华文仿宋"/>
          <w:sz w:val="18"/>
        </w:rPr>
        <w:t xml:space="preserve">LigandSeek-Find takes the CryoAtom2-reconstructed receptor (CA2) as input. Instance matching for both methods used a bidirectional coverage threshold of 0.3.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w:t>
      </w:r>
    </w:p>
    <w:bookmarkEnd w:id="60"/>
    <w:bookmarkStart w:id="69" w:name="stage-2"/>
    <w:p>
      <w:pPr>
        <w:pStyle w:val="2"/>
        <w:keepNext/>
        <w:ind w:firstLine="0"/>
      </w:pPr>
      <w:r>
        <w:t xml:space="preserve">Stage 2</w:t>
      </w:r>
    </w:p>
    <w:bookmarkStart w:id="61"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61"/>
    <w:bookmarkStart w:id="68"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42755"/>
            <wp:effectExtent b="0" l="0" r="0" t="0"/>
            <wp:docPr descr="Fig. 9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ndvdwluaNUii4JqpSiKAXxwKLI8fpureyuje29vWvLKwhVRUggXkC8wgv9AFQ0X6Zp-jGYWe_9adPSij4gIl12bI9_M7-Z8dj3Wpq5tDWE1uWPjy9-fhJYxyaie_n4h2e__nJycf7X89--7r7fffrkwcUf33e0drNWG1pGWJVNRUL7RsM4_tQKY-M46g-iQRzvCXvmlI7j54_-fPbTN88ffnv5-3kcewNx_FYWCpYLQvfKG4YlzGxoJg0tcqadVMVJzsxZqVHt89aNaqhhlmeFHVYfxq3UOT0MAstTkTPbUVoUuDhWJmcOh2YSVMok2igurJXFJM-CbhhuBTmTRdy6SWhHpv7ccfNMQDWcsgxxb-XozsibJ71goUG6Z0LoQ1kIW8-vjaqh1YyjGcTJcAqBur0wbjXD4zKjKVY61WA26rRTFgmqjaWx7tBvDRslXPEOeE_9v0Y-UIWzuI9ZLiXuuXj4HWbi6ePzi0cParuCWbdrJXvVWrpb2KubalsemEyc1uPTWhx5xvUXnb-7DFe0syB012_37jnKVE2S-GisJmGmAlUP5KQDA7gPB8qIiVElkj-IgOEnkxP6yEQUTro5YCJ5SiFlnJeG8TmoMQjGU8hVIjKopEshEVpZ6UQCRnChnTIW3mPXa8CRmatdp3IsLsFVYZ0p-Uuap9c75LXzvv8HQX6HUML_1vNRpvhZJa2AsVE5uFQAdpN2LVg5AzYTFmyqKlBTYViWwZ3btw7377TB5jTKVSY4HimLE-WEGfyO18upDblwLAM8wrauBI35xrqyHThmicQV9LtEG4YVk8aJbngNnYAoDK914LPXlFYbovZWPwKOoDJhjiDEl6U0AnjGsM-MJWfUOWqriwJuU-FWqcTKjdrdzR1gqL9yuAOfpBga4CrXhoKyuTO4SrS701uS7W_1XmYYLTg2zr-x9msqvcG7UIm2wjdS6e28gsr29orK5j9ROWryRi0A8R2ZAlVkcwg74c41cmbRNZAiK7DXo1TX0bhEo8iLWeE-wBlJ2SZySHWizBwqZqFQDliSSOKJTs5BFAa5iaSNwbBl5qj9ICADukLwlmg8AwyXQyiLPu5JlqsiIcMJhUzA_u39493DvY1be2uti-JIKgIvKupwPiwbi7B4RPS1DYxqfoK5qonSCQAqQ8qPK01BLmH5SqxqI9Ai-Y6FfbQaQCWQqNdGGOaweLoNxmubJgVxM9pcV3tjDb3YO-miutn6Am_v5a3d6m9vRv0onPW3e93tfv_-DS35EH_NRc7e6iJPDKuu3OANAmL9GwzchtERSxjzViBqjIdC7Cle5phBj2REVh8Tm0ptqQ0Sw2J6JDk1QRrwj6dHBmNuOVkZDYP6LRXUT6mgeUkF6w-pwIlcI82ixC1Su5OxnKCz9iQ8OR3MtQsDP3ES0t-go4sJEpEJom_1UKKXFcpHC46YmqUfK5e8g4wieIjtmA7DKKV-uGuMqlLBEkutnfAWC1YL7vwkYq62rhnwqMGVIJxmUh_ILCOLJNf7vcCGWFkC-wuJY9Q5Riv1-guDpVLwIh6NLL6Q4LS6je-CtWcWG87GJqcvJg5m_mEF8-UDq56nZTHDw0zrTbmiFp_Xw7pqG2XUqr8LUI0Pto8EXh0koDYeC-fNsumh9boraaFN64XyrgcrkQ2zAuhdO-h3-x7llVqUl_36Wbgms6FjMltMr8tZ0cTL6mVe8Hez9dXfE7VoXQ" id="63" name="Picture"/>
            <a:graphic>
              <a:graphicData uri="http://schemas.openxmlformats.org/drawingml/2006/picture">
                <pic:pic>
                  <pic:nvPicPr>
                    <pic:cNvPr descr="C:/Users/15919/Desktop/论文草稿/temp/manuscript_figures_0_b9ypt0/figure_000009.png" id="64" name="Picture"/>
                    <pic:cNvPicPr>
                      <a:picLocks noChangeArrowheads="1" noChangeAspect="1"/>
                    </pic:cNvPicPr>
                  </pic:nvPicPr>
                  <pic:blipFill>
                    <a:blip r:embed="rId62"/>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9a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9b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S9LLUrMydEtSC1Kyy_KTcxLTtUoM9SsSdRJqq0FAJNoESc"/>
        </w:rPr>
        <w:t xml:space="preserve">Fig. 7a,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10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27Hc5A3BgRVg0n4oMjS29P726Tnu6mu_ffeb4qx3EiKL4ovom-eB_A4OW7yOWSj2HV9OyfXCIGfRAXdqa661f_uqq65rPIUD-JMhJdfHt6_v3z2Hk65q2L029e_vjD4Pzs98ufv2i90Xrx_Mn5r183jfGLqEEiy52WM16gXC_L848cty7P03Y37eb5IXcnXps8v3z228vvvrx8-vjil7M8Dwby_FYWFC05ag_gHeetVmPu_I6hwiKAUeOFVoOS2pOpAegn0f15ZsiilMpl8zfzaOK9yeLYsQkvqWtqwxUwR9qW1MPSjuO5toWxmnHnhBqXMm4lSScuqVB5tI_ajm31-tAvJSfzbEYl6H23BJd6wTzi4hUCsSecm75Q3FX7W6t55gxlYAb0SNgCRa29JI_q5YOpxC069brWWcNRUqgCYCNhne8H0aQGASc4EDwNj5o-0so7kKOOCQEy50-_gmy8OD07f_akssup8wdO0Jt4kwPlrgtVtoJiNDGs1sOK7IWIqzc4_3B9XOm9VUAPg3hwz2OmqiAxHgMVxe2MA_RIjJskTcgj0hdjCpGLgisv_JJA3tgET5AyNrWULYkekXVlkBnU4NQRP-FETcsht8hmoEEU1HMir2gT3DXIXPgJKbjRTnheEMsZN15bR16ndwiCe3apD7wuWzvA0wpsTdkryOGdJkblQ2z_QRL-xVGT_63nH_9F5hpkbPXUuJDatEFaDbLbIHtVNv94_FObMF0a7rGKrhUE8JSH5id7aRdk2vBIU5C-167E006LoDkwAo4YzryYcblsksqZvy2VRlWZTFsU1lCV4ELt7MYu-roHjy643tkNZtvJzWY_UHyrvDddwqnCLqCeUCm3EJaP4cZyZMgldAxANKHk-PAtAoJ2uXIC3dJKQm-pV3tm2SBOb5pPOKKoB1oCOk2S1642At5K-9GncFWvr-iofXc3bafJot1JOq0kfXTfCJbBv7616a1u7cLS-bXrutYAuv6JDhCDQPhajb2VEj0aCcYPNZuWcD5Bk-WS4mBwE2Ec1jRGqGbHgmFF44K9Pzu2ULuOoZVeFlfDM65mZ1yPznh7csaelwbCVFMQEcYPRmIMzrpBMhh2l8YncdgYJPBLk6ZRYwhEFKC9cxcoHKVAH69ihNSs_di4FBykeIJ9zU4gt7o3oXCzHlir5xNOC4d9ivpWjKoYwybo3IhuGQha42uHMJTCHAkp0SLSlXwgaAa9w-GmR3IEmAdgpeJfWaxB8VV9uHIwDslw_p4utmcqzRYjW-IbEkcWYYqS5XqaVvvI5gtPGPLrcgUUQ1hdtTUYUNV7pdTAdH6H65IgAWhofB_M0lnfBeyGWqGRr3RwPd6QNJOK4EdMt91qBy03ojAvb1ffAFs0zaCR5Wp7m5aqPi9n1nmB_370-Z-sBKyn" id="66" name="Picture"/>
            <a:graphic>
              <a:graphicData uri="http://schemas.openxmlformats.org/drawingml/2006/picture">
                <pic:pic>
                  <pic:nvPicPr>
                    <pic:cNvPr descr="C:/Users/15919/Desktop/论文草稿/temp/manuscript_figures_0_b9ypt0/figure_000010.png" id="67" name="Picture"/>
                    <pic:cNvPicPr>
                      <a:picLocks noChangeArrowheads="1" noChangeAspect="1"/>
                    </pic:cNvPicPr>
                  </pic:nvPicPr>
                  <pic:blipFill>
                    <a:blip r:embed="rId65"/>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10a,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Furthermore, EMERALD-ID lacks GPU acceleration. Docking a single small-molecule identity at one site on a single CPU core requires over an hour on average. Its runtime was almost prohibitive for PDB entries in the high-cost tail, which required docking more small molecules. In contrast, LigandSeek avoids the exhaustive docking process and reduces the docking workload from</w:t>
      </w:r>
      <w:r>
        <w:t xml:space="preserve"> </w:t>
      </w:r>
      <m:oMath>
        <m:r>
          <m:t>O</m:t>
        </m:r>
        <m:r>
          <m:rPr>
            <m:sty m:val="p"/>
          </m:rPr>
          <m:t>(</m:t>
        </m:r>
        <m:r>
          <m:t>N</m:t>
        </m:r>
        <m:r>
          <m:t>K</m:t>
        </m:r>
        <m:r>
          <m:rPr>
            <m:sty m:val="p"/>
          </m:rPr>
          <m:t>)</m:t>
        </m:r>
      </m:oMath>
      <w:r>
        <w:t xml:space="preserve"> </w:t>
      </w:r>
      <w:r>
        <w:t xml:space="preserve">to</w:t>
      </w:r>
      <w:r>
        <w:t xml:space="preserve"> </w:t>
      </w:r>
      <m:oMath>
        <m:r>
          <m:t>O</m:t>
        </m:r>
        <m:r>
          <m:rPr>
            <m:sty m:val="p"/>
          </m:rPr>
          <m:t>(</m:t>
        </m:r>
        <m:r>
          <m:t>N</m:t>
        </m:r>
        <m:r>
          <m:rPr>
            <m:sty m:val="p"/>
          </m:rPr>
          <m:t>)</m:t>
        </m:r>
      </m:oMath>
      <w:r>
        <w:t xml:space="preserve">.</w:t>
      </w:r>
    </w:p>
    <w:p>
      <w:pPr>
        <w:pStyle w:val="BodyText"/>
        <w:spacing w:line="360" w:lineRule="auto" w:after="120"/>
        <w:ind w:firstLine="420"/>
      </w:pPr>
      <w:r>
        <w:t xml:space="preserve">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9a</w:t>
      </w:r>
      <w:r>
        <w:t xml:space="preserve"> </w:t>
      </w:r>
      <w:r>
        <w:t xml:space="preserve">and</w:t>
      </w:r>
      <w:r>
        <w:t xml:space="preserve"> </w:t>
      </w:r>
      <w:r>
        <w:rPr>
          <w:rStyle w:val="MDFIGREF_eJyrrk7LTC9KTbMqLklMTzXSLUpMSSzSLUjMLKpJqq0FALbBC9I"/>
        </w:rPr>
        <w:t xml:space="preserve">Fig. 9b</w:t>
      </w:r>
      <w:r>
        <w:t xml:space="preserve"> </w:t>
      </w:r>
      <w:r>
        <w:t xml:space="preserve">show its performance with deposited and CryoAtom2-reconstructed receptors, respectively.</w:t>
      </w:r>
    </w:p>
    <w:bookmarkEnd w:id="68"/>
    <w:bookmarkEnd w:id="69"/>
    <w:bookmarkStart w:id="82" w:name="stage-3"/>
    <w:p>
      <w:pPr>
        <w:pStyle w:val="2"/>
        <w:keepNext/>
        <w:ind w:firstLine="0"/>
      </w:pPr>
      <w:r>
        <w:t xml:space="preserve">Stage 3</w:t>
      </w:r>
    </w:p>
    <w:bookmarkStart w:id="73" w:name="X752cd74af797621f2bfc2a0853c5cde5fdbaa5a"/>
    <w:p>
      <w:pPr>
        <w:pStyle w:val="3"/>
        <w:keepNext/>
        <w:ind w:firstLine="0"/>
      </w:pPr>
      <w:r>
        <w:t xml:space="preserve">Stage 3: Comparison of PocketXMol-official and DG-PocketXmol</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DG-PocketXmol achieved substantially greater pose accuracy than PocketXMol-official under every test condition</w:t>
      </w:r>
      <w:r>
        <w:t xml:space="preserve"> </w:t>
      </w:r>
      <w:r>
        <w:t xml:space="preserve">(</w:t>
      </w:r>
      <w:r>
        <w:rPr>
          <w:rStyle w:val="MDFIGREF_eJyrrk7LTC9KTbMqLklMTzXWzU9Ly0zOTMzRLSnNS02prQUAz88MnA"/>
        </w:rPr>
        <w:t xml:space="preserve">Fig. 11</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11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81qHEcQfpVmTw5oNbuy1rY2jkFZySEgByEnEMgE0TtTu9NoZrrp7tkf2wFfQgjBuTgEQkLOOfkBYogPeRMT_zxGvuqeXcmRDiY5xAYLVtPd9dVPV1V3dd3tGOmLzlB0Xvzw-NnPfyTOyyldfvH44fNff9k0xi86G6JjyelyRjnjRsM0_cyRdWnaH-z0d9J0j9yJ1yZNXz76_fmP37x88O2L356kaRSYphdKrGVFLC0Su3oyUZmSZdc3NdQAkEnjla6PK2lPGgPoF53r86ERi6qs3XD-QdopvDfDJHFZQZV0m9pQDeJE20p6TO00mWubG6szck7V06pMtnq9K0klVZ12brC0Qxs-t_2yJDEfzmQJuR9XMGkU1TMuWSEYe0JkDlRNLqyfmc2HzsgMaiCnxBIEbW330k47PWpKXpKN163MFs6cqs4Bmyjr_EFk7bUgUKIB0dL4rx3f1LV34JMuUwo8zx58D-__9fjJs0ffBb0knd91Sl5EK3Zrd54p6IqCWcU4zMdhOIo7Dl8Yf2ftrv611YbuRPZonudIhU3yfgwyiOyMAL2pppui3xf3xEhXRlrldC30RBzq7IT857d0uc4GIeGYnGCpX3anjcopPwsLuSLAvb19RbhKlmW30iVlcLXIAeNgeOlO3Cbb5aN1_4Mb_4OzxFtr-X6ppmqMSITAiFVgnJAWawhNSV2gVd6QwFmVtcrOQefKF6LWQnpdOVGpcIyFpVJ6NSPhtfAFKSs8VQZr9C7Qb9RJl29tNDbEnnLeqnHDRYBvJ9S3bl8c3bq9tyFklqGwhNtFC5JZgZTNqXx6_ycn9LwWDmR6l4pvUiqO39ponE_FMTnfZqIjXJUeRVA6vgpFqecgdpkojHYkZKWRpoOeyFBKVR7uSHFErimxYzyVREa1t9TNaaK4mPYH4s-vhTMFWZWhAJtQbZ24NAq4dv6ekMaQtFx7g1qa-FfFrvhWcsdLIUW_x8KpnlGJxxoKgW5Q31EnuMzHO_7S_op6sSarpgVUfahRGCIiqlDsnFhbCH5uJDsllI-c4AgVfAQtI7vUu9C0hdqTgcPbJvgPMzJeW3hnnw-00ar2WA2B4OzQNa0sVWCTdUZsxoLcRvQhnMXvPBfUzAvlTvBEBjaHHz0F47cGvnh6_-HVARtPltlUyQIqypWsA2eE7JyDwA6DUKPslctN8Smkzcj6ECO5UFDkEPwpXlO-qFT2vtCNLxVbIMcapXIQXN_6kpPFQuE0lGMfbMP9FsWu317hThMTCf15iCm7wHPurRyATMxk4-Lm1qnYhgXe9TLEHgUcIVGgWO1J1THUrI3tXsmawypaZGXDj7yJ1ZVQcDuIHumvsn-Udn4S3-h8iT5h3R90Blcv9wf93mJ7e6t3uXft3nWjsiF-bcsgX6tlyK2cn-sVWgmQ9W9kgM03ltZi7GsJCXGgPZ01FZIgSoovH6RtoYzja4R3WM8OVcaXCE-yT2aHFjnvMtYyGiahU0tCo5a0fVpytk1L-O2EbdYNWJTxxxM1hbHuuHc83lka30viwnEPf_3-pqmn2IjKIf3qFkbcx2F8uNojQrO249SkaKBkDx4gPRxyYlQgAWnXWj0vSOaOr0aWtyKEdI-LkHnKekZBlJqcc8K4VOamKkvWyOPAHwdyiCNPPit4OAHmCFoC_ZXJGpS8Ko9nDr2YGM9v4XicaejkcDGxFX8ROLGILZxYrlu5sM5kWuBsML1NV6AyhrVZ24KBCt-VUIPW8CPCoeAB0LivfFQrZwcuYk9HKzTTax1NT06HcljWgjvoncHWIEq5EMVx2Q8N6JmxHOJYl6vls-Oybv3lzDou-N3ofPU3uMwmVw" id="71" name="Picture"/>
            <a:graphic>
              <a:graphicData uri="http://schemas.openxmlformats.org/drawingml/2006/picture">
                <pic:pic>
                  <pic:nvPicPr>
                    <pic:cNvPr descr="C:/Users/15919/Desktop/论文草稿/temp/manuscript_figures_0_b9ypt0/figure_000011.png" id="72" name="Picture"/>
                    <pic:cNvPicPr>
                      <a:picLocks noChangeArrowheads="1" noChangeAspect="1"/>
                    </pic:cNvPicPr>
                  </pic:nvPicPr>
                  <pic:blipFill>
                    <a:blip r:embed="rId70"/>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73"/>
    <w:bookmarkStart w:id="77"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drawing>
          <wp:inline>
            <wp:extent cx="5731510" cy="4511719"/>
            <wp:effectExtent b="0" l="0" r="0" t="0"/>
            <wp:docPr descr="Fig. 12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qre2ol2-dz4gYfJVJwmgrJRVZSJCQOReu79d3iu93V7vpfKRIvCCFUXop4AfHMUz8AkegD3wSRph-Dmd2zY9eRqECoKlGSnd2Z-c2_vdn5PFDUFkFMgqvvLy5__C00luZs7-ri6Yuff2opZRdBgwSaGVnOWIZy_ThJPjJMmySJur2olyTHzEysVEny8tmvL374-uWTb65-eZ4kHjBJbkQUtGKI5plNpVnGU8uypmY5l6JZMJo1rXQryqdUWTg_r6ieTBVofhLcnceKLKpSmHj-XhIU1qo4DE1asIqallRMAHMsdUUtbHUezqXOlJYpM4aLvCrDTrt9J6woF0lwiGhD7ZYzuywZmcczWgLuBxV42PfmUS5cSaDshDE14IIZd76xm8dG0RTMAE4JRwDU2W8nQb09nZZ4RKdW1pi1OGpykYHYmGtjB161XQsBxzvgPfX_avpECmtAj5qUc9C5fPIdFOPPi-eXz751dhk19shwehOvOBJmV8nZ8sBoYuT2I0f2fcRuBecfrdMVvbMK6JFX9-5ZrJQLEuOBcsMNmjEQPeF5i0Qd8pgcy3SCCVNMu6qJlBE5Jsf3m0PgMPtxJUtCITf3Kqo6Jc-b7095mZGpcVqrG0SAg1L-IpkWOmG9K28gZ_8iM-TNev6fVJu-tdVo_A-rMXp7q0GOmZKG4_euWcqUlZrcuv_wNkllpajmRgoCv539iHABjww0E0M-k1zYckkyZplrFaMlGbhuccbYpHmCjXerweBJi6SNrEH6eimPrKw68EKl0Fesnqbb1vtHnR3zewd_Y34kbUEqZguZmdYrvW5qQMkWbMfHUSlHJGXCaskzYiUgjuGhIJREXfL7V57FiHJQ7-72yxp2K8yNBurgqSEc6p9PeYbt1XfTFhmwsSW3aCO93QDDqhmR0wdnxy1yyvMCGKNGBowRM7Ypx81uu-YOMXIDIK6Ewq569Do3oCMX4BaUWjjfOl1b_PHl0wNY8EHAiHiJcnVs-IiCeCHnkL2MU2Fc5eYFNxOYTa6BPE7vFZwWeQi8ZZMuOMRpSClzqJotKp5CFagp3DuCJnDgIB3MKuLvAbH9ouBrfBh8CiPKejQJugd7UTdqL_a7UXQQ9R7fVTyN4a-eVuhrTSuZpvOdMaVGAKx_ggFqdqrZGka_Fogcj3nK4HWeVpA9j6RZSXEgMgVXBj9djFDMhjzFDxc36YezoYaLaVK00o9DNzOGbmQM64kx3BwYQ8sqBWGKKahwZc_HPAdnzXn7fNRbKtsO_cF5G36iTkuJHALhGaAf3AEKJ0qgh6sYoTRrP65d8g5SzOAAPg9DhOwXVOTsSGs5x2nTYDtCvBXDKPha_SFgXqtuGPCo4U4SRiVXJ7ws0SLSTt8TNIYWwmxaIDkGmVOw4vhbm7VQuI2HOwNjIBnNH8hsc5ak8WKsK1yhcGThp0eyXE-R7hzZbGFJivz6uoJUimL1ra2FQcqtK1AFU-l9JiuCBEhD_7PeLJ0NjJe9plbSyBfSux5ekzQuBcHhvdftdD3KjVJYl3tu9t2gaWwpL1fHm3Qp6nwZta4L_B0GX_wFt9TEcg" id="75" name="Picture"/>
            <a:graphic>
              <a:graphicData uri="http://schemas.openxmlformats.org/drawingml/2006/picture">
                <pic:pic>
                  <pic:nvPicPr>
                    <pic:cNvPr descr="C:/Users/15919/Desktop/论文草稿/temp/manuscript_figures_0_b9ypt0/figure_000012.png" id="76" name="Picture"/>
                    <pic:cNvPicPr>
                      <a:picLocks noChangeArrowheads="1" noChangeAspect="1"/>
                    </pic:cNvPicPr>
                  </pic:nvPicPr>
                  <pic:blipFill>
                    <a:blip r:embed="rId74"/>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Docking performance of DG-PocketXmol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12</w:t>
      </w:r>
      <w:r>
        <w:t xml:space="preserve"> </w:t>
      </w:r>
      <w: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t xml:space="preserve"> </w:t>
      </w:r>
      <w:r>
        <w:t xml:space="preserve">(</w:t>
      </w:r>
      <w:r>
        <w:rPr>
          <w:rStyle w:val="MDFIGREF_eJyrrk7LTC9KTbMqLklMTzXWLShKTclMLklN0S1KTc_Mz9PNSE1M0S3JB9O1tQC1BBIF"/>
        </w:rPr>
        <w:t xml:space="preserve">Fig. 12</w:t>
      </w:r>
      <w:r>
        <w:t xml:space="preserve">).</w:t>
      </w:r>
    </w:p>
    <w:bookmarkEnd w:id="77"/>
    <w:bookmarkStart w:id="81"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13</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13a–c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13d–f</w:t>
      </w:r>
      <w:r>
        <w:t xml:space="preserve">).</w:t>
      </w:r>
      <w:r>
        <w:t xml:space="preserve"> </w:t>
      </w:r>
      <w: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3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E0cUfpWRr0CKvXZMAFsUKcQkRQrIBBCgbhWNd2e9o8zujGbGdkyp1Ju2qlrai1bc9AHaK3pfpHLRN6mawmP0Oztrx4FQoVYVRWqUZOfnzHf-vpk581HDcJ83-qzx_LunR9__EjnPx6J79M1PL3747Oirxy1j_GFjjTWscFpNRUqiW_04vuOEdXHc2eh1enE8EO7AaxPHL578_Mfjz188-uL5j8_iOGDG8etAS14IAgzzzYQ74ZoFlyVNJtx4qcv9gtuDiYHYB41Ls75hh4UqXX_2XtzIvTf9KHJJLgruWtqIEpOZtgX36NpxNNM2NVYnwjlZjgsVrbfb5yPSEDcuE9rQVp9bfq4Em_WnXAH3WgFztoJ6kosWEiR7IITZlaVw1fhKb9Z3hidQAxyFIQCtn2vHjbq7N1E0xCde15i1OK2UZQqxTFrnd8PSdi2EmWBAsDT8q9vbuvQO67hLpMSao0dfI_i_P3129OTLSq_gzm86yU-byzdL9-qiSlcAJhWjqj-qmlvB4-oL4x8sw9W5uHDoQVgezPOUqcpJ8seAQMJOBUS35bjFOl32kG3pwihRiNJzO2eJLp23yA2cyqwumBWJMF5bZnRyIDDKESZxaISV1RrFUgEn_LxFan1Q_hai9A9iwd6u5f9Kfvlvn3ybvLMZWWO3cysEkyAjL3FyoMVmuUxyNqxoeO-6Vk2dZTKRYCBOvWYHBMXJBTZOJfcikPc0nvZZ72bnPMJzb-fcGuvduXIB7fvtTkXs3l53gO6194f_0_m_ROcUScne2Yz8BZ2vFtysKzluXplIlZ5gcqK4y9lM-pz5XCwPYvB3eO824nF9ZwD-3r0zRHt7cxD4e_dmF93OrfstdkX71e3CCp0K5djECWwFqJBepEvUcK4n2ClWNFOR4QJMF0d-i13lMNXqGXO5nrlT9-AZbXk5FmfX2GCnWQsU0HpmpCbibIX-kq9nzMTi5sGK4OOK604okZB5o3kwm7lEW9Fig6XhwAEmzLaCecHV2qorGNNKTgUbI-zla68sxo0RnBbgl2ShTbi8xfagIEX0Kz0oLCqE5U3IvS4co5Io5IjKDdybnicUqwGha49FlLXMYhQlDNMZAyNSWbmVCz6d1zizHC4zbyVp4lbNQQ4vrNGKk-jCVCuQgxoUlugCrqSYl067ic3AOUyBcrlWaYttVdxJ9IR2RQgVaEHsS7lNm0tXKkOaZAgzHJUPIm-45XXoUQnAXlikULsBnpes3bqwwTziGCxxk4I8Q1NaNsV8Kiy7yzl4ZnkqZQvMF1VQa-rQohWTKfPYC-vs108JJ30pvauBarFNpSofCdDnGsl3eZV-MgRVLEulM4rPK1qPEfQ1NpViRukBNVFbEqJLuAKRbtGHjZD8NbYB7cg56A11KcQBbEQiM5RDOUqhOvtOphMYj4R4mUlU3ievCKoPLzc-RNG8LJYb5y72Ou129_B8t91td9oPLxmZ9PFX18_8jern1PLZK4VzjQCsv4OBZX5ixRLGvhFItdfFQCcT2kYByQrQFKHGLjCOTkXysJwOZUJnInWSG9OhRWZdQlq2-lH1aomqR0tUv1mi1SdL5EVh4GY5wRJp_H4mxzDW7bf3R7258e0oDOy38dPptkw5hiMyBfpFKvXpQYP2cOEjUrO049ikYCCnCO7itHKs1Fs5nWCbFgcdEcHRSU94iwkihQ-DwDxeuqIgoEavBGGkpNmWSpFGalfrQ4P3sc2ET3JqZpDZg5Zq_kRnKRSdxKOew8OEjWbXcVKuvG54_zCzBX2ROHYY3jNsvnzXVOM0LQ49S2i-piukEhKrWVsLQ6r6LkAN3kk7gg4ONCCNM8UHtXy664LscWshTfOlDqZHx03eV7gRgdLbWN8IKKdKUV6uVq-xlTbvey7VYni1rco6Xs4s84K_y42P_wQ2O8Jr" id="79" name="Picture"/>
            <a:graphic>
              <a:graphicData uri="http://schemas.openxmlformats.org/drawingml/2006/picture">
                <pic:pic>
                  <pic:nvPicPr>
                    <pic:cNvPr descr="C:/Users/15919/Desktop/论文草稿/temp/manuscript_figures_0_b9ypt0/figure_000013.png" id="80" name="Picture"/>
                    <pic:cNvPicPr>
                      <a:picLocks noChangeArrowheads="1" noChangeAspect="1"/>
                    </pic:cNvPicPr>
                  </pic:nvPicPr>
                  <pic:blipFill>
                    <a:blip r:embed="rId78"/>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81"/>
    <w:bookmarkEnd w:id="82"/>
    <w:bookmarkStart w:id="103" w:name="end-to-end"/>
    <w:p>
      <w:pPr>
        <w:pStyle w:val="2"/>
        <w:keepNext/>
        <w:ind w:firstLine="0"/>
      </w:pPr>
      <w:r>
        <w:t xml:space="preserve">End-to-end</w:t>
      </w:r>
    </w:p>
    <w:bookmarkStart w:id="83"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360" w:lineRule="auto" w:after="120"/>
        <w:ind w:firstLine="420"/>
      </w:pPr>
      <w: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19</w:t>
      </w:r>
      <w:r>
        <w:t xml:space="preserve">).</w:t>
      </w:r>
    </w:p>
    <w:bookmarkEnd w:id="83"/>
    <w:bookmarkStart w:id="87"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14</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14</w:t>
      </w:r>
      <w:r>
        <w:t xml:space="preserve">).</w:t>
      </w:r>
    </w:p>
    <w:p>
      <w:pPr>
        <w:pStyle w:val="CaptionedFigure"/>
        <w:keepNext/>
        <w:spacing w:line="240" w:lineRule="auto" w:before="0" w:after="0"/>
        <w:ind w:firstLine="0"/>
        <w:jc w:val="center"/>
      </w:pPr>
      <w:r>
        <w:drawing>
          <wp:inline>
            <wp:extent cx="5731510" cy="2935896"/>
            <wp:effectExtent b="0" l="0" r="0" t="0"/>
            <wp:docPr descr="Fig. 14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PEzcQ_yrWSkitlGSTQA6yoicduQNVOtCJ0qdudXK8k6x1Xtu1vckF6EOf-geo-lD1pVIfqz7dBwAJPkK_Q8UBH6Nj724uBxRRUHu96iJtdjz-eWbsGXvHcyfS1OVRQqLnPz46_PlxvNXfOjz45enje4cH959988Phw187Wrv9qEUiA1aJGWQePUrS9FMLxqZpbzDsDdN0E-yeUzpNXxw8fPbT1y8efPv8tydpWolN0zfIlbQAL9OWWrehD22mCi3AcSXbVAgPYVT75m5BzV6pEfxZdHmeaLJfCGmT-UdplDunkzi2LIeC2o7SILFzokxBHTbNNJ4rk2mjGFjL5bQQcb_bXYsLymUarXtpOya8PnELAWSezKhAuR8XdAqjSr3HxQ3CY_cA9DaXYAN_pTVPrKYM1aAcgSwU1L_QTaO6ebMUnkVLp2qZNdyP5DJD2IQb67arod0ahD2VAZWl1V9NX1XSWRxHLeMcxxw--B698PTRk8ODe0EvUOs2LKev68s3pH11UNBVCfYqxqE9DuSomnF4o_G3l8vVu9RM6HY1vDLPeU-FSfr5aIwkMDNA6FU-7ZDeBXKXbMms7VQbcPZH_idqQgSfUmRm4IAFnm_xDKTjbkHQvSz3C02ZUdYSDJhmBBPUWrAdb4errDmBZXuPxSEna_k_4nB6ar3RIpugleUOMmKAgXbKWPLBtVsfdsi4RUZmoTacKvpt7FTSOlOyl6CjjT5iryiXY4jLjPtotoRLJsoMSO_ikOxsXiEY2IaDDWHebw26_SaeOQqlEs-vDtlwZFxmU3CndjWPx3aRqOv4HarP8-KtznM1mXAGm4qVBS5Zc5q73NtRVELd-u9fXY6LoCew4lrR6VqrFgHK8hAcPJxwag7Zmeff5PlgRJFY_4Wo7dTBzMCrwmGnjpE_7n93LEj-KniW_BuvY_89jff-B2F5wp-n97Cc5dRM8WymzkGhnW2ReQ4GTu18_qXD9MZZ0J6g5Xj0uxyILIsxGJ8YA-YFfIx3lZfzA6QQSp3_YnTIrbxBtBvEaoZtKL5ILXxiKGvybmzbsy1xtiX-w5YfRXwId2qA2JL5G_6kFGJR3xn9QR9ulQZzcSfqOyNkHXLNAEjib-Q2ZtwwUafdY1FCzc44LTBXt8Tmah72CG6qNnxRUkEKoNVttACEyRbm-lb7S-oMxCJIXxCtuF9Aj5pxhTJrST6ZyzjeEvi4rO4BOIFB91yL9Lr-H8PtXBh13hNVsv_SVdZXAtajz1skWpZFosHF871Br7vfH54fXBqu3b2sOUvwqSOfvlXkZ4bOXymR1BJQ1rvIwGGuNLAUY955CxoQNCxYzrX14eJnKGc7nPlg8Q12Y7Zj0PeWeS2jJA6FqjjUqeK6TBWvVqlinwXgNGWJQ7h2uxM-RWPtbnd3PFxo140rxm4Xf70LHS2nOBGeofRLa0j5AhbSO80c0TVLO45MqgykfgW3FduzRKpRTuUUNoxRmH_QzPot4OU1HSGaKibKPBq6oqCSGr-yCGPB9VUuhNfo6TC-IigmpAZwC3hygpibqCX0H2ssQfFxeb5lNa7weH5dZat1LJrsT0zh3-g4sl9VrshiWcEKfN8N-44w31-HK6KYh9VRW4MRFd6NUG2suwaqIJ5AtN_NlVo627YV9ohq0L5fqsr0-IikiZDEFw6Hg_6gkvJalPfLVqi7rdA0cZSLhr1KC1mvl9VLv-CzHn35J0u9FNI" id="85" name="Picture"/>
            <a:graphic>
              <a:graphicData uri="http://schemas.openxmlformats.org/drawingml/2006/picture">
                <pic:pic>
                  <pic:nvPicPr>
                    <pic:cNvPr descr="C:/Users/15919/Desktop/论文草稿/temp/manuscript_figures_0_b9ypt0/figure_000014.png" id="86" name="Picture"/>
                    <pic:cNvPicPr>
                      <a:picLocks noChangeArrowheads="1" noChangeAspect="1"/>
                    </pic:cNvPicPr>
                  </pic:nvPicPr>
                  <pic:blipFill>
                    <a:blip r:embed="rId84"/>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bookmarkEnd w:id="87"/>
    <w:bookmarkStart w:id="91" w:name="end-to-end-modelling-of-small-molecules"/>
    <w:p>
      <w:pPr>
        <w:pStyle w:val="3"/>
        <w:keepNext/>
        <w:ind w:firstLine="0"/>
      </w:pPr>
      <w:r>
        <w:t xml:space="preserve">End-to-end modelling of small molecules</w:t>
      </w:r>
    </w:p>
    <w:p>
      <w:pPr>
        <w:pStyle w:val="FirstParagraph"/>
        <w:spacing w:line="360" w:lineRule="auto" w:after="120"/>
        <w:ind w:firstLine="420"/>
      </w:pPr>
      <w: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15</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5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LGzcQ_yqDIaUB22s756TepAcX310I3AWTpFDolkPeHXvF7UqqpLXPaQrtQ-mfJKXQ0pdCH0uf7gMkkDz0A_Q7hFySj9GRdu3z5ZISUkgw5MC3I-k3vxmNRrsafVlTzKa1EGrPfn1w9PvDYKuzdXT4x5OHd44O7z79_uej-382lbIHtTrUNBqZTTBx6H4YRZ8Y1CaK2t1euxdFm2j2rVRR9Pzw_tPfvnt-74dnfz2KopI2iv6DV7AcHacplGpgBxuxzFWGlkvRMDnLMgeKmXIdeznT-4Ui-Ge1S9NQwUGeCRNOP45qqbUqDAITp5gz05QKBQ2OpM6ZpaYeB1OpE6VljMZwMc6zoNNqnQ9yxkVUW3dsA-0fN-wsQ5iGE5YR79WcjbFfmne4YI5w2H1EtcMFGt-_1JqGRrGYzBBPRl1E1FlrRbWqeb3IXBcrrKw4K7jT5CIh2IhrY3dK1VYFopHSgdLT8l8lb0thDekxE3NOOkf3fqJ1ePLg0dHhHW8XmbEbhrOXjaUbwpxW8rZKYmdi6NtDL_bLGfsnOX9rEa72R_MJ3SrVS_esWyk_STcfRbmEeoIE3ebjJrS7cBu2RNKwsoE0--MMADkCnwSQywxjCptpOlpbkr-DKPyPucLKer6V8TEf0q54YS2AaeqjvM2wQWieFAi01Zjg8SnolNsUhARmZW4g534XgsaMWT5BsBJsilyDRVp8Zmmh4crNOiSopOEWE4LGqKzUBj7McGTPXoT-RqcOfT2TG8TZIQ9iKYzVRfwCXPNxas82gdWHdTKkGm24vntjEz7I7EXowN_fXoS4npweOueHsD6qwxCNbchRo9s6pTqup68Yd_pN2OEUkOQG4j5s0w5-_PUvu8zGKT0vFzxLQHGF7qUAU2YAaYEK5vyn5L9wAQablwGF1Zwi6LaF5j5sa2vnIfO8wGnKTNBbrQ6FHxvIeB_tp7sya9hCEBO9BIGCiLAUINpbTdiWemVT8uRmykNJQU2r70H-Wt8DORrxGDdlXOQU4fnXwKbOj7wktevXLgW5N-N7gsrOKodqlTzH-XtnkeQkAbI4XWyMGe29IhmjXdlJvqVM_ueb96n8Dj2nj6GcmpV1_60kqXciD42dQV75qbybvq_M3EGVzo_v_ngin1-V5694k7-RxTvvd9A79DxOmR7TcYZZd0SkrIKbKS7XCppOkhK4cQdJEEU-RO3rhyJ2Nd-oyJY-Iwmf8ITIhrOVjcf7E9Brh4pKCY0owB2zTRBzHfvihU7Pw4xKlrI74SyXIjFgUjn1OURnjAZ-UTAqY5AJj8-RYKJOR2mjMHaVSzajEkDjjI7Y3IXAoSZcEucSU8Lp2M2HhctTgljots7Uod1y_ynsZ7zWOSeUh5kXqlxX86_XPq9DbXEBUuteONfutlsHa73W-W67d_uS4nFIvyoD2GtlQKLZ9NRlSMVAXG_CQWq20Lig0W-cimVtSAFLuTJuwd0MxWTAY7fcrhFfmww0lYgmdlb6YeAvpQJ_JxVUV1LB8o1U4F4dNE1RkApXdm_Ex-Ss2WvtDXszZVtB2bHXor92t6nEmCbCE2Lvuesbd1lF8mA-R1qahR_HLpUOMhfBHSrGDJW9_ZSJMW5oLacpssS4JHZ88wGfTWUncR6rLhkoWYNTQRhmXG3zLHMWnez1S4HRV0wjFZtOHBHmOlnx4ycaC1Bwks-1jKIID6e7Mlm-sWLhwUjn7kkLBwflHRXMFndVvt8N44GF2I1X6Uqo2MGqrK3AhPLPOanSxl5BmYMTCE2Fqy3NssmOKbHH0hztxoUsXQ-ORRZmAtwVYa_b6ZYsL0W5ddnyN2xLMgst49m8e1nORBUvoxbrQr_12lf_AktcBRU" id="89" name="Picture"/>
            <a:graphic>
              <a:graphicData uri="http://schemas.openxmlformats.org/drawingml/2006/picture">
                <pic:pic>
                  <pic:nvPicPr>
                    <pic:cNvPr descr="C:/Users/15919/Desktop/论文草稿/temp/manuscript_figures_0_b9ypt0/figure_000015.png" id="90" name="Picture"/>
                    <pic:cNvPicPr>
                      <a:picLocks noChangeArrowheads="1" noChangeAspect="1"/>
                    </pic:cNvPicPr>
                  </pic:nvPicPr>
                  <pic:blipFill>
                    <a:blip r:embed="rId88"/>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completion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bookmarkEnd w:id="91"/>
    <w:bookmarkStart w:id="95"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9284"/>
            <wp:effectExtent b="0" l="0" r="0" t="0"/>
            <wp:docPr descr="Fig. 16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KGzf0V4ShpQV7x3Z2N_EkXdh4d0NgE5akpQ-dssga2SOskVRJY6_TFNqHUto0fUnpS0uf-5QPaKB56Af0H0Jz-YyeI40vm00gpJBgyIM9upz7RdI5XzYM9UUjJY2nPz94_OtfyX53_-mDe09-_23DGH_SaJKG5U7LCc8RqJ9m2SeOW5dlna1ep5dle9yNvTZZ9uz-n09--e7Z3e-f_vEwyyK1LDtLTtGSIyne5a2hUHlrUAmZt3JhOfMtpktDrXBaISyjxgutjktqx5UBrM8al6apISelVC6dfpQ1Cu9NmiSOFbykbkMbrmBzqG1JPUztKJlqmxurGXdOqFEpk267vZ2UVKissYPUjmz43PQzyck0nVAJdK-WdMT7kT3CJXMIhB1zbg6F4i6sr8ymqTOUARugI2EJCHU321mjnt6oJC7RyuuaZg2OmGAKABsK6_xhRG3XQLATBYiSxr96fKCVd4BHHRMCcB7f_Qm88O-Dh4_v3wl8OXV-1wn6or1iV7mzSIFXJIwsBmE-CMN-1Dh8QfhbC3N1LswVuhXRo3gePRWURH0MRBK3Ew6gB2K0QTrb5DY5AO0efX3vMgYBQe9LjjYngxk5FCOq8pucjwl8yX5JTVcKsK3wBYBaDBgiAxAROVdeeMHdBvL3UYq3YK7_YRSytpLvA1pFg9-EYrLKuSObm9uEg3fEANLKlVTKVqklZ5ADAOQ8VZCShDKrnSPnz5OjvcsEfGjRhWT_FCKZIwK8hTXIGMlbwF7kFSeQ5FQJdgY0hInShHpdOlKKkP_EcgmCTjjxmviCC0s8h6CjHtnS5qAJG6bVIUY7XGHNvEkG3Pn5wiEf-hCOVowKD2Eoq1I5IPtFBScYKTidzFrIkty4dnOPOFCIeTkj70t_sUv-_jbg4uQcTJqA5wyEMQgkZxvkUxBZKMIpK8igykfcA3NqHXGFni4SoLmaGUHLvp3pXeDZBaMwDca1FfMcZOSMG6-BwAf93e6HzcD8eeScg2riOfArHwP00IIaEhUGYwV9N8jlhThgPXRaCzSnYHdO1Ur-XiTcWm1XpDfcMsxRcGpv6z0IAQ_BQ6WLXDrtZrvdJgOtPUhPDRqGIjFH9DCwiiECHjgAsjSEC6jq4RwHt65t5pzO-TLV1-A6ru-38pXuNz0cCsb3NKtKMO_8dvMFylFGon7n-qWkDGzCSlLzWWdTrZPknlpI5eWp11yeQjHL11azNxS-_3zzLn7fouRwr-qpW1vx30iQBiHK1PkZKWs5TRAzrMXIParD-dGPP5yK55fF-UuO79fieOddBr1FyVmBV0AOb1F8bUJUkf6y1BEuPHBUVQ64xeeOqxiWq8NKrryUczGBIieHwmhtrfDusfPKpsKHNhuPrK7gxc7gvS5yLFFC_VMHU3zN68q39LDlGFiLgKn4i3HcWBjD89PFMfYUdhqfN0lj0WBpbJ0_19nqtE_OXej2uhc2b18ygqXwq91EX8lNuaXTM82WmgLQeh0agOYryxdk7GvHS3x7QZVUCOPQK6ihmhwJhj7BCbs-ObJQFzmGXPppElpeSeh4JXXDK1ntdyWY1aCmqgBFGH88FCMQ1h23jwe9mfHtJC4cQ43T7mxvGDUCRUQO1HubMMKeGIyP5jqCaxZyLEWKAlK04KFmYwfFbb-gasR3odSaQuWZO4w0pDffCMVlXASaS9QVBpFqcsYIAynMgZASOeI44McBhQvGcs8KHA4B5gZwCfunJgug5DQ9nDkDFh5Mr-l8tSNG05OhLfELjiMnsQdGZoteWFjHbX4CpTfu1-EKUAzB6qitgQEqfOdEjXX-CodqEwcAjQ2kyJZODl2EXY7m0LivdBQ9WQ5pKhXBFmRvq7sVqbwQCv2yHzp4K2OaQuEq58urY6lqezmz8Av8dhpf_Qe6FCSn" id="93" name="Picture"/>
            <a:graphic>
              <a:graphicData uri="http://schemas.openxmlformats.org/drawingml/2006/picture">
                <pic:pic>
                  <pic:nvPicPr>
                    <pic:cNvPr descr="C:/Users/15919/Desktop/论文草稿/temp/manuscript_figures_0_b9ypt0/figure_000016.png" id="94" name="Picture"/>
                    <pic:cNvPicPr>
                      <a:picLocks noChangeArrowheads="1" noChangeAspect="1"/>
                    </pic:cNvPicPr>
                  </pic:nvPicPr>
                  <pic:blipFill>
                    <a:blip r:embed="rId92"/>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sz w:val="18"/>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16</w:t>
      </w:r>
      <w:r>
        <w:t xml:space="preserve">),</w:t>
      </w:r>
      <w:r>
        <w:t xml:space="preserve"> </w:t>
      </w:r>
      <w: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16</w:t>
      </w:r>
      <w:r>
        <w:t xml:space="preserve"> </w:t>
      </w:r>
      <w:r>
        <w:t xml:space="preserve">and</w:t>
      </w:r>
      <w:r>
        <w:t xml:space="preserve"> </w:t>
      </w:r>
      <w:r>
        <w:rPr>
          <w:rStyle w:val="MDFIGREF_eJyrrk7LTC9KTbMqLi0o0E01StVNzs8tyEktyczP0y3OTczJqa0FAAWgDjw"/>
        </w:rPr>
        <w:t xml:space="preserve">Fig. 15</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5.</w:t>
      </w:r>
    </w:p>
    <w:bookmarkEnd w:id="95"/>
    <w:bookmarkStart w:id="102" w:name="representative-cases"/>
    <w:p>
      <w:pPr>
        <w:pStyle w:val="3"/>
        <w:keepNext/>
        <w:ind w:firstLine="0"/>
      </w:pPr>
      <w:r>
        <w:t xml:space="preserve">Representative cases</w:t>
      </w:r>
    </w:p>
    <w:p>
      <w:pPr>
        <w:pStyle w:val="FirstParagraph"/>
        <w:spacing w:line="360" w:lineRule="auto" w:after="120"/>
        <w:ind w:firstLine="420"/>
      </w:pPr>
      <w:r>
        <w:t xml:space="preserve">We selected two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4HzjA3SE2trAQ6KDYk"/>
        </w:rPr>
        <w:t xml:space="preserve">Figs. 17–18</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17</w:t>
      </w:r>
      <w:r>
        <w:t xml:space="preserve">),</w:t>
      </w:r>
      <w:r>
        <w:t xml:space="preserve"> </w:t>
      </w:r>
      <w: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7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vHDXwr1j31Ep72bu0SblTqXS9JhHigqK2ICQWRb7d2T0T39qyvfdRilReoFUpPIAqIZ54ohJSywsvVGr_S9U0_RnMrPc-2gapwAM5lEiXtefbnvHYM5_XNHeDWpvVjn54fPjTk3BrfevFz7efP7l7-N2jl798dfjN_frRr48Ob_-G_1_8_uXRg7tHd27vj86tae0mtYDVDFglR5CQjG47ij60YGwUNTdazVYUXQF74JSOopcP_3hx_-uX9-4cPXgaRV5ZFP1tbTkfAmmCdainUo3rLSkzQsRcO6Hy_SE3B4VGkk9qF8dtzSZDmdv2-N2oNnBOt8PQxgMYcrumNOSITJUZcodTk4VjZRJtVAzWijwbynC90dgMh1zkUe0SSdsz5eeam0pg4_aIS5T73pBn0PXqiS6cURDtAYDuiRxsCV-ajdtW8xjVoByJIBS0fr4R1arp1UISiBdOVTIrcuIUeYJkqTDW9TxroyJCjDfAW-r_VeNtlTuLfNzGQiDP4b1v0SPPHz89fHi31Avcuo4V_DjcoJPbN5lKXV4wqeiX83457PoVl180_sZ8u5rvzBZ0w7N78xx5qlwkrUdjVIEZAZJui2yNNS-wm2wrT-pO1QFXr5UFZiBWuXWmiGnrmUpZp7n1fo-dudrebKyfZSJnrV5vZ420OK_rP9iUf7F0trKWb2MgBmyXu3jAOPrrciFkwhLIlQPWExnCrgEc1D3dEmDBsgQsuQP0t9WAvh6BnJ469SSdUf7s1vfxynokYFsTDUYMIXdcUpRa4aYBcwNgXTNVHaeG6_WlbAMJ5R7QThl2ptvBVEMBS-QJYGYSrxLsXD97Gq0nKVqTlfVGwLoYaSLhjm6_DG89yxCdiDIm-1Pm8-lYuAHrqwlYhm-JA3pkOFXGp1QxRvhIwNgyvDIJZEQ2cKcBepICFFbWG8HKWv5_jKN0Zb0RsB2jCnrvm8L59-Aiz8nyZThLgAGzAzXOGXdlOrNYIDJlBN3lZVlApBazHpzmuJMUm9nKeiNgHSkZdREEXaYC34tOOIGXbWrUcBGEe1cuM0SZaXUhE6Iqb6wVWU7PTaYKR-V-QsVqXxanQXqignSAdc1nK-uRgH3kH3ppGXt7Kj4A9_GuknVXUMg5petN30rhGRdY3PgH4axysYVJUWjA4JjyqMyri3KHpLxWobPrKGxJh7DM8PwAicvOFT1XSd1QJSCf3foR7cQsbmNlYI1drWywjBtgmQHIg7lmFISQqkBz3GTgqsuAUAqVZGjL4r4g7V4QnbBjDPdIB1x6o4-p4lBwYRGgcjllKQIMpGAgj5FaWC2535BU5LhFgP4qytsnKKHInMMIaEe1lgLFcOvXjcdeF6-9vql9d6n2acBq815mbeN8a3NjfWOyudlqbp5r3LyoRdzGX9Xe5G_V3kwMH7_R16wkoKx_IgPZXGFgLsa8lRCVpiKGKyouKKa8JAOy3DE7ENpSnNMK89GeiCnKaRJ_MNoz6Bsbk5ZuOyw7zWHZaA6rPnO43GYOHQw1LjMvkEVot5-KDI21-439fmuqXSP0gP0G_jUvrOk8w4WIBKW38Kgx6jXjeG-2RnTN3I6FSd5ATjvYwxOGrlbdAYVgxxg1HgBPLJ1dkjdDlIfEA1HmgnVJgZcavrEJfSn0tpCSNNK45PcD3rbOAN4vNEyRBg-RK_GvTOZE4avyaGY17nB_vIuhudR85u1Jaob0RcexiW83s-m87VzCCQ0Tx2LCV-GKVDGRVVFbESNV-Z0J1ZgMdgBvThogNZ4559XyUc962sVoRk34XHnTw8WQt2XOqNvfKvX_JRX5Zatsli-NedtxIWfg5bHMq_2yeu4X_F2qffEnUe65Cw" id="97" name="Picture"/>
            <a:graphic>
              <a:graphicData uri="http://schemas.openxmlformats.org/drawingml/2006/picture">
                <pic:pic>
                  <pic:nvPicPr>
                    <pic:cNvPr descr="C:/Users/15919/Desktop/论文草稿/temp/manuscript_figures_0_b9ypt0/figure_000017.png" id="98" name="Picture"/>
                    <pic:cNvPicPr>
                      <a:picLocks noChangeArrowheads="1" noChangeAspect="1"/>
                    </pic:cNvPicPr>
                  </pic:nvPicPr>
                  <pic:blipFill>
                    <a:blip r:embed="rId9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18</w:t>
      </w:r>
      <w:r>
        <w:t xml:space="preserve">),</w:t>
      </w:r>
      <w:r>
        <w:t xml:space="preserve"> </w:t>
      </w:r>
      <w: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8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2LFEcQ_1eafVKYvdnd8w5vMcK63h2BUxY1IZAJR-9MzWznZqeb7p79MAbMS6IYk4cEIeQpTxECmpe8RND_RTzPPyNV3bMf6gVM8pBbuYO96a6PX1V3VX_VFzXF7aDWZrWjH58c_vw03G5tv_zlzoun9w6_f_zq168Pv31QP_rt8eGd3_H_yz--Onp47-junf3R-ppSdlILWE2DkfkIEsLotqPoIwPaRFFzY6u5FUWXwRxYqaLo1aM_Xz745tX9u0cPn0WRNxZF_9hawYdAlqAF9TSX4_p6I-PEiLmyQhb7Q64PSoUin9YujNuKTYZ5YdrjD6LawFrVDkMTD2DIzZpUUCAzlXrILXZ1Fo6lTpSWMRgjimyYh61GYzMcclFEtYuE1tPuc91Oc2Dj9ojniPvhkGfQ9eZJLpxJkOwBgNoTBRhHX-qN20bxGM0gTo4kBGqda0S1qnutzInESysrzEqcNEWRoFgqtLF7XrVRCSHHO-A99f-q9o4srEE9bmIhUOfw_ncYkRdPnh0-uufsAje2YwQ_jjfoFOZtJWfLA5OJvuv3XbPrR-y-6PzN-XQ1z88GdNOre_csRcoNksajMKtAjwBFd0S2xprn2S22XSR1K-uAo1fSANMQy8JYXcY09UymrHOjx85cbZ9rNM8yUbD1xm5njWxYb-l_mJL_MHC2sp7vYBoG7Aq38YBxjNalUuQJS6CQFtieyJB2HeCg7uWWCAuVJaLTDjDaRgFGegT59DSoJ2mF8ue3f4hXNiIB254o0GIIheU5ZakRdhowOwDW1VPZsXLYqi_tNZDQzgPKSs3OdDutsy5hSTwB3JfE6wK7N86eZutJytZkZaMRsC5mmki4pbMvwzPPMGQnwuVkf8r8fjoWdsD6cgKG4U3igK4YVrr8zGWMGT4SMDYMD0wiaZEN7GmCnqQEhZWNRrCynr-PeZSubDQCtqtlSbd9XVp_H1zsc7m7Gc42wICZgRwXjFu3nRl8HjKpBZ3l7lFAogZ3PTjd405SbmYrG42AdfKcUQ1B0GEq8L5ohRV42KZaDhdJ2Lt8iSFLT6sDmRjV88YYkRV03WSytPTYT-ix2s_L0yQ9UUk6wHfN5ysbkYB97C96qcu9nowPwH5yReZ1W1LKWanqTV9I4RkX-LjxF8LZy8WUOkXQgMExzyO3ry6eO4Tyxgud3UCwJRvCMM2LAxR2dSu6rpK5oUwgf377J_QTd3ETSw1r7Frlg2FcA8s0QBHMLSMQUqoHmuU6A1sdBsSSaCRDXxbnBVn3QLTCjnHcMy3w3Dt9zCsOgUuDBFnkU5YiQUMKGooYpYVROfcTkooCpwgwXqU7fQJHReUCRkAzqlQuEIYbP25c9qp84_ZNxbuLtc8CVptXMmsb57Y2N1obk83NrebmeuPWBSXiNv6q4iZ_p-Jmovn4rapmhYBY_wYD1WypYQ6j3wlEpqmI4bKMS8opj6QhdzNmBkIZynMaYTHqiZiynDrx1VFPY2xMTFa67dDVmUNXZg6rKnO4XGQOLQwVDrMoUUUou5-KDJ01-439_tZU2UboCfsN_GueX1NFhgMRCS21RhObVGrGTm82SIzN3JGFT95DTlO4h0sMYy27A8rBjtZyPACeGEIkvBnDrRJPRMyF6pIBjxq-NQv9XKgdkedkkdpO3zd421gNeMBQM0UZXEXW8V_rzIXC1_GoZxROcX98BXNzqfbM25NUD-mLkWMTX21m03nV2dGJDRPLYuJX-YpSMYlVaVsJo5T7zkAV7ga7gEcnNVAaF531Zvloz3jZRWsmTfxCetfDRZO384JRsX_L2f9bKYrLtquVL7V523KRz8jL7byo5suoeVzwd7H25V9R7rhE" id="100" name="Picture"/>
            <a:graphic>
              <a:graphicData uri="http://schemas.openxmlformats.org/drawingml/2006/picture">
                <pic:pic>
                  <pic:nvPicPr>
                    <pic:cNvPr descr="C:/Users/15919/Desktop/论文草稿/temp/manuscript_figures_0_b9ypt0/figure_000018.png" id="101" name="Picture"/>
                    <pic:cNvPicPr>
                      <a:picLocks noChangeArrowheads="1" noChangeAspect="1"/>
                    </pic:cNvPicPr>
                  </pic:nvPicPr>
                  <pic:blipFill>
                    <a:blip r:embed="rId99"/>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18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102"/>
    <w:bookmarkEnd w:id="103"/>
    <w:bookmarkStart w:id="104" w:name="running-time-analysis"/>
    <w:p>
      <w:pPr>
        <w:pStyle w:val="2"/>
        <w:keepNext/>
        <w:ind w:firstLine="0"/>
      </w:pPr>
      <w:r>
        <w:t xml:space="preserve">Running time analysis</w:t>
      </w:r>
    </w:p>
    <w:p>
      <w:pPr>
        <w:pStyle w:val="FirstParagraph"/>
        <w:spacing w:line="360" w:lineRule="auto" w:after="120"/>
        <w:ind w:firstLine="420"/>
      </w:pPr>
      <w:r>
        <w:t xml:space="preserve">We next evaluated the computational efficiency of each stage in the LigandSeek workflow. On an NVIDIA H100 GPU, Find inference with a batch size of 18 averaged 213.30 s per density map (median, 142.59 s). Vectorised Match inference on the same GPU (batch size of 32) required a mean of only 0.09 s per candidate site, representing a negligible fraction of the overall runtime. During the Build stage, DG-PocketXMol sampled 50 poses per site over 100 steps (batch size of 50), averaging 26.09 s per site (median, 24.69 s) on an H100 GPU and 39.80 s (median, 38.32 s) on an A800 GPU across 446 sites per evaluation.</w:t>
      </w:r>
    </w:p>
    <w:p>
      <w:pPr>
        <w:pStyle w:val="BodyText"/>
        <w:spacing w:line="360" w:lineRule="auto" w:after="120"/>
        <w:ind w:firstLine="420"/>
      </w:pPr>
      <w:r>
        <w:t xml:space="preserve">Both the localisation and pose-sampling stages exhibit predictable linear scaling. For a density map of grid dimensions</w:t>
      </w:r>
      <w:r>
        <w:t xml:space="preserve"> </w:t>
      </w:r>
      <m:oMath>
        <m:sSub>
          <m:e>
            <m:r>
              <m:t>n</m:t>
            </m:r>
          </m:e>
          <m:sub>
            <m:r>
              <m:t>x</m:t>
            </m:r>
          </m:sub>
        </m:sSub>
      </m:oMath>
      <w:r>
        <w:t xml:space="preserve">,</w:t>
      </w:r>
      <w:r>
        <w:t xml:space="preserve"> </w:t>
      </w:r>
      <m:oMath>
        <m:sSub>
          <m:e>
            <m:r>
              <m:t>n</m:t>
            </m:r>
          </m:e>
          <m:sub>
            <m:r>
              <m:t>y</m:t>
            </m:r>
          </m:sub>
        </m:sSub>
      </m:oMath>
      <w:r>
        <w:t xml:space="preserve"> </w:t>
      </w:r>
      <w:r>
        <w:t xml:space="preserve">and</w:t>
      </w:r>
      <w:r>
        <w:t xml:space="preserve"> </w:t>
      </w:r>
      <m:oMath>
        <m:sSub>
          <m:e>
            <m:r>
              <m:t>n</m:t>
            </m:r>
          </m:e>
          <m:sub>
            <m:r>
              <m:t>z</m:t>
            </m:r>
          </m:sub>
        </m:sSub>
      </m:oMath>
      <w:r>
        <w:t xml:space="preserve">, given a fixed network architecture, window size and stride, the primary full-map Find cost scales as</w:t>
      </w:r>
      <w:r>
        <w:t xml:space="preserve"> </w:t>
      </w:r>
      <m:oMath>
        <m:r>
          <m:t>O</m:t>
        </m:r>
        <m:r>
          <m:rPr>
            <m:sty m:val="p"/>
          </m:rPr>
          <m:t>(</m:t>
        </m:r>
        <m:sSub>
          <m:e>
            <m:r>
              <m:t>n</m:t>
            </m:r>
          </m:e>
          <m:sub>
            <m:r>
              <m:t>x</m:t>
            </m:r>
          </m:sub>
        </m:sSub>
        <m:sSub>
          <m:e>
            <m:r>
              <m:t>n</m:t>
            </m:r>
          </m:e>
          <m:sub>
            <m:r>
              <m:t>y</m:t>
            </m:r>
          </m:sub>
        </m:sSub>
        <m:sSub>
          <m:e>
            <m:r>
              <m:t>n</m:t>
            </m:r>
          </m:e>
          <m:sub>
            <m:r>
              <m:t>z</m:t>
            </m:r>
          </m:sub>
        </m:sSub>
        <m:r>
          <m:rPr>
            <m:sty m:val="p"/>
          </m:rPr>
          <m:t>)</m:t>
        </m:r>
      </m:oMath>
      <w:r>
        <w:t xml:space="preserve">, growing linearly with each grid dimension. Similarly, for fixed molecular and pocket sizes, the Build sampling cost scales linearly with the number of generated poses and sampling steps.</w:t>
      </w:r>
    </w:p>
    <w:p>
      <w:pPr>
        <w:pStyle w:val="BodyText"/>
        <w:spacing w:line="360" w:lineRule="auto" w:after="120"/>
        <w:ind w:firstLine="420"/>
      </w:pPr>
      <w:r>
        <w:t xml:space="preserve"># Discussion</w:t>
      </w:r>
    </w:p>
    <w:p>
      <w:pPr>
        <w:pStyle w:val="BodyText"/>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104"/>
    <w:bookmarkEnd w:id="105"/>
    <w:bookmarkStart w:id="161" w:name="methods"/>
    <w:p>
      <w:pPr>
        <w:pStyle w:val="1"/>
        <w:keepNext/>
        <w:ind w:firstLine="0"/>
      </w:pPr>
      <w:r>
        <w:t xml:space="preserve">Methods</w:t>
      </w:r>
    </w:p>
    <w:bookmarkStart w:id="106" w:name="framework-formulation"/>
    <w:p>
      <w:pPr>
        <w:pStyle w:val="2"/>
        <w:keepNext/>
        <w:ind w:firstLine="0"/>
      </w:pPr>
      <w:r>
        <w:t xml:space="preserve">Framework formulation</w:t>
      </w:r>
    </w:p>
    <w:p>
      <w:pPr>
        <w:pStyle w:val="FirstParagraph"/>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The 50-dimensional receptor-atom features and the multi-view density bank are the main inputs shared by Find, Match and Build.</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rPr>
          <w:rStyle w:val="MDFIGREF_eJyrrk7LTC9KTbMCUrq5qSUZ-Sm6yfk5-UUmtbUAoNkLAg"/>
        </w:rPr>
        <w:t xml:space="preserve">Fig. 6</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yfk5-UUmNYm1tQC3_Avf"/>
        </w:rPr>
        <w:t xml:space="preserve">Fig. 6a</w:t>
      </w:r>
      <w:r>
        <w:t xml:space="preserve">),</w:t>
      </w:r>
      <w:r>
        <w:t xml:space="preserve"> </w:t>
      </w:r>
      <w:r>
        <w:t xml:space="preserve">match candidate regions to ligand identities</w:t>
      </w:r>
      <w:r>
        <w:t xml:space="preserve"> </w:t>
      </w:r>
      <w:r>
        <w:t xml:space="preserve">(</w:t>
      </w:r>
      <w:r>
        <w:rPr>
          <w:rStyle w:val="MDFIGREF_eJyrrk7LTC9KTbMCUrq5qSUZ-Sm6yfk5-UUmNUm1tQC3_wvg"/>
        </w:rPr>
        <w:t xml:space="preserve">Fig. 6b</w:t>
      </w:r>
      <w:r>
        <w:t xml:space="preserve">)</w:t>
      </w:r>
      <w:r>
        <w:t xml:space="preserve"> </w:t>
      </w:r>
      <w:r>
        <w:t xml:space="preserve">and reconstruct all-atom ligand poses</w:t>
      </w:r>
      <w:r>
        <w:t xml:space="preserve"> </w:t>
      </w:r>
      <w:r>
        <w:t xml:space="preserve">(</w:t>
      </w:r>
      <w:r>
        <w:rPr>
          <w:rStyle w:val="MDFIGREF_eJyrrk7LTC9KTbMCUrq5qSUZ-Sm6yfk5-UUmNcm1tQC4Agvh"/>
        </w:rPr>
        <w:t xml:space="preserve">Fig. 6c</w:t>
      </w:r>
      <w:r>
        <w:t xml:space="preserve">).</w:t>
      </w:r>
    </w:p>
    <w:bookmarkEnd w:id="106"/>
    <w:bookmarkStart w:id="107"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21</w:t>
      </w:r>
      <w:r>
        <w:t xml:space="preserve"> </w:t>
      </w:r>
      <w:r>
        <w:t xml:space="preserve">and their corresponding PDB structures from the RCSB database</w:t>
      </w:r>
      <w:r>
        <w:rPr>
          <w:rStyle w:val="MDCITE_eJyLdkhKLcpNzDMyMDAoSEmKBQAuqQVm"/>
          <w:vertAlign w:val="superscript"/>
        </w:rPr>
        <w:t xml:space="preserve">22</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23</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107"/>
    <w:bookmarkStart w:id="110"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8"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24</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8"/>
    <w:bookmarkStart w:id="109"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9"/>
    <w:bookmarkEnd w:id="110"/>
    <w:bookmarkStart w:id="117" w:name="stage-1-find"/>
    <w:p>
      <w:pPr>
        <w:pStyle w:val="2"/>
        <w:keepNext/>
        <w:ind w:firstLine="0"/>
      </w:pPr>
      <w:r>
        <w:t xml:space="preserve">Stage 1: Find</w:t>
      </w:r>
    </w:p>
    <w:bookmarkStart w:id="111"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11"/>
    <w:bookmarkStart w:id="112"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25</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15</w:t>
      </w:r>
      <w:r>
        <w:t xml:space="preserve">. Before the point-cloud branch, Point Transformer V3</w:t>
      </w:r>
      <w:r>
        <w:rPr>
          <w:rStyle w:val="MDCITE_eJyLdigvNTIwMikoKTOOBQAdWAQ6"/>
          <w:vertAlign w:val="superscript"/>
        </w:rPr>
        <w:t xml:space="preserve">16</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16</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17</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12"/>
    <w:bookmarkStart w:id="113"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26</w:t>
      </w:r>
      <w:r>
        <w:t xml:space="preserve"> </w:t>
      </w:r>
      <w:r>
        <w:t xml:space="preserve">and Dice loss</w:t>
      </w:r>
      <w:r>
        <w:rPr>
          <w:rStyle w:val="MDCITE_eJyLdsjNzMlJLUksyjQyMDQry0stiQUATPQHQg"/>
          <w:vertAlign w:val="superscript"/>
        </w:rPr>
        <w:t xml:space="preserve">27</w:t>
      </w:r>
      <w:r>
        <w:t xml:space="preserve"> </w:t>
      </w:r>
      <w:r>
        <w:t xml:space="preserve">with weights of 0.7 and 0.3, respectively.</w:t>
      </w:r>
    </w:p>
    <w:bookmarkEnd w:id="113"/>
    <w:bookmarkStart w:id="114"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28</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14"/>
    <w:bookmarkStart w:id="115" w:name="stage-1evaluation-metrics"/>
    <w:p>
      <w:pPr>
        <w:pStyle w:val="3"/>
        <w:keepNext/>
        <w:ind w:firstLine="0"/>
      </w:pPr>
      <w:r>
        <w:t xml:space="preserve">Stage 1:Evaluation metrics</w:t>
      </w:r>
    </w:p>
    <w:p>
      <w:pPr>
        <w:pStyle w:val="FirstParagraph"/>
        <w:spacing w:line="360" w:lineRule="auto" w:after="120"/>
        <w:ind w:firstLine="420"/>
      </w:pPr>
      <w:r>
        <w:t xml:space="preserve">For each PDB entry, let</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t xml:space="preserve"> </w:t>
      </w:r>
      <w:r>
        <w:t xml:space="preserve">denote the final predicted candidate regions and</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t xml:space="preserve"> </w:t>
      </w:r>
      <w: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rPr>
            <m:sty m:val="p"/>
          </m:rPr>
          <m:t>⋅</m:t>
        </m:r>
        <m:r>
          <m:rPr>
            <m:sty m:val="p"/>
          </m:rPr>
          <m:t>|</m:t>
        </m:r>
      </m:oMath>
      <w:r>
        <w:t xml:space="preserve"> </w:t>
      </w:r>
      <w:r>
        <w:t xml:space="preserve">denotes voxel count; Dice does not use the instance-matching threshold.</w:t>
      </w:r>
    </w:p>
    <w:p>
      <w:pPr>
        <w:pStyle w:val="BodyText"/>
        <w:spacing w:line="360" w:lineRule="auto" w:after="120"/>
        <w:ind w:firstLine="420"/>
      </w:pPr>
      <w:r>
        <w:t xml:space="preserve">For instance-level metrics, a candidate and a ground-truth instance are compatible when each covers at least a fraction</w:t>
      </w:r>
      <w:r>
        <w:t xml:space="preserve"> </w:t>
      </w:r>
      <m:oMath>
        <m:r>
          <m:t>τ</m:t>
        </m:r>
      </m:oMath>
      <w:r>
        <w:t xml:space="preserve"> </w:t>
      </w:r>
      <w:r>
        <w:t xml:space="preserve">of the other. We evaluated</w:t>
      </w:r>
      <w:r>
        <w:t xml:space="preserve"> </w:t>
      </w:r>
      <m:oMath>
        <m:r>
          <m:t>τ</m:t>
        </m:r>
        <m:r>
          <m:rPr>
            <m:sty m:val="p"/>
          </m:rPr>
          <m:t>∈</m:t>
        </m:r>
        <m:r>
          <m:rPr>
            <m:sty m:val="p"/>
          </m:rPr>
          <m:t>{</m:t>
        </m:r>
        <m:r>
          <m:t>0.3</m:t>
        </m:r>
        <m:r>
          <m:rPr>
            <m:sty m:val="p"/>
          </m:rPr>
          <m:t>,</m:t>
        </m:r>
        <m:r>
          <m:t>0.5</m:t>
        </m:r>
        <m:r>
          <m:rPr>
            <m:sty m:val="p"/>
          </m:rPr>
          <m:t>}</m:t>
        </m:r>
      </m:oMath>
      <w:r>
        <w:t xml:space="preserve"> </w:t>
      </w:r>
      <w:r>
        <w:t xml:space="preserve">and used the Hungarian algorithm</w:t>
      </w:r>
      <w:r>
        <w:rPr>
          <w:rStyle w:val="MDCITE_eJyLdsguzcgztDQ1zSjNS08sykzMiwUASXEHQA"/>
          <w:vertAlign w:val="superscript"/>
        </w:rPr>
        <w:t xml:space="preserve">29</w:t>
      </w:r>
      <w:r>
        <w:t xml:space="preserve"> </w:t>
      </w:r>
      <w:r>
        <w:t xml:space="preserve">to obtain a maximum one-to-one matching. If</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t xml:space="preserve"> </w:t>
      </w:r>
      <w: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Precision is zero for an empty prediction set; a ground-truth instance cannot contribute more than one successful pair. Ranking candidates by confidence and varying the retained candidate set yields the instance-level precision–recall curve and its area,</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t xml:space="preserve"> </w:t>
      </w:r>
      <m:oMath>
        <m:r>
          <m:t>N</m:t>
        </m:r>
      </m:oMath>
      <w:r>
        <w:t xml:space="preserve"> </w:t>
      </w:r>
      <w:r>
        <w:t xml:space="preserve">target instances and relative candidate count</w:t>
      </w:r>
      <w:r>
        <w:t xml:space="preserve"> </w:t>
      </w:r>
      <m:oMath>
        <m:r>
          <m:t>ρ</m:t>
        </m:r>
      </m:oMath>
      <w:r>
        <w:t xml:space="preserve">, at most</w:t>
      </w:r>
      <w:r>
        <w:t xml:space="preserve"> </w:t>
      </w:r>
      <m:oMath>
        <m:r>
          <m:rPr>
            <m:sty m:val="p"/>
          </m:rPr>
          <m:t>⌊</m:t>
        </m:r>
        <m:r>
          <m:t>ρ</m:t>
        </m:r>
        <m:r>
          <m:t>N</m:t>
        </m:r>
        <m:r>
          <m:rPr>
            <m:sty m:val="p"/>
          </m:rPr>
          <m:t>⌋</m:t>
        </m:r>
      </m:oMath>
      <w:r>
        <w:t xml:space="preserve"> </w:t>
      </w:r>
      <w:r>
        <w:t xml:space="preserve">candidates are examined.</w:t>
      </w:r>
    </w:p>
    <w:p>
      <w:pPr>
        <w:pStyle w:val="BodyText"/>
        <w:spacing w:line="360" w:lineRule="auto" w:after="120"/>
        <w:ind w:firstLine="420"/>
      </w:pPr>
      <w: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115"/>
    <w:bookmarkStart w:id="116"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29</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16"/>
    <w:bookmarkEnd w:id="117"/>
    <w:bookmarkStart w:id="123" w:name="stage-2-match"/>
    <w:p>
      <w:pPr>
        <w:pStyle w:val="2"/>
        <w:keepNext/>
        <w:ind w:firstLine="0"/>
      </w:pPr>
      <w:r>
        <w:t xml:space="preserve">Stage 2: Match</w:t>
      </w:r>
    </w:p>
    <w:bookmarkStart w:id="118" w:name="overview"/>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8"/>
    <w:bookmarkStart w:id="119"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19</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30</w:t>
      </w:r>
      <w:r>
        <w:t xml:space="preserve"> </w:t>
      </w:r>
      <w:r>
        <w:t xml:space="preserve">(</w:t>
      </w:r>
      <w:r>
        <w:rPr>
          <w:rStyle w:val="MDFIGREF_eJyrrk7LTC9KTbMCUrq5qSUZ-Sm6yfk5-UUmNUm1tQC3_wvg"/>
        </w:rPr>
        <w:t xml:space="preserve">Fig. 6b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9"/>
    <w:bookmarkStart w:id="120"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18</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20"/>
    <w:bookmarkStart w:id="121"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21"/>
    <w:bookmarkStart w:id="122"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22"/>
    <w:bookmarkEnd w:id="123"/>
    <w:bookmarkStart w:id="126" w:name="stage-3-build"/>
    <w:p>
      <w:pPr>
        <w:pStyle w:val="2"/>
        <w:keepNext/>
        <w:ind w:firstLine="0"/>
      </w:pPr>
      <w:r>
        <w:t xml:space="preserve">Stage 3: Build</w:t>
      </w:r>
    </w:p>
    <w:bookmarkStart w:id="124" w:name="overview-1"/>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20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eligible small molecules.</w:t>
      </w:r>
    </w:p>
    <w:bookmarkEnd w:id="124"/>
    <w:bookmarkStart w:id="125"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18</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25"/>
    <w:bookmarkEnd w:id="126"/>
    <w:bookmarkStart w:id="160"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9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F9rXEUU_yrDvprk7m6N7a61ENJGhCihxSevhNm5Z3eH3DszzMzdTWqFPhRUpD6JIOqDT_pUXwTRgv0upbH5GP7OnbubbVOlWCQEGkju_Dnnd87M-Tcnn3ScjNPOUHSefv3w-Ls_sxv9Gye_3Hvy8LeTBz-e_Pr7yU_3jj__dsO5eNhZEx1PwZYzKphhe5jnHwbyIc97m4PeIM-vUziI1uX5yYM__vrms5P7Xzz9-VGeJ-Q8_3doIytiWOrTulTK1iZqM1n3dUlhvfByHJlKSRe1NfuV9Ae1A_1HnavzoROHVWnCcP5O3pnG6IZZFtSUKhk2rCODzbH1lYyY-kk2t75w3ioKARKqMut3u29lldQm71xjtD3ffG7Fo5LEfDiTJXDfq-SEtpN4pssWFEx7QOR2taHQrK_M5sPgpIIY4JRYAlD_zW7eaac3cTosyTraFrMlZ05tCpCNtQ9xN7F2WyLsJAWSpulPO96xJgbwyaC0Bs_x_a9giycPHx0_-LKRSzLEraDli_amWyacZWpkJWAWMWrmo2a4nU7cfKH87eV19a4sDnQ7sSf1IluqOSSfx8GfyM8IpDt6siF6A3FHbE-ln_CNNaYXsJyIcyvIFOvRruMjCCJqyYYQgSK7SdhgGTFJOocreYWDi_PV_H8xpryw1lgTu3oi4WqeJuxfBUVSjadhUeiCkJXikUAuUVP2Uam8DUHIshRlwyhUKUOgsCFG_4i19iIgsDobSHhS1oTo6ySW3Z8ArUfIRaFiQZUtSXFsrAFyjMxQCBkE57KSICvooiaBRCeNVs-ziLmOU2GskNFWQVS6yYEQWiKeZiSiFXFKGiFHlcMaH2TrwlrznGPrFTR_fPf7N3qP7_5wYQ9wca8exVUr9nxEgowcDkJxSeIwixwWUWijPFQEyehIWENvN1SynFiP8KpEwCsoYENR2mjZSl1pMAeEm8TzpECQciiOaw8qLxRygC4aydKTmJAhj1nBQhgmZZNbRAfrO1Dydck7l7Dc8YREfKDd6-g8D80rkiY09--4cDXRWXuPcnoaP02Rs3UTp9hL5VXIotBcUmXZxvOGuE5KB66yxhaIOm1m6G6YvK3lUx1RZNtJPHIcmavPAGUhWUW89FPIrjxMFTIBeS3FCHkCkW4aVT2NCboiL0hjbGxIEyazY0WgMZkBv2grMSp3QSXXd21cHZ9753ILcK3zMfqiZT_U2bx8qbfZ6x5eutK_vHmpf-eq02qI37ZFki_VIqHfmp_pjVoEYP0XDLDF2tMSxr8UiB2PtaLrVtUV7jwhpccKLm6qXWDv4ROa2Z5W7Ds8UR_M9jweR0GxlO1h1vSpWdOmZm2Xmq02qRknaBzT1GDRLu6P9QTKhv3u_mhw5GI3Swv7Xfz0BhvOTHAQXbAD9wcYcveKyd7ikLDNUpFTnZKGkq9w16qDAIuj2zET2vLezqcki8CIjLfYCA4OlhaBecq6IiChZmduYVRqt6PLkiXyuOFPAznEC5Pw9OThGDQ3IaXZf2ayJMqexeNZQPMpRvP34Z8rHawcHo59xV9YThymnlUcLXvXZp236RABy_utv4JKMVnrti0xqJrvAtShF36XbCV4AGqOviRWznZDoj0dLah539ikenY6lMPSCP6XwWCzv5lQXkjFdrnRdNwrYzmMUpeL5dVxadr7Cm5pF_xe63z6N6Twqps" id="128" name="Picture"/>
            <a:graphic>
              <a:graphicData uri="http://schemas.openxmlformats.org/drawingml/2006/picture">
                <pic:pic>
                  <pic:nvPicPr>
                    <pic:cNvPr descr="C:/Users/15919/Desktop/论文草稿/temp/manuscript_figures_0_b9ypt0/figure_000019.png" id="129" name="Picture"/>
                    <pic:cNvPicPr>
                      <a:picLocks noChangeArrowheads="1" noChangeAspect="1"/>
                    </pic:cNvPicPr>
                  </pic:nvPicPr>
                  <pic:blipFill>
                    <a:blip r:embed="rId127"/>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19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eligible small molecules. The attempt-accounting rules are summarised in</w:t>
      </w:r>
      <w:r>
        <w:t xml:space="preserve"> </w:t>
      </w:r>
      <w:r>
        <w:rPr>
          <w:rStyle w:val="MDFIGREF_eJyrrk7LTC9KTbNKNUrVTUxOzi_NK8nMS9ctKs1JLdZNKUpMK6mtBQAQ2w6I"/>
        </w:rPr>
        <w:t xml:space="preserve">Fig. 19</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eligible small molecules,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30">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31">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32">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33">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34">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35">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6">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7">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8">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9">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40">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41">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42">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43">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4">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5">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6">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7">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8">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49">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50">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51">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52">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53">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54">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55">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56">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57">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58">
        <w:r>
          <w:rPr>
            <w:rStyle w:val="a4"/>
          </w:rPr>
          <w:t xml:space="preserve">10.1002/nav.3800020109</w:t>
        </w:r>
      </w:hyperlink>
      <w:r>
        <w:t xml:space="preserve">.</w:t>
      </w:r>
    </w:p>
    <w:p>
      <w:pPr>
        <w:pStyle w:val="MDConverterBibliography"/>
      </w:pPr>
      <w:r>
        <w:t xml:space="preserve">30. Vaswani, A. et al.</w:t>
      </w:r>
      <w:r>
        <w:t xml:space="preserve"> </w:t>
      </w:r>
      <w:hyperlink r:id="rId159">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60"/>
    <w:bookmarkEnd w:id="161"/>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2tBQByYBCd">
    <w:name w:val="MDFIGREF_eJyrrk7LTC9KTbMqLklMTzXUzS9LLUrMydEtSC1Kyy_KTcxLTtUoM9SsSa2tBQByYBCd"/>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qtBQByVxCa">
    <w:name w:val="MDFIGREF_eJyrrk7LTC9KTbMqLklMTzXUzS9LLUrMydEtSC1Kyy_KTcxLTtUoM9SsSaqtBQByVxCa"/>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a0FAJNuESk">
    <w:name w:val="MDFIGREF_eJyrrk7LTC9KTbMqLklMTzXUzS9LLUrMydEtSC1Kyy_KTcxLTtUoM9SsSdRJqa0FAJNuESk"/>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UzUktS83RTc_JT0rM0c3JTwaSlnllxRplhpq1tQCL5RCz">
    <w:name w:val="MDFIGREF_eJyrrk7LTC9KTbMqLklMTzXUzUktS83RTc_JT0rM0c3JTwaSlnllxRplhpq1tQCL5RCz"/>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7" Type="http://schemas.openxmlformats.org/officeDocument/2006/relationships/image" Target="media/rId57.png"/><Relationship Id="rId62" Type="http://schemas.openxmlformats.org/officeDocument/2006/relationships/image" Target="media/rId62.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4" Type="http://schemas.openxmlformats.org/officeDocument/2006/relationships/image" Target="media/rId84.png"/><Relationship Id="rId88" Type="http://schemas.openxmlformats.org/officeDocument/2006/relationships/image" Target="media/rId88.png"/><Relationship Id="rId92" Type="http://schemas.openxmlformats.org/officeDocument/2006/relationships/image" Target="media/rId92.png"/><Relationship Id="rId96" Type="http://schemas.openxmlformats.org/officeDocument/2006/relationships/image" Target="media/rId96.png"/><Relationship Id="rId99" Type="http://schemas.openxmlformats.org/officeDocument/2006/relationships/image" Target="media/rId99.png"/><Relationship Id="rId127" Type="http://schemas.openxmlformats.org/officeDocument/2006/relationships/image" Target="media/rId127.png"/><Relationship Id="rId153" Type="http://schemas.openxmlformats.org/officeDocument/2006/relationships/hyperlink" Target="https://doi.org/10.1002/jcc.20084" TargetMode="External"/><Relationship Id="rId149" Type="http://schemas.openxmlformats.org/officeDocument/2006/relationships/hyperlink" Target="https://doi.org/10.1002/jcc.21334" TargetMode="External"/><Relationship Id="rId15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9" Type="http://schemas.openxmlformats.org/officeDocument/2006/relationships/hyperlink" Target="https://doi.org/10.1016/j.cell.2026.01.003" TargetMode="External"/><Relationship Id="rId141" Type="http://schemas.openxmlformats.org/officeDocument/2006/relationships/hyperlink" Target="https://doi.org/10.1016/j.str.2020.04.018" TargetMode="External"/><Relationship Id="rId137" Type="http://schemas.openxmlformats.org/officeDocument/2006/relationships/hyperlink" Target="https://doi.org/10.1016/j.str.2025.07.002" TargetMode="External"/><Relationship Id="rId131" Type="http://schemas.openxmlformats.org/officeDocument/2006/relationships/hyperlink" Target="https://doi.org/10.1016/j.tibs.2014.10.005" TargetMode="External"/><Relationship Id="rId142" Type="http://schemas.openxmlformats.org/officeDocument/2006/relationships/hyperlink" Target="https://doi.org/10.1021/acs.jmedchem.3c01134" TargetMode="External"/><Relationship Id="rId143" Type="http://schemas.openxmlformats.org/officeDocument/2006/relationships/hyperlink" Target="https://doi.org/10.1021/ci00057a005" TargetMode="External"/><Relationship Id="rId130" Type="http://schemas.openxmlformats.org/officeDocument/2006/relationships/hyperlink" Target="https://doi.org/10.1038/d41586-020-00341-9" TargetMode="External"/><Relationship Id="rId152" Type="http://schemas.openxmlformats.org/officeDocument/2006/relationships/hyperlink" Target="https://doi.org/10.1038/nbt.3988" TargetMode="External"/><Relationship Id="rId140" Type="http://schemas.openxmlformats.org/officeDocument/2006/relationships/hyperlink" Target="https://doi.org/10.1038/s41467-023-36732-5" TargetMode="External"/><Relationship Id="rId132"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57" Type="http://schemas.openxmlformats.org/officeDocument/2006/relationships/hyperlink" Target="https://doi.org/10.1038/s41592-020-01008-z" TargetMode="External"/><Relationship Id="rId134" Type="http://schemas.openxmlformats.org/officeDocument/2006/relationships/hyperlink" Target="https://doi.org/10.1038/s41594-025-01723-1" TargetMode="External"/><Relationship Id="rId148" Type="http://schemas.openxmlformats.org/officeDocument/2006/relationships/hyperlink" Target="https://doi.org/10.1038/s42004-025-01585-0" TargetMode="External"/><Relationship Id="rId151" Type="http://schemas.openxmlformats.org/officeDocument/2006/relationships/hyperlink" Target="https://doi.org/10.1093/nar/28.1.235" TargetMode="External"/><Relationship Id="rId150" Type="http://schemas.openxmlformats.org/officeDocument/2006/relationships/hyperlink" Target="https://doi.org/10.1093/nar/gkad1019" TargetMode="External"/><Relationship Id="rId156" Type="http://schemas.openxmlformats.org/officeDocument/2006/relationships/hyperlink" Target="https://doi.org/10.1109/3dv.2016.79" TargetMode="External"/><Relationship Id="rId154"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55" Type="http://schemas.openxmlformats.org/officeDocument/2006/relationships/hyperlink" Target="https://doi.org/10.1109/iccv.2017.324" TargetMode="External"/><Relationship Id="rId135" Type="http://schemas.openxmlformats.org/officeDocument/2006/relationships/hyperlink" Target="https://doi.org/10.1126/science.aat4346" TargetMode="External"/><Relationship Id="rId147" Type="http://schemas.openxmlformats.org/officeDocument/2006/relationships/hyperlink" Target="https://doi.org/10.1609/aaai.v32i1.11671" TargetMode="External"/><Relationship Id="rId136" Type="http://schemas.openxmlformats.org/officeDocument/2006/relationships/hyperlink" Target="https://doi.org/10.64898/2026.06.01.729423" TargetMode="External"/><Relationship Id="rId133" Type="http://schemas.openxmlformats.org/officeDocument/2006/relationships/hyperlink" Target="https://doi.org/10.65215/LTSpreprints.2026.04.14.000185" TargetMode="External"/><Relationship Id="rId138" Type="http://schemas.openxmlformats.org/officeDocument/2006/relationships/hyperlink" Target="https://openreview.net/forum?id=kKF8_K-mBbS" TargetMode="External"/><Relationship Id="rId159"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53" Type="http://schemas.openxmlformats.org/officeDocument/2006/relationships/hyperlink" Target="https://doi.org/10.1002/jcc.20084" TargetMode="External"/><Relationship Id="rId149" Type="http://schemas.openxmlformats.org/officeDocument/2006/relationships/hyperlink" Target="https://doi.org/10.1002/jcc.21334" TargetMode="External"/><Relationship Id="rId158" Type="http://schemas.openxmlformats.org/officeDocument/2006/relationships/hyperlink" Target="https://doi.org/10.1002/nav.3800020109" TargetMode="External"/><Relationship Id="rId144" Type="http://schemas.openxmlformats.org/officeDocument/2006/relationships/hyperlink" Target="https://doi.org/10.1007/978-3-319-46723-8_49" TargetMode="External"/><Relationship Id="rId139" Type="http://schemas.openxmlformats.org/officeDocument/2006/relationships/hyperlink" Target="https://doi.org/10.1016/j.cell.2026.01.003" TargetMode="External"/><Relationship Id="rId141" Type="http://schemas.openxmlformats.org/officeDocument/2006/relationships/hyperlink" Target="https://doi.org/10.1016/j.str.2020.04.018" TargetMode="External"/><Relationship Id="rId137" Type="http://schemas.openxmlformats.org/officeDocument/2006/relationships/hyperlink" Target="https://doi.org/10.1016/j.str.2025.07.002" TargetMode="External"/><Relationship Id="rId131" Type="http://schemas.openxmlformats.org/officeDocument/2006/relationships/hyperlink" Target="https://doi.org/10.1016/j.tibs.2014.10.005" TargetMode="External"/><Relationship Id="rId142" Type="http://schemas.openxmlformats.org/officeDocument/2006/relationships/hyperlink" Target="https://doi.org/10.1021/acs.jmedchem.3c01134" TargetMode="External"/><Relationship Id="rId143" Type="http://schemas.openxmlformats.org/officeDocument/2006/relationships/hyperlink" Target="https://doi.org/10.1021/ci00057a005" TargetMode="External"/><Relationship Id="rId130" Type="http://schemas.openxmlformats.org/officeDocument/2006/relationships/hyperlink" Target="https://doi.org/10.1038/d41586-020-00341-9" TargetMode="External"/><Relationship Id="rId152" Type="http://schemas.openxmlformats.org/officeDocument/2006/relationships/hyperlink" Target="https://doi.org/10.1038/nbt.3988" TargetMode="External"/><Relationship Id="rId140" Type="http://schemas.openxmlformats.org/officeDocument/2006/relationships/hyperlink" Target="https://doi.org/10.1038/s41467-023-36732-5" TargetMode="External"/><Relationship Id="rId132" Type="http://schemas.openxmlformats.org/officeDocument/2006/relationships/hyperlink" Target="https://doi.org/10.1038/s41586-024-07215-4" TargetMode="External"/><Relationship Id="rId146" Type="http://schemas.openxmlformats.org/officeDocument/2006/relationships/hyperlink" Target="https://doi.org/10.1038/s41586-024-07487-w" TargetMode="External"/><Relationship Id="rId157" Type="http://schemas.openxmlformats.org/officeDocument/2006/relationships/hyperlink" Target="https://doi.org/10.1038/s41592-020-01008-z" TargetMode="External"/><Relationship Id="rId134" Type="http://schemas.openxmlformats.org/officeDocument/2006/relationships/hyperlink" Target="https://doi.org/10.1038/s41594-025-01723-1" TargetMode="External"/><Relationship Id="rId148" Type="http://schemas.openxmlformats.org/officeDocument/2006/relationships/hyperlink" Target="https://doi.org/10.1038/s42004-025-01585-0" TargetMode="External"/><Relationship Id="rId151" Type="http://schemas.openxmlformats.org/officeDocument/2006/relationships/hyperlink" Target="https://doi.org/10.1093/nar/28.1.235" TargetMode="External"/><Relationship Id="rId150" Type="http://schemas.openxmlformats.org/officeDocument/2006/relationships/hyperlink" Target="https://doi.org/10.1093/nar/gkad1019" TargetMode="External"/><Relationship Id="rId156" Type="http://schemas.openxmlformats.org/officeDocument/2006/relationships/hyperlink" Target="https://doi.org/10.1109/3dv.2016.79" TargetMode="External"/><Relationship Id="rId154" Type="http://schemas.openxmlformats.org/officeDocument/2006/relationships/hyperlink" Target="https://doi.org/10.1109/cvpr52688.2022.01644" TargetMode="External"/><Relationship Id="rId145" Type="http://schemas.openxmlformats.org/officeDocument/2006/relationships/hyperlink" Target="https://doi.org/10.1109/cvpr52733.2024.00463" TargetMode="External"/><Relationship Id="rId155" Type="http://schemas.openxmlformats.org/officeDocument/2006/relationships/hyperlink" Target="https://doi.org/10.1109/iccv.2017.324" TargetMode="External"/><Relationship Id="rId135" Type="http://schemas.openxmlformats.org/officeDocument/2006/relationships/hyperlink" Target="https://doi.org/10.1126/science.aat4346" TargetMode="External"/><Relationship Id="rId147" Type="http://schemas.openxmlformats.org/officeDocument/2006/relationships/hyperlink" Target="https://doi.org/10.1609/aaai.v32i1.11671" TargetMode="External"/><Relationship Id="rId136" Type="http://schemas.openxmlformats.org/officeDocument/2006/relationships/hyperlink" Target="https://doi.org/10.64898/2026.06.01.729423" TargetMode="External"/><Relationship Id="rId133" Type="http://schemas.openxmlformats.org/officeDocument/2006/relationships/hyperlink" Target="https://doi.org/10.65215/LTSpreprints.2026.04.14.000185" TargetMode="External"/><Relationship Id="rId138" Type="http://schemas.openxmlformats.org/officeDocument/2006/relationships/hyperlink" Target="https://openreview.net/forum?id=kKF8_K-mBbS" TargetMode="External"/><Relationship Id="rId159"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2026-10-29T11:16:35Z</dcterms:created>
  <dcterms:modified xsi:type="dcterms:W3CDTF">2026-10-29T11:16:35Z</dcterms:modified>
</cp:coreProperties>
</file>

<file path=docProps/custom.xml><?xml version="1.0" encoding="utf-8"?>
<Properties xmlns="http://schemas.openxmlformats.org/officeDocument/2006/custom-properties" xmlns:vt="http://schemas.openxmlformats.org/officeDocument/2006/docPropsVTypes"/>
</file>