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 </w:t>
      </w:r>
      <w:r>
        <w:rPr>
          <w:rFonts w:ascii="Times New Roman" w:hAnsi="Times New Roman"/>
          <w:sz w:val="24"/>
        </w:rP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RW0tAEG5D2o"/>
          <w:rFonts w:ascii="Times New Roman" w:hAnsi="Times New Roman"/>
          <w:sz w:val="24"/>
        </w:rPr>
        <w:t xml:space="preserve">Figs. 1, 14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 </w:t>
      </w:r>
      <w:r>
        <w:rPr>
          <w:rFonts w:ascii="Times New Roman" w:hAnsi="Times New Roman"/>
          <w:sz w:val="24"/>
        </w:rP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10"/>
    <w:bookmarkStart w:id="14"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029200" cy="1703364"/>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GzcQfhVCpwSItJJiJfA2DWArcRHANowkPXULgeKOJNZckiW5WilNgdzaHnpq0UsfoD31ARqgfZcCTfIYnSFXP659CFr0UAPyDneG33zzQ85-0bE8LDo567z9_vWfP_6WvXn1-t1PX6PUszasOndYx4E3agklGY3zovjYg_NFMRgdDg6L4hH4y2BsUbz75dc3P3z17ttv3v78e1EktKK4Dqd5BQQ1k_OuWYJbSmgmyyGpSumt4utJI8vEadQbSU0awW2QRk8q7i5ri6pPOg-a3LJVpbTPmw-LziIEm2eZFwuouO8ZCxqVM-MqHnDp5lljXGmdEeC91PNKZcN-_15WcamLzkNCu3Dx8SysFbAmX3KFuE8qPodxck922caCbC8B7Dmswta635psFBujU6nBbzXtqsm95QK54HaFr3D_8AAR2uXTWtErXgfTorbmtFPqEs1m0vlwmrZuXKMmsUzhpH-tfGJ08LiPeyEl7nkuK_DsHBr21FRcR9eLI-1v1EXUBEFg07ieRnGcYotPpPlim4_hwYb6i7Q9EQlUuBgOMbfYYdgHgKYnct5jA_aSHWHUWDkoGeiyG0wXH-wEY_vj1XdnPIgFPo9rqTALxl3OlGkY1po5EEb74GoRKK9Kzjnus8ZjKDNnKibc2nQfn7GSB94jRiHx-k9T9S8Swv4HHJ8vgElta-TCHTCuGawsOHSoA1e7lAMyCWtWccuoKiDDAhzjqMACSao1lg9swDqmEtaIZsjihvc8NYgUXCnENCUohQjTNRujvyNUDnuxYZgyAhvJM4FOJdYdNm3hYI6H2rNbU2Wmnh0PqKdGtxkXznjPkN0-5x6LfcdmUgW8ANmMKw_dyFwugWE-SilCBCRwjrfMHGVMqSz3fG-cBrOhIdFJQBCkeMtBzKsOKZRnZ09OHz-7zRpMldSRkcfrk108OsZzEdz6A2Qd3R0PmVSqxvyQk9AYhpcpngERGKXWt3wQdgvS-l3fYQ3WAThmYMS2BHxM-2cgiMrf6fdYOnvCVFO6yyJomwHYJTaeuFgDCiAaVZRDuBJ0tEq5xaTMQUOKYeEAuiV1kUc0bKQrp7mmSzwFAyqxrAwKteKOlUZcRrUx6uopp4vxYedTHCnbUdIZ9YeHOAtWg_v9u3fvHbx8YKXI8ddOF_5e06V0vLk2VloExPonGLiNWn0L494LxMxmUsAjI2o6fwnJgeKxNRfSejrcFKFeXkhBR5sW4nx5gXkDL8jLOM_ilM_ikM_aGZ_tj_gsQGUxTF3jFmnDBOc5kvWTyefNwT3v6yy9mPTpb9Czeo6ByBLRB3dRos8AlC82MWJptjx2lBJBThk8xZp6ps14wfUcjpwz2La89ARIeBuFt9gN6SVi7rbuOUio2bUkTJW0J3iMyCPJcX8SeI5HC7BHScQrQD1FL1F_ZbE1yq7i0crjRGbT5gyvqr2xzvPVzFX0xMKxVRrkbL0d6PE9qekzQ5C-bVe0EmTWdm1rHL85sh2oxQ-EjwAPGAlojTdpSG758tQn2520sSa9Nol6thN5rjSjj63D0XCUUG60oro8jp8hezLPA5dq83pfVrrNl7fbuuDvYefLvwDo98LU" id="12" name="Picture"/>
            <a:graphic>
              <a:graphicData uri="http://schemas.openxmlformats.org/drawingml/2006/picture">
                <pic:pic>
                  <pic:nvPicPr>
                    <pic:cNvPr descr="C:/Users/15919/Desktop/论文草稿/temp/manuscript_figures__qw46ssu/figure_000001.png" id="13" name="Picture"/>
                    <pic:cNvPicPr>
                      <a:picLocks noChangeArrowheads="1" noChangeAspect="1"/>
                    </pic:cNvPicPr>
                  </pic:nvPicPr>
                  <pic:blipFill>
                    <a:blip r:embed="rId11"/>
                    <a:stretch>
                      <a:fillRect/>
                    </a:stretch>
                  </pic:blipFill>
                  <pic:spPr bwMode="auto">
                    <a:xfrm>
                      <a:off x="0" y="0"/>
                      <a:ext cx="5029200" cy="1703364"/>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reconstructs all-atom ligand poses from experimental cryo-EM density maps through Find, Match and Build</w:t>
      </w:r>
      <w:r>
        <w:rPr>
          <w:rFonts w:ascii="Times New Roman" w:hAnsi="Times New Roman"/>
          <w:sz w:val="24"/>
        </w:rPr>
        <w:t xml:space="preserve"> </w:t>
      </w:r>
      <w:r>
        <w:rPr>
          <w:rFonts w:ascii="Times New Roman" w:hAnsi="Times New Roman"/>
          <w:sz w:val="24"/>
        </w:rPr>
        <w:t xml:space="preserve">(</w:t>
      </w:r>
      <w:r>
        <w:rPr>
          <w:rStyle w:val="MDFIGREF_eJyrrk7LTC9KTbMCUrr5ZalFZZmp5fFlRrW1AI3eCn8"/>
          <w:rFonts w:ascii="Times New Roman" w:hAnsi="Times New Roman"/>
          <w:sz w:val="24"/>
        </w:rPr>
        <w:t xml:space="preserve">Fig. 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Inputs comprise a density map, a protein or nucleic acid receptor structure, and candidate ligand identities encoded as SMILES strings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Receptors are deposited structures or CryoAtom2 models reconstructed automatically from the density map</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Density and receptor information provide complementary constraints on ligand location, shape and the binding environment.</w:t>
      </w:r>
    </w:p>
    <w:p>
      <w:pPr>
        <w:pStyle w:val="BodyText"/>
        <w:spacing w:line="480" w:lineRule="auto" w:after="120"/>
        <w:ind w:firstLine="480"/>
      </w:pPr>
      <w:r>
        <w:rPr>
          <w:rFonts w:ascii="Times New Roman" w:hAnsi="Times New Roman"/>
          <w:sz w:val="24"/>
        </w:rPr>
        <w:t xml:space="preserve">Using a hybrid point–voxel network, LigandSeek-Find (Find) combines voxel-density signals and receptor context to locate candidate ligand regions (blobs;</w:t>
      </w:r>
      <w:r>
        <w:rPr>
          <w:rFonts w:ascii="Times New Roman" w:hAnsi="Times New Roman"/>
          <w:sz w:val="24"/>
        </w:rPr>
        <w:t xml:space="preserve"> </w:t>
      </w:r>
      <w:r>
        <w:rPr>
          <w:rStyle w:val="MDFIGREF_eJyrrk7LTC9KTbMCUrq5qSUZ-Sm6ZRY1ibW1AIsmCjo"/>
          <w:rFonts w:ascii="Times New Roman" w:hAnsi="Times New Roman"/>
          <w:sz w:val="24"/>
        </w:rPr>
        <w:t xml:space="preserve">Fig. 14a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LigandSeek-Match (Match) assigns chemical identities to these regions through a cross-modal network, while excluding residual false positives</w:t>
      </w:r>
      <w:r>
        <w:rPr>
          <w:rFonts w:ascii="Times New Roman" w:hAnsi="Times New Roman"/>
          <w:sz w:val="24"/>
        </w:rPr>
        <w:t xml:space="preserve"> </w:t>
      </w:r>
      <w:r>
        <w:rPr>
          <w:rFonts w:ascii="Times New Roman" w:hAnsi="Times New Roman"/>
          <w:sz w:val="24"/>
        </w:rPr>
        <w:t xml:space="preserve">(</w:t>
      </w:r>
      <w:r>
        <w:rPr>
          <w:rStyle w:val="MDFIGREF_eJyrrk7LTC9KTbMCUrq5qSUZ-Sm6ZRY1SbW1AIspCjs"/>
          <w:rFonts w:ascii="Times New Roman" w:hAnsi="Times New Roman"/>
          <w:sz w:val="24"/>
        </w:rPr>
        <w:t xml:space="preserve">Fig. 14b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 and Match support organic small molecules, metal ions, sugars and other ligand classes. LigandSeek-Build (Build) combines the binding site located by Find and identity assigned by Match with the receptor pocket and experimental density</w:t>
      </w:r>
      <w:r>
        <w:rPr>
          <w:rFonts w:ascii="Times New Roman" w:hAnsi="Times New Roman"/>
          <w:sz w:val="24"/>
        </w:rPr>
        <w:t xml:space="preserve"> </w:t>
      </w:r>
      <w:r>
        <w:rPr>
          <w:rFonts w:ascii="Times New Roman" w:hAnsi="Times New Roman"/>
          <w:sz w:val="24"/>
        </w:rPr>
        <w:t xml:space="preserve">(</w:t>
      </w:r>
      <w:r>
        <w:rPr>
          <w:rStyle w:val="MDFIGREF_eJyrrk7LTC9KTbMCUrq5qSUZ-Sm6ZRY1ybW1AIssCjw"/>
          <w:rFonts w:ascii="Times New Roman" w:hAnsi="Times New Roman"/>
          <w:sz w:val="24"/>
        </w:rPr>
        <w:t xml:space="preserve">Fig. 14c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Its default model, density-guided PocketXMol (DG-PocketXMol; PocketXMol-tuned in the analyses), adds local density conditioning to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for small-molecule pose generation. Build provides modular interfaces to other docking tools for pose reconstruction.</w:t>
      </w:r>
    </w:p>
    <w:bookmarkEnd w:id="14"/>
    <w:bookmarkStart w:id="65" w:name="results"/>
    <w:p>
      <w:pPr>
        <w:pStyle w:val="Heading1"/>
        <w:keepNext/>
        <w:spacing w:line="480" w:lineRule="auto"/>
        <w:ind w:firstLine="0"/>
      </w:pPr>
      <w:r>
        <w:rPr>
          <w:rFonts w:ascii="Times New Roman" w:hAnsi="Times New Roman"/>
          <w:sz w:val="24"/>
        </w:rPr>
        <w:t xml:space="preserve">Results</w:t>
      </w:r>
    </w:p>
    <w:bookmarkStart w:id="21" w:name="X9497fdd810c5493d41625124eb25d30fb387f27"/>
    <w:p>
      <w:pPr>
        <w:pStyle w:val="Heading2"/>
        <w:keepNext/>
        <w:spacing w:line="480" w:lineRule="auto"/>
        <w:ind w:firstLine="0"/>
      </w:pPr>
      <w:r>
        <w:rPr>
          <w:rFonts w:ascii="Times New Roman" w:hAnsi="Times New Roman"/>
          <w:sz w:val="24"/>
        </w:rPr>
        <w:t xml:space="preserve">LigandSeek-Find improves ligand-region detection</w:t>
      </w:r>
    </w:p>
    <w:p>
      <w:pPr>
        <w:pStyle w:val="FirstParagraph"/>
        <w:spacing w:line="480" w:lineRule="auto" w:after="120"/>
        <w:ind w:firstLine="480"/>
      </w:pPr>
      <w:r>
        <w:rPr>
          <w:rFonts w:ascii="Times New Roman" w:hAnsi="Times New Roman"/>
          <w:sz w:val="24"/>
        </w:rPr>
        <w:t xml:space="preserve">We evaluated Find on 179 cryo-EM density maps with resolutions below 4.0 Å, released after 1 January 2026 and non-redundant with training data. These complexes contained 2,502 deposited ligand instances spanning multiple classes, including organic small molecules, metal ions and sugars. The small-molecule subset comprised 821 instances across 94 complexes within this benchmark. We compared LigandSeek-Find with deposited receptors (GT) or CryoAtom2-reconstructed receptors (CA2) against the density-only baseline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We assessed voxel-wise overlap using semantic Dice and ligand-instance detection using instance-level precision, recall and precision–recall area under the curve (PRAUC). Instance-level metrics used one-to-one matching at a bidirectional coverage threshold of 0.3. We also evaluated PRAUC at the stricter threshold of 0.5 (Methods).</w:t>
      </w:r>
    </w:p>
    <w:p>
      <w:pPr>
        <w:pStyle w:val="BodyText"/>
        <w:spacing w:line="480" w:lineRule="auto" w:after="120"/>
        <w:ind w:firstLine="480"/>
      </w:pPr>
      <w:r>
        <w:rPr>
          <w:rFonts w:ascii="Times New Roman" w:hAnsi="Times New Roman"/>
          <w:sz w:val="24"/>
        </w:rPr>
        <w:t xml:space="preserve">With CA2 receptors, mean Dice increased from 0.050 for Emap2lig-Find to 0.477, and instance-level</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increased from 0.255 to 0.541</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rK0FADS_D6E"/>
          <w:rFonts w:ascii="Times New Roman" w:hAnsi="Times New Roman"/>
          <w:sz w:val="24"/>
        </w:rPr>
        <w:t xml:space="preserve">Fig. 2a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GT receptors, LigandSeek-Find achieved a mean Dice of 0.584 and an instance-level</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of 0.663. The advantage persisted for small molecules, with corresponding PRAUC scores of 0.573 for CA2 and 0.701 for GT, compared with 0.462 for Emap2lig-Find</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qq0FADTCD6I"/>
          <w:rFonts w:ascii="Times New Roman" w:hAnsi="Times New Roman"/>
          <w:sz w:val="24"/>
        </w:rPr>
        <w:t xml:space="preserve">Fig. 2b</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5343192"/>
            <wp:effectExtent b="0" l="0" r="0" t="0"/>
            <wp:docPr descr="Fig. 2 | Overall performance of ligand-region detection. LigandSeek-Find uses deposited receptors (GT) or CryoAtom2-reconstructed receptors (CA2) and is compared with the density-only method Emap2lig-Find. All ligands comprise 179 PDB entries and 2,502 instances; small molecules comprise 94 PDB entries and 821 instances. a, b,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 c, d, Paired instance-level PRAUC comparisons between LigandSeek-Find (CA2) and Emap2lig-Find. Each point represents one PDB entry; colours indicate map resolution, and dashed lines indicate equal scores. Higher/equal/lower counts are 112/40/27 for all ligands and 40/36/18 for small molecules." title="MDPPTFIG_eJztWM1uGzcQfhVCQIEGkLTSWoojJQ3gyHZSwE0FJzl1C4PijrSEuSRDUlorTc9FDz216KVFzz31ARqgfZomeYzOLCVZcXwIWvggIAbk5ZLffDMccj_-fNOwPBSNIWu8-enVP7_8lfjAZ9B98-rH17_92rY2XDSarOHAG7WAnHCjYZY98-B8lnX7g-4gyw7Bnwdjs-ztH3--_vm7tz98_-b3v7MsEmbZtYyal0BssbFlFuC4Ui0LbmpcybUAQglugzT6rOTufG4R_1XjXjW07KJU2g-rz7JGEYIdJokXBZTct40FjY01R8BXN0sq43LrjADvpZ6VKkk7ndtJyaXOGveJbezqx5OwVMCq4YIr5P28xLhG0T3hkjWCsOcA9kRq8HX91ls19JYLdIM8CquQKO11ssbq9XSuqIrPg1lxruBkKXWOsKl0PpxE084KhC0xgBhp_LcqHxsdPNpxL6REm6eyBM8eQ8VODaaxdl0caH9tW80aKYhsUr9P6uIo9q1-YpgvNolJe-vQX0TzGEigMam7Q5FbnDDgFoDQYzlrs5S9ZF_GIWZbQ8zMlCk54zpvOZhhplkOAQTlvE3cIXq40U7_j66xHYjxpE7vE4Dz1jHNsLlHTzlY42WAnDkQYINxnn368OktZhwbuaU5CKZMcUiE0T64ubiCHB2ktxiyMumZMKXlDtsrGQoWCkBy7FRYtoxWS1ZCKEzOjkpuUxzpOoY2O8BpEMc9EjjpgXX3B2x8-ICBDk5ikOQgbfY7KZMYBU0Xf5f5kqZQaRQI_Ja2rAe994zvpN1L04_z6aY_dL4DGW7uQIy7PQsmO5DhJnuCmwUdpGCHUkAzatlKKVoKFqDY-PTg2YjxwDibyFy6uCpxhYpD69gMUOuQsTAqp1Ws095rMlzWGN-SNqK9IlhN1FFviQydLNvsAXcRVxgnX2Df0ANtdjxD6ookrQXP51QJXKP-TXHbEpg1khJZQ1BQ5ULmhNkSwDY7cg7DmRB_jRv0P0FswBRw5dnUmZJ1O81Op1ObTYwJKPXcUny8tOqjYt78tyJ2IMMfFfOmZ0G-AxlusjGXtMu7ViXjHlB63C2yCYQKQLOr-87LTeOVveARF0UUNJSe2iX12GjYyNnyLnpQZo5KRmIneADUyFqpjJqTLEcFz7kvMEQ6aG0ho3x6YRyp4iM5K8AldWWiTAUOuefkETexrNtNk14nSfevlXJs2buddO_UjVd0_V2xpLPa_cbXeIDdHFwb_f29vV63f9Hf6-11B-nLe1aKIf5WZ1n-QWfZ3PHqvUPsigG5_gsHmoW5gw2N-yASM53iynloxLzEIYpMDhSn0fCFtJ7mF_VQL8ZS0OyiF_F4MXZ4QPCCvIyGSX2PkNTXCMnqFiHZvkRIApQWu6nnaCJtOJvKGQbrz86eV73b3s-TWHHWob-0bfUMOyJzZO_uY4luGbA8XvcRh2YTx2VIMUBOGTwxAtdebUYF1zM4wDW0KoDnngiJb91Qr-GxEjkvTbccRNbkvSRMlLTHUinySOXaPhb4ENdgCKKg4hQxp-ilbn_nZQNK3uWjN28xw5PqC5Nv3zTw4cXUlfTEgWMX8W6BLTd3DHU9NcNFYILaV9MVUYJgq1m7AiOqfq5JrfPhIeCOggqIpt1SdMsXJz5iL0trNLVrE0NPLot8qDSjq51BP-1HlmtRNC5H9c3IVpkPA5dqXb1dVnqVL28344K_-41v_wVYgYFw" id="16" name="Picture"/>
            <a:graphic>
              <a:graphicData uri="http://schemas.openxmlformats.org/drawingml/2006/picture">
                <pic:pic>
                  <pic:nvPicPr>
                    <pic:cNvPr descr="C:/Users/15919/Desktop/论文草稿/temp/manuscript_figures__qw46ssu/figure_000002.png" id="17" name="Picture"/>
                    <pic:cNvPicPr>
                      <a:picLocks noChangeArrowheads="1" noChangeAspect="1"/>
                    </pic:cNvPicPr>
                  </pic:nvPicPr>
                  <pic:blipFill>
                    <a:blip r:embed="rId15"/>
                    <a:stretch>
                      <a:fillRect/>
                    </a:stretch>
                  </pic:blipFill>
                  <pic:spPr bwMode="auto">
                    <a:xfrm>
                      <a:off x="0" y="0"/>
                      <a:ext cx="5733415" cy="534319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Overall performance of ligand-region detection.</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Semantic Dice, and instance-level PRAUC at a bidirectional coverage threshold of 0.3, for all ligands and small molecules, respectively. Bars and horizontal marks show PDB-equal means; faint points show individual PDB entries. Error bars show 95% intervals from 10,000 PDB bootstrap resamples.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Paired instance-level PRAUC comparisons between LigandSeek-Find (CA2) and Emap2lig-Find. Each point represents one PDB entry; colours indicate map resolution, and dashed lines indicate equal scores. Higher/equal/lower counts are 112/40/27 for all ligands and 40/36/18 for small molecules.</w:t>
      </w:r>
    </w:p>
    <w:p>
      <w:pPr>
        <w:pStyle w:val="BodyText"/>
        <w:spacing w:line="480" w:lineRule="auto" w:after="120"/>
        <w:ind w:firstLine="480"/>
      </w:pPr>
      <w:r>
        <w:rPr>
          <w:rFonts w:ascii="Times New Roman" w:hAnsi="Times New Roman"/>
          <w:sz w:val="24"/>
        </w:rPr>
        <w:t xml:space="preserve">Paired comparisons confirmed that the advantage extended across individual complexes</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1kmprQUAU_MQMw"/>
          <w:rFonts w:ascii="Times New Roman" w:hAnsi="Times New Roman"/>
          <w:sz w:val="24"/>
        </w:rPr>
        <w:t xml:space="preserve">Fig. 2c, 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With CA2 receptors, LigandSeek-Find scored higher than Emap2lig-Find on 112 complexes, equally on 40 and lower on 27 across all ligands. At the stricter coverage threshold of 0.5, instance-level PRAUC remained higher with both receptor sources, including in the small-molecule subset (Supplementary Fig. 1).</w:t>
      </w:r>
    </w:p>
    <w:p>
      <w:pPr>
        <w:pStyle w:val="BodyText"/>
        <w:spacing w:line="480" w:lineRule="auto" w:after="120"/>
        <w:ind w:firstLine="480"/>
      </w:pPr>
      <w:r>
        <w:rPr>
          <w:rFonts w:ascii="Times New Roman" w:hAnsi="Times New Roman"/>
          <w:sz w:val="24"/>
        </w:rPr>
        <w:t xml:space="preserve">Across the 179 complexes, each contained an average of 14.0 ground-truth ligand instances, whereas Emap2lig-Find produced an average of 353.9 candidate regions. Its mean instance-level precision was 0.037, compared with 0.631 for LigandSeek-Find with CA2 receptors; mean recall was 0.312 versus 0.594</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msSaytBQAT_w7A"/>
          <w:rFonts w:ascii="Times New Roman" w:hAnsi="Times New Roman"/>
          <w:sz w:val="24"/>
        </w:rPr>
        <w:t xml:space="preserve">Fig. 3a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LigandSeek-Find therefore reduced false positives while recovering more ligand instances, with the same pattern observed for small molecules</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msSaqtBQAUAg7B"/>
          <w:rFonts w:ascii="Times New Roman" w:hAnsi="Times New Roman"/>
          <w:sz w:val="24"/>
        </w:rPr>
        <w:t xml:space="preserve">Fig. 3b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the voxel level, additional false-positive density also reduced the overlap measured by Dice.</w:t>
      </w:r>
    </w:p>
    <w:p>
      <w:pPr>
        <w:pStyle w:val="BodyText"/>
        <w:spacing w:line="480" w:lineRule="auto" w:after="120"/>
        <w:ind w:firstLine="480"/>
      </w:pPr>
      <w:r>
        <w:rPr>
          <w:rFonts w:ascii="Times New Roman" w:hAnsi="Times New Roman"/>
          <w:sz w:val="24"/>
        </w:rPr>
        <w:t xml:space="preserve">To assess detection under limited candidate counts, we measured the fraction of distinct ligand instances recovered from ranked candidates. Relative candidate counts of 100% and 300% permit examining up to one and three times the ground-truth instance count per complex, respectively. At 100%, mean detection completion across all ligands was 55.6% with CA2 and 66.4% with GT, compared with 25.9% for Emap2lig-Find</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msSa6tBQAUBQ7C"/>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small molecules, the corresponding values were 59.8%, 70.5% and 44.2%</w:t>
      </w:r>
      <w:r>
        <w:rPr>
          <w:rFonts w:ascii="Times New Roman" w:hAnsi="Times New Roman"/>
          <w:sz w:val="24"/>
        </w:rPr>
        <w:t xml:space="preserve"> </w:t>
      </w:r>
      <w:r>
        <w:rPr>
          <w:rFonts w:ascii="Times New Roman" w:hAnsi="Times New Roman"/>
          <w:sz w:val="24"/>
        </w:rPr>
        <w:t xml:space="preserve">(</w:t>
      </w:r>
      <w:r>
        <w:rPr>
          <w:rStyle w:val="MDFIGREF_eJyrrk7LTC9KTbMqLklMTzXUTU7MS8lMSSxJ1S0sTczJLKmsSamtBQAUCA7D"/>
          <w:rFonts w:ascii="Times New Roman" w:hAnsi="Times New Roman"/>
          <w:sz w:val="24"/>
        </w:rPr>
        <w:t xml:space="preserve">Fig. 3d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At 300%, small-molecule completion reached 68.5% with CA2 and 73.3% with GT, compared with 51.6% for Emap2lig-Find.</w:t>
      </w:r>
    </w:p>
    <w:p>
      <w:pPr>
        <w:pStyle w:val="CaptionedFigure"/>
        <w:keepNext/>
        <w:spacing w:line="240" w:lineRule="auto" w:before="0" w:after="0"/>
        <w:ind w:firstLine="0"/>
        <w:jc w:val="center"/>
      </w:pPr>
      <w:r>
        <w:rPr>
          <w:rFonts w:ascii="Times New Roman" w:hAnsi="Times New Roman"/>
          <w:sz w:val="24"/>
        </w:rPr>
        <w:drawing>
          <wp:inline>
            <wp:extent cx="5733415" cy="4101556"/>
            <wp:effectExtent b="0" l="0" r="0" t="0"/>
            <wp:docPr descr="Fig. 3 | Candidate-region quality and ligand detection at limited candidate counts. LigandSeek-Find uses deposited receptors (GT) or CryoAtom2-reconstructed receptors (CA2) and is compared with the density-only method Emap2lig-Find. All ligands comprise 179 PDB entries and 2,502 instances; small molecules comprise 94 PDB entries and 821 instances. a, b, Instance-level precision and recall for all ligands and small molecules, respectively, at a bidirectional coverage threshold of 0.3. Violins show distributions, faint points show individual PDB entries, and white circles and thick lines indicate medians and interquartile ranges. c, d,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 title="MDPPTFIG_eJztWFuLWzcQ_iuDIdCA7WN710nXTQMbJxsCm7AkaV96yiLryD7COpIiybckfS596FNLX1r63Kf-gAbaX9MkP6Mz0vFlsymEln0wZMF7dJn5NBdpZqQXDctC2RhA482Pr_7--c_MBzYR3Tevfnj96y9ta8Oy0YSGE96ouSiIbjjI8y-8cD7Pu_2j7lGe3xV-GozN87e___H6p2_ffv_dm9_-yvMEmOfvRdSsEoSWJluc6UIWLIjWsxlTMqyIhjMbpNHnFXPTmUXqrxq3FgMLy0ppP1h8njfKEOwgyzwvRcV821ihcXJsXMUCdt0kWxhXWGe48F7qSaWyXqdzI6uY1HnjNqGdufh5ElZKwGIwZwpxH1Qo1TAtT3TZmoJop0LYU6mFj-M7vcXAW8ZxGcRROIRAvcNO3qi7j2eKhtgsmBqzJidOqQskG0vnw2li7dREOJMESJKmf3X7xOjgkY95LiXyPJWV8PBILOCxqZiOS5fH2r93LqImCAIbxf4oNodJt_hFMZ9vDNM7XIv-PLEnQQL5JKpDklvcLsLNBZKeyEkbDuAlDDcOdmKCVoXaz4DjoOSEPoUIgpPJgQUcq2QQBWx2BnAzQ1HbtGxIi1-pPf6H1rAHMp5Gmz8RYto6oc0387hSIazx0exOcGGDcR4-uf_0OhgHQ7cyx8FUPfQgN9oHN-PvUA6Pe9ejQ6VHb1WWOZxfyFBCKAWCo1Jh1TJaraASoTQF3KuY7aH7owxtOFaq3gwJwEkvoHvzCM7u3gGhg5MoJC3Qa_Y7PZAoBdN4tj8DXzHkrYwSHI_ZDvfR4SXmT3vdLevH_XTVMYDtgYWbeyDjfu-C0R5YuAkP6rDQUmIuFOAclz5mJB0jHQUZLC-A7QQqmnon_DSR1ltKZoiyalI-YzCShXQpwTGFAWouHFYZGBqRtjSqADOGTvugDV9Kg_WCBxxdQCEx0srRjNgQd4yVSwBrJBksEmDglHNZYDrdDXTNKNailJQ4peOqjn2hlHwKVI74yMkps1aikEwnAgQWDpOzCxILIsf05GOMvPrTwffAwh9j5FXvgmIPLNyEh4LpnVqdKi0lYvMDIiOFQicUo8h4qbanCNjtdK5FxgNstOFpiSuny4AHQZcGMFrUocwJDJ9RVaovJw5BihbWpVhwruu7hAxWOIqOF-Nye3srQbkcouIlcaKxZh1hgcqWEkWHiTBYqzrJWxXpvQnbrDJ40bMMb2zgUR0_XtHN71-CPCpGdxrBfEgx_h7jF4TUKcijILE8Jm3jZXBr6GiLZM7W2pwg0IkzFo1voon4jkZrbYIBgwZy63sWVziFBLge2iMwyjUjxqfJgBcgYtazglGhj7nEt-EOc3XiQXu2kkfIMliDC-dwA4w2BEf9aymdoJCojjMVerfZ6XRiohoZEzC1MUs-YbSH3skzdOe93fi6CY3NA0Cjf_Pg4LDbXx52O91-_8bLW1byAf7qNwH2QW8ChWOLS48BNQJi_RcMZAszJzYw7oNAzHgsubhr-KzCtJ2Q0uHAXF9K6-lokoZ6fiY5HUzq8EfzM4f7wnNaZTjI4mtMFh9jsvotJtt9ismCqCyqqWfIIm04H8sJCuvPz58tDm94P8vSwHmH_g7aVk9QEVlQdKDnC3qrwfbZWkd0zUaOrUhJQEYWPDV86kGbYUnlwzFui0UpWOERpEt464l4FNMgYm5ZdxZIqNklI4yUtCdSKVqR2pE_NdgAt5UIvKTmGGke4ypx_kJnQ5RdxKOet2jh0eKhKXZfbNhgOXYVfdFxsExvNLDavNXEcZoWywCc5uvtilScyOpdWxMjVfyuQS0e9_sYbYAaSE1hJC3L5qc-0W5ba2qa1yaJnm2bbKA00BPZUb_XTyjvpSK_3IsvTDttNsCgoNbDu22la3t5u_EL_m43vvkHuGb_lA" id="19" name="Picture"/>
            <a:graphic>
              <a:graphicData uri="http://schemas.openxmlformats.org/drawingml/2006/picture">
                <pic:pic>
                  <pic:nvPicPr>
                    <pic:cNvPr descr="C:/Users/15919/Desktop/论文草稿/temp/manuscript_figures__qw46ssu/figure_000003.png" id="20" name="Picture"/>
                    <pic:cNvPicPr>
                      <a:picLocks noChangeArrowheads="1" noChangeAspect="1"/>
                    </pic:cNvPicPr>
                  </pic:nvPicPr>
                  <pic:blipFill>
                    <a:blip r:embed="rId18"/>
                    <a:stretch>
                      <a:fillRect/>
                    </a:stretch>
                  </pic:blipFill>
                  <pic:spPr bwMode="auto">
                    <a:xfrm>
                      <a:off x="0" y="0"/>
                      <a:ext cx="5733415" cy="4101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Candidate-region quality and ligand detection at limited candidate counts.</w:t>
      </w:r>
      <w:r>
        <w:rPr>
          <w:rFonts w:ascii="Times New Roman" w:hAnsi="Times New Roman"/>
          <w:sz w:val="24"/>
        </w:rPr>
        <w:t xml:space="preserve"> </w:t>
      </w:r>
      <w:r>
        <w:rPr>
          <w:rFonts w:ascii="Times New Roman" w:hAnsi="Times New Roman"/>
          <w:sz w:val="24"/>
        </w:rPr>
        <w:t xml:space="preserve">LigandSeek-Find uses deposited receptors (GT) or CryoAtom2-reconstructed receptors (CA2) and is compared with the density-only method Emap2lig-Find. All ligands comprise 179 PDB entries and 2,502 instances; small molecules comprise 94 PDB entries and 821 instances.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Instance-level precision and recall for all ligands and small molecules, respectively, at a bidirectional coverage threshold of 0.3. Violins show distributions, faint points show individual PDB entries, and white circles and thick lines indicate medians and interquartile ranges.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Mean detection completion for all ligands and small molecules at relative candidate counts of 100% and 300%. These limits equal one and three times the ground-truth instance count per PDB, respectively. Candidates are assigned by maximal geometric-mean coverage among pairs satisfying bidirectional coverage of at least 0.3. Each instance contributes only its first detection. The small-molecule evaluation omits candidates assigned to other ligand classes but retains background candidates and repeated hits. Bars show PDB-equal means; error bars show 95% intervals from 10,000 PDB bootstrap resamples.</w:t>
      </w:r>
    </w:p>
    <w:p>
      <w:pPr>
        <w:pStyle w:val="BodyText"/>
        <w:spacing w:line="480" w:lineRule="auto" w:after="120"/>
        <w:ind w:firstLine="480"/>
      </w:pPr>
      <w:r>
        <w:rPr>
          <w:rFonts w:ascii="Times New Roman" w:hAnsi="Times New Roman"/>
          <w:sz w:val="24"/>
        </w:rPr>
        <w:t xml:space="preserve">Emap2lig-Find was closer to LigandSeek-Find in instance-level PRAUC and detection completion than in semantic Dice. Its highest-ranked candidates therefore retained substantial ligand-detection signal despite the much larger final candidate pool. LigandSeek-Find recovered more true instances at both candidate limits, providing a more compact input for downstream identity assignment. Complete detection curves and per-PDB distributions are shown in Supplementary Fig. 2.</w:t>
      </w:r>
    </w:p>
    <w:bookmarkEnd w:id="21"/>
    <w:bookmarkStart w:id="30" w:name="stage-2"/>
    <w:p>
      <w:pPr>
        <w:pStyle w:val="Heading2"/>
        <w:keepNext/>
        <w:spacing w:line="480" w:lineRule="auto"/>
        <w:ind w:firstLine="0"/>
      </w:pPr>
      <w:r>
        <w:rPr>
          <w:rFonts w:ascii="Times New Roman" w:hAnsi="Times New Roman"/>
          <w:sz w:val="24"/>
        </w:rPr>
        <w:t xml:space="preserve">Stage 2</w:t>
      </w:r>
    </w:p>
    <w:bookmarkStart w:id="22" w:name="stage-2-evaluation-protocol"/>
    <w:p>
      <w:pPr>
        <w:pStyle w:val="Heading3"/>
        <w:keepNext/>
        <w:spacing w:line="480" w:lineRule="auto"/>
        <w:ind w:firstLine="0"/>
      </w:pPr>
      <w:r>
        <w:rPr>
          <w:rFonts w:ascii="Times New Roman" w:hAnsi="Times New Roman"/>
          <w:sz w:val="24"/>
        </w:rPr>
        <w:t xml:space="preserve">Stage 2: Evaluation protocol</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denote the</w:t>
      </w:r>
      <w:r>
        <w:rPr>
          <w:rFonts w:ascii="Times New Roman" w:hAnsi="Times New Roman"/>
          <w:sz w:val="24"/>
        </w:rPr>
        <w:t xml:space="preserve"> </w:t>
      </w:r>
      <m:oMath>
        <m:r>
          <m:t>i</m:t>
        </m:r>
      </m:oMath>
      <w:r>
        <w:rPr>
          <w:rFonts w:ascii="Times New Roman" w:hAnsi="Times New Roman"/>
          <w:sz w:val="24"/>
        </w:rPr>
        <w:t xml:space="preserve">-th candidate blob predicted by Find, and let</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ascii="Times New Roman" w:hAnsi="Times New Roman"/>
          <w:sz w:val="24"/>
        </w:rPr>
        <w:t xml:space="preserve">denote the ground-truth ligand region of instance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sSubSup>
          <m:e>
            <m:r>
              <m:t>c</m:t>
            </m:r>
          </m:e>
          <m:sub>
            <m:r>
              <m:t>i</m:t>
            </m:r>
            <m:r>
              <m:t>j</m:t>
            </m:r>
          </m:sub>
          <m:sup>
            <m:r>
              <m:t>B</m:t>
            </m:r>
          </m:sup>
        </m:sSubSup>
      </m:oMath>
      <w:r>
        <w:rPr>
          <w:rFonts w:ascii="Times New Roman" w:hAnsi="Times New Roman"/>
          <w:sz w:val="24"/>
        </w:rPr>
        <w:t xml:space="preserve"> </w:t>
      </w:r>
      <w:r>
        <w:rPr>
          <w:rFonts w:ascii="Times New Roman" w:hAnsi="Times New Roman"/>
          <w:sz w:val="24"/>
        </w:rPr>
        <w:t xml:space="preserve">is the fraction of the blob covered by the ground-truth ligand region, and</w:t>
      </w:r>
      <w:r>
        <w:rPr>
          <w:rFonts w:ascii="Times New Roman" w:hAnsi="Times New Roman"/>
          <w:sz w:val="24"/>
        </w:rPr>
        <w:t xml:space="preserve"> </w:t>
      </w:r>
      <m:oMath>
        <m:sSubSup>
          <m:e>
            <m:r>
              <m:t>c</m:t>
            </m:r>
          </m:e>
          <m:sub>
            <m:r>
              <m:t>i</m:t>
            </m:r>
            <m:r>
              <m:t>j</m:t>
            </m:r>
          </m:sub>
          <m:sup>
            <m:r>
              <m:t>G</m:t>
            </m:r>
          </m:sup>
        </m:sSubSup>
      </m:oMath>
      <w:r>
        <w:rPr>
          <w:rFonts w:ascii="Times New Roman" w:hAnsi="Times New Roman"/>
          <w:sz w:val="24"/>
        </w:rPr>
        <w:t xml:space="preserve"> </w:t>
      </w:r>
      <w:r>
        <w:rPr>
          <w:rFonts w:ascii="Times New Roman" w:hAnsi="Times New Roman"/>
          <w:sz w:val="24"/>
        </w:rPr>
        <w:t xml:space="preserve">is the fraction of the ground-truth ligand region covered by the blob. For each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is labeled as foreground if</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ascii="Times New Roman" w:hAnsi="Times New Roman"/>
          <w:sz w:val="24"/>
        </w:rP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ascii="Times New Roman" w:hAnsi="Times New Roman"/>
          <w:sz w:val="24"/>
        </w:rPr>
        <w:t xml:space="preserve">The SMILES string of this instance defines the ground-truth ligand identity for</w:t>
      </w:r>
      <w:r>
        <w:rPr>
          <w:rFonts w:ascii="Times New Roman" w:hAnsi="Times New Roman"/>
          <w:sz w:val="24"/>
        </w:rPr>
        <w:t xml:space="preserve"> </w:t>
      </w:r>
      <m:oMath>
        <m:sSub>
          <m:e>
            <m:r>
              <m:t>B</m:t>
            </m:r>
          </m:e>
          <m:sub>
            <m:r>
              <m:t>i</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480" w:lineRule="auto" w:after="120"/>
        <w:ind w:firstLine="480"/>
      </w:pPr>
      <w:r>
        <w:rPr>
          <w:rFonts w:ascii="Times New Roman" w:hAnsi="Times New Roman"/>
          <w:sz w:val="24"/>
        </w:rP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480" w:lineRule="auto" w:after="120"/>
        <w:ind w:firstLine="480"/>
      </w:pPr>
      <w:r>
        <w:rPr>
          <w:rFonts w:ascii="Times New Roman" w:hAnsi="Times New Roman"/>
          <w:sz w:val="24"/>
        </w:rP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22"/>
    <w:bookmarkStart w:id="29" w:name="stage-2-results"/>
    <w:p>
      <w:pPr>
        <w:pStyle w:val="Heading3"/>
        <w:keepNext/>
        <w:spacing w:line="480" w:lineRule="auto"/>
        <w:ind w:firstLine="0"/>
      </w:pPr>
      <w:r>
        <w:rPr>
          <w:rFonts w:ascii="Times New Roman" w:hAnsi="Times New Roman"/>
          <w:sz w:val="24"/>
        </w:rPr>
        <w:t xml:space="preserve">Stage 2: Results</w:t>
      </w:r>
    </w:p>
    <w:p>
      <w:pPr>
        <w:pStyle w:val="CaptionedFigure"/>
        <w:keepNext/>
        <w:spacing w:line="240" w:lineRule="auto" w:before="0" w:after="0"/>
        <w:ind w:firstLine="0"/>
        <w:jc w:val="center"/>
      </w:pPr>
      <w:r>
        <w:rPr>
          <w:rFonts w:ascii="Times New Roman" w:hAnsi="Times New Roman"/>
          <w:sz w:val="24"/>
        </w:rPr>
        <w:drawing>
          <wp:inline>
            <wp:extent cx="5733415" cy="5744663"/>
            <wp:effectExtent b="0" l="0" r="0" t="0"/>
            <wp:docPr descr="Fig. 4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tvHDUU_itHK1WiYrOz9yRDqRRtElQpraK0iAcGRY7Hu2Nlxja2Z2e3lFcQQkhIIF5AvMIL_AAq2j9DLz-Dc8azl95oRcUDkTZzbB9_5zsXH_uzlmE-a8XQevL9_Uc_PoicZzPRf3L_u8c__3T-6OGfT3_5ov9u_68HXz_67duOMX7RakPLCqfzuUhp3yROkg-dsC5JeqP93n6SHAp36bVJkqe___H4hy-ffvPVk18fJkkwkCRvZEGxQhB6UN6xLGV2xzBpaZEz46VW5wWzl6VBtY9b16rYwKLIlYur95NW5r2Jo8jxTBTMdbQRChen2hbM49DOokrb1FjNhXNSzYo86ne746hgUiWt64R2auvPbb_MBVTxnOWIe6NAOpNgnvSilQbpXgphTqQSrp7fGlWxM4yjGcTJcQqB-sNu0mqGZ2VOU6z0usFs1GmnVCmqTaV1_iRs7TZKuBIIBKbhXyMfa-Ud7mOOS4l77shCOLglKjjTBVO16exAuZeu1agBgsAu6vFFLU6Cb_UXad5dB6Y_XFG_G7YHIp5yUrtDzA3WjbBzgarHctaBIdyDY23FzOoS3TzuAcNPLmf0kalQXvolYMp4RsFjnJeW8SXoKQjGMyh0KnKopM8gFUY76UUKVnBhvLYO3mFXa8CJXeoDrwssI8G1ct6W_DnNi6sdYu0D9_80nG8RNPgfcJzkml9W0gmYWl2AzwRgL2jXgpMLYAu07DJdgZ4Ly_Icbt-8cXJ0uw2uoFGhc8HxQDicKGfM4ne6XSJtKIRnOeABdHV2DeYQa8V14IylEleQd4k2LFOzhkS_ewVJQK_bvdKBj15RLm3otcejHnAElSnzBCE-LaUVwHOGXWIqOaNzX1tdFWWbirHKJFZjr90f7AFD_Q3hDtzJMDTAdWEsBWWwt_-io_294drZ0Xj4vIe9lY8N-dfWc-3KcP9tXOmNu691Zbj3Eld2dzeuDP7JldMmb3SsEd-TKdAqX0K30927QmRWnQBdZAo7NUp1HU1LNIp-MSf8ezgjKdvkHLo603YJFXOgtAeWppL8RJJLEMqibyJtYzBcmXtqKQjIgC4A7PENM8BweYRyyPFQskKrlAynFDIBRzePzg5ODnduHG61I4ojqQi8ZqhrhbDsrMISEJFrGxjV_AxzVTtKJwCoDCk_vrSKKGH5SqxqK9AiccfCPt0MoBLoaNBGGOaxePoNxisbIQVx0Btsq722hp7th3TNXG99gnfv-s5tjXYHg2FvtBjtDofj8eDeNSN5jL_mGmZvdA2nllUv3L8NAmL9GwzchtERaxj7RiB6iodCHGpeFpjBgGRFXh8Tl0njqA2Sh2p-Kjk1QRrwW_NTizF3nKxM4qh-CUX1Qyhq3kHR9jMo8qIw6KYqcYs0_nwqZ0jWnZ9_Wg3HzpVRmDjv0t-wY9QMHZEpdeIRSvQuQvl05SOmZs1jQykQZBTBE2zHdBgmGfXDA2t1lQmWOgTpEd5qwRnBfZhEzM3WLQMBNXohCBe5NMcyz8kiyfX-ILAYK0tgfyFxijpnaKVef2awVoqexaORw_cNXFQ38a7feiSxeDG1BX0xcbAIzyJYrp9H9TwtiwUeZlpvyhW1-LIe1lXbKKNW_V2BGnxufSDw6iABtfFY-GCWzU9c0N1IK21aVzpQjzYii3MF9CrdH1EOX6lFeTmqH3VbMos9k_lqelvOVRMvZ9Z5wd_11ud_AxDnLQg" id="24" name="Picture"/>
            <a:graphic>
              <a:graphicData uri="http://schemas.openxmlformats.org/drawingml/2006/picture">
                <pic:pic>
                  <pic:nvPicPr>
                    <pic:cNvPr descr="C:/Users/15919/Desktop/论文草稿/temp/manuscript_figures__qw46ssu/figure_000004.png" id="25" name="Picture"/>
                    <pic:cNvPicPr>
                      <a:picLocks noChangeArrowheads="1" noChangeAspect="1"/>
                    </pic:cNvPicPr>
                  </pic:nvPicPr>
                  <pic:blipFill>
                    <a:blip r:embed="rId23"/>
                    <a:stretch>
                      <a:fillRect/>
                    </a:stretch>
                  </pic:blipFill>
                  <pic:spPr bwMode="auto">
                    <a:xfrm>
                      <a:off x="0" y="0"/>
                      <a:ext cx="5733415" cy="5744663"/>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Foreground F1 and ligand identity matching accuracy of each model with deposited receptors (a) and CryoAtom2-reconstructed receptors (b).</w:t>
      </w:r>
      <w:r>
        <w:rPr>
          <w:rFonts w:ascii="Times New Roman" w:hAnsi="Times New Roman"/>
          <w:sz w:val="24"/>
        </w:rPr>
        <w:t xml:space="preserve"> </w:t>
      </w:r>
      <w:r>
        <w:rPr>
          <w:rFonts w:ascii="Times New Roman" w:hAnsi="Times New Roman"/>
          <w:sz w:val="24"/>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480" w:lineRule="auto" w:after="120"/>
        <w:ind w:firstLine="480"/>
      </w:pPr>
      <w:r>
        <w:rPr>
          <w:rStyle w:val="MDFIGREF_eJyrrk7LTC9KTbMqLklMTzXSLUpMSSzSLUjMLKpJrK0FALa-C9E"/>
          <w:rFonts w:ascii="Times New Roman" w:hAnsi="Times New Roman"/>
          <w:sz w:val="24"/>
        </w:rPr>
        <w:t xml:space="preserve">Fig. 4a</w:t>
      </w:r>
      <w:r>
        <w:rPr>
          <w:rFonts w:ascii="Times New Roman" w:hAnsi="Times New Roman"/>
          <w:sz w:val="24"/>
        </w:rPr>
        <w:t xml:space="preserve"> </w:t>
      </w:r>
      <w:r>
        <w:rPr>
          <w:rFonts w:ascii="Times New Roman" w:hAnsi="Times New Roman"/>
          <w:sz w:val="24"/>
        </w:rPr>
        <w:t xml:space="preserve">shows false-positive detection and ligand identity matching for four model variants with deposited receptors.</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4b</w:t>
      </w:r>
      <w:r>
        <w:rPr>
          <w:rFonts w:ascii="Times New Roman" w:hAnsi="Times New Roman"/>
          <w:sz w:val="24"/>
        </w:rPr>
        <w:t xml:space="preserve"> </w:t>
      </w:r>
      <w:r>
        <w:rPr>
          <w:rFonts w:ascii="Times New Roman" w:hAnsi="Times New Roman"/>
          <w:sz w:val="24"/>
        </w:rP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480" w:lineRule="auto" w:after="120"/>
        <w:ind w:firstLine="480"/>
      </w:pPr>
      <w:r>
        <w:rPr>
          <w:rFonts w:ascii="Times New Roman" w:hAnsi="Times New Roman"/>
          <w:sz w:val="24"/>
        </w:rP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480" w:lineRule="auto" w:after="120"/>
        <w:ind w:firstLine="480"/>
      </w:pPr>
      <w:r>
        <w:rPr>
          <w:rFonts w:ascii="Times New Roman" w:hAnsi="Times New Roman"/>
          <w:sz w:val="24"/>
        </w:rP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rPr>
          <w:rFonts w:ascii="Times New Roman" w:hAnsi="Times New Roman"/>
          <w:sz w:val="24"/>
        </w:rPr>
        <w:t xml:space="preserve"> </w:t>
      </w:r>
      <w:r>
        <w:rPr>
          <w:rFonts w:ascii="Times New Roman" w:hAnsi="Times New Roman"/>
          <w:sz w:val="24"/>
        </w:rPr>
        <w:t xml:space="preserve">(</w:t>
      </w:r>
      <w:r>
        <w:rPr>
          <w:rStyle w:val="MDFIGREF_eJyrrk7LTC9KTbMqLklMTzXUzS9LLUrMydEtSC1Kyy_KTcxLTq1J1EmqrQUAU-MQLw"/>
          <w:rFonts w:ascii="Times New Roman" w:hAnsi="Times New Roman"/>
          <w:sz w:val="24"/>
        </w:rPr>
        <w:t xml:space="preserve">Fig. 2a, 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was therefore more robust to the change in receptor source.</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5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vIzUQ_yrWSkicSLNJmg3t6qhUUg6dVI6qgHhgUeR4ncSq1za2N5scxyvohJCQQLyAeEPwAh-AE3ffBdFrPwYz682fXouoQDwQaXfHnt_8ZuwZe_JxZKifRSmJLr5-cv7t09h5OuW9iydfPf_-u9H5s98uf_y090rvj6efn__8ZdsYv4haJLLcaTnnOdoN0yx7z3Hrsqyb7Hf3s-yIuzOvTZZd_vLr828-u_zi8cVPz7IsOMiyW3lQtODIHsA7zlutptz5HUOFRQCjxgutRgW1Z6UB6AfR3So1ZFFI5dLqtSyaeW_SOHZsxgvq2tpwBcqJtgX1MLTTuNI2N1Yz7pxQ00LGvU5nEBdUqCw6QLYTW3_e8UvJSZXOqQTe-wWENAzuERevEIg949wcC8VdPb81qlJnKAM3wCNhCoh6_U4WNcPTUuIULb1uOBs4WgqVA2wirPPHwbTTgEATAgiRhlcj39PKO7CjjgkBNu-KgjvygFfkVBdU1a5nh8rdqKtZAwWSjevxuBaHYW31F8J8uN6YXn8V-sNgHgLxmJN6ORi5gdrhds4Bek9M2yQhj8ixmFJYosi58sIvCSSIzXCrKGOlpWxJ9ISsS4DModhKR_yME1UWY25RzYBB5NRzIq-wCe5apBJ-RnJutBOe58Ryxo3X1pGX6R2C4KFd6kOvi94O6LQCXyV7ATm-08ZF-bC0_3S3_8Wekv9BjO__RTZaZGp1aVxIV7dFei2y2yL9OkO_P_4hIUwXhnusjGtJBp3ycHJJv7sPNgm8ul2w3ktq8-6gR9AdOIFADGdezLlctkkdzN-mv1VXG9MWjTVUGoTQBLvxi7H24bUPoQ92g9ukc7PbtxXfKtlN5XOqsLKpJ1TKLYTlU7huHBlzCacAIJpQcnL0OgFDu1wFgWFpJeG8qBfPwbJFnN4cKOGIoh5kCehup_PS1eLGK-Ug-hDu2fX9GiWv7u72u8kiGXT2OoP-o7tGsBSe5sqlt7pyc0ura3dtwwBc_4QDzGAhfE1jb0WiJxPB-JFmZQH7E5gslxRvdTcTxmFN4wrV_EQwrGgcsAfzEwu16xh6GaZx3fniuvHFTd-Lt9te7HlhYJmqBBNh_GgiphCsG40-qvoD58o4TIw6-EvaRk1hISLHY7UHEvZBkE9Wa4TUrOPYhBQCpLiDx5qdQW71cEbhtjy0VlczTnMHJF3kWynqYgyTwLkx3XIQWONrmzCWwtwTUqJHlGv7INAUzg6H2xvFCWBOwUutvzJYg-KrfDhy0MvIuHpL59sNkaaLiS3wC4kji9ACyXLdCut5VPOFJwz1TbkCiiGsqdoGDKj6uyI10Frf5LogKAAaDr4Pbun82AXsRlqhUa90CD3eiDSViuA_kP2klwSWG1GYlzfqBr4l0xQOslxNb8tSNfvlzDov8BxEn_wJ_GdxRg" id="27" name="Picture"/>
            <a:graphic>
              <a:graphicData uri="http://schemas.openxmlformats.org/drawingml/2006/picture">
                <pic:pic>
                  <pic:nvPicPr>
                    <pic:cNvPr descr="C:/Users/15919/Desktop/论文草稿/temp/manuscript_figures__qw46ssu/figure_000005.png" id="28" name="Picture"/>
                    <pic:cNvPicPr>
                      <a:picLocks noChangeArrowheads="1" noChangeAspect="1"/>
                    </pic:cNvPicPr>
                  </pic:nvPicPr>
                  <pic:blipFill>
                    <a:blip r:embed="rId26"/>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Ligand identity matching accuracy of strongest versus the number of candidate ligand identities, with deposited receptors (a) and CryoAtom2-reconstructed receptors (b).</w:t>
      </w:r>
      <w:r>
        <w:rPr>
          <w:rFonts w:ascii="Times New Roman" w:hAnsi="Times New Roman"/>
          <w:sz w:val="24"/>
        </w:rPr>
        <w:t xml:space="preserve"> </w:t>
      </w:r>
      <w:r>
        <w:rPr>
          <w:rFonts w:ascii="Times New Roman" w:hAnsi="Times New Roman"/>
          <w:sz w:val="24"/>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5a, b</w:t>
      </w:r>
      <w:r>
        <w:rPr>
          <w:rFonts w:ascii="Times New Roman" w:hAnsi="Times New Roman"/>
          <w:sz w:val="24"/>
        </w:rPr>
        <w:t xml:space="preserve"> </w:t>
      </w:r>
      <w:r>
        <w:rPr>
          <w:rFonts w:ascii="Times New Roman" w:hAnsi="Times New Roman"/>
          <w:sz w:val="24"/>
        </w:rP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480" w:lineRule="auto" w:after="120"/>
        <w:ind w:firstLine="480"/>
      </w:pPr>
      <w:r>
        <w:rPr>
          <w:rFonts w:ascii="Times New Roman" w:hAnsi="Times New Roman"/>
          <w:sz w:val="24"/>
        </w:rP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480" w:lineRule="auto" w:after="120"/>
        <w:ind w:firstLine="480"/>
      </w:pPr>
      <w:r>
        <w:rPr>
          <w:rFonts w:ascii="Times New Roman" w:hAnsi="Times New Roman"/>
          <w:sz w:val="24"/>
        </w:rP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counts small-molecule ligand instances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480" w:lineRule="auto" w:after="120"/>
        <w:ind w:firstLine="480"/>
      </w:pPr>
      <w:r>
        <w:rPr>
          <w:rFonts w:ascii="Times New Roman" w:hAnsi="Times New Roman"/>
          <w:sz w:val="24"/>
        </w:rP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set for EMERALD-ID within the original test set. Among entries containing small molecules, we excluded the 10% with the highest</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rPr>
          <w:rFonts w:ascii="Times New Roman" w:hAnsi="Times New Roman"/>
          <w:sz w:val="24"/>
        </w:rPr>
        <w:t xml:space="preserve"> </w:t>
      </w:r>
      <w:r>
        <w:rPr>
          <w:rStyle w:val="MDFIGREF_eJyrrk7LTC9KTbMqLklMTzXSLUpMSSzSLUjMLKpJrK0FALa-C9E"/>
          <w:rFonts w:ascii="Times New Roman" w:hAnsi="Times New Roman"/>
          <w:sz w:val="24"/>
        </w:rPr>
        <w:t xml:space="preserve">Fig. 4a</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klMTzXSLUpMSSzSLUjMLKpJqq0FALbBC9I"/>
          <w:rFonts w:ascii="Times New Roman" w:hAnsi="Times New Roman"/>
          <w:sz w:val="24"/>
        </w:rPr>
        <w:t xml:space="preserve">Fig. 4b</w:t>
      </w:r>
      <w:r>
        <w:rPr>
          <w:rFonts w:ascii="Times New Roman" w:hAnsi="Times New Roman"/>
          <w:sz w:val="24"/>
        </w:rPr>
        <w:t xml:space="preserve"> </w:t>
      </w:r>
      <w:r>
        <w:rPr>
          <w:rFonts w:ascii="Times New Roman" w:hAnsi="Times New Roman"/>
          <w:sz w:val="24"/>
        </w:rPr>
        <w:t xml:space="preserve">show its performance with deposited and CryoAtom2-reconstructed receptors, respectively.</w:t>
      </w:r>
    </w:p>
    <w:bookmarkEnd w:id="29"/>
    <w:bookmarkEnd w:id="30"/>
    <w:bookmarkStart w:id="43" w:name="stage-3"/>
    <w:p>
      <w:pPr>
        <w:pStyle w:val="Heading2"/>
        <w:keepNext/>
        <w:spacing w:line="480" w:lineRule="auto"/>
        <w:ind w:firstLine="0"/>
      </w:pPr>
      <w:r>
        <w:rPr>
          <w:rFonts w:ascii="Times New Roman" w:hAnsi="Times New Roman"/>
          <w:sz w:val="24"/>
        </w:rPr>
        <w:t xml:space="preserve">Stage 3</w:t>
      </w:r>
    </w:p>
    <w:bookmarkStart w:id="34" w:name="X91e1e06dd91711c282eeed02d5c10f441569161"/>
    <w:p>
      <w:pPr>
        <w:pStyle w:val="Heading3"/>
        <w:keepNext/>
        <w:spacing w:line="480" w:lineRule="auto"/>
        <w:ind w:firstLine="0"/>
      </w:pPr>
      <w:r>
        <w:rPr>
          <w:rFonts w:ascii="Times New Roman" w:hAnsi="Times New Roman"/>
          <w:sz w:val="24"/>
        </w:rPr>
        <w:t xml:space="preserve">Stage 3: Comparison of PocketXMol-official and PocketXMol-tuned</w:t>
      </w:r>
    </w:p>
    <w:p>
      <w:pPr>
        <w:pStyle w:val="FirstParagraph"/>
        <w:spacing w:line="480" w:lineRule="auto" w:after="120"/>
        <w:ind w:firstLine="480"/>
      </w:pPr>
      <w:r>
        <w:rPr>
          <w:rFonts w:ascii="Times New Roman" w:hAnsi="Times New Roman"/>
          <w:sz w:val="24"/>
        </w:rPr>
        <w:t xml:space="preserve">We compared the official PocketXMol model with our fine-tuned version. The official model accepts a ligand SMILES string and its binding pocket or binding site, generating 50 candidate poses by default.</w:t>
      </w:r>
    </w:p>
    <w:p>
      <w:pPr>
        <w:pStyle w:val="BodyText"/>
        <w:spacing w:line="480" w:lineRule="auto" w:after="120"/>
        <w:ind w:firstLine="480"/>
      </w:pPr>
      <w:r>
        <w:rPr>
          <w:rFonts w:ascii="Times New Roman" w:hAnsi="Times New Roman"/>
          <w:sz w:val="24"/>
        </w:rP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480" w:lineRule="auto" w:after="120"/>
        <w:ind w:firstLine="480"/>
      </w:pPr>
      <w:r>
        <w:rPr>
          <w:rFonts w:ascii="Times New Roman" w:hAnsi="Times New Roman"/>
          <w:sz w:val="24"/>
        </w:rPr>
        <w:t xml:space="preserve">We treated these pocket definitions as separate training and testing conditions. We trained one fine-tuned model for each definition and evaluated each model under its corresponding condition.</w:t>
      </w:r>
    </w:p>
    <w:p>
      <w:pPr>
        <w:pStyle w:val="BodyText"/>
        <w:spacing w:line="480" w:lineRule="auto" w:after="120"/>
        <w:ind w:firstLine="480"/>
      </w:pPr>
      <w:r>
        <w:rPr>
          <w:rFonts w:ascii="Times New Roman" w:hAnsi="Times New Roman"/>
          <w:sz w:val="24"/>
        </w:rPr>
        <w:t xml:space="preserve">To assess fine-tuning, we used all single-residue organic small molecules with no atoms missing relative to their templates (hereafter eligible small molecules). This test set comprised 446 ligand instances from the 179 PDB entries.</w:t>
      </w:r>
    </w:p>
    <w:p>
      <w:pPr>
        <w:pStyle w:val="BodyText"/>
        <w:spacing w:line="480" w:lineRule="auto" w:after="120"/>
        <w:ind w:firstLine="480"/>
      </w:pPr>
      <w:r>
        <w:rPr>
          <w:rFonts w:ascii="Times New Roman" w:hAnsi="Times New Roman"/>
          <w:sz w:val="24"/>
        </w:rP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480" w:lineRule="auto" w:after="120"/>
        <w:ind w:firstLine="480"/>
      </w:pPr>
      <w:r>
        <w:rPr>
          <w:rFonts w:ascii="Times New Roman" w:hAnsi="Times New Roman"/>
          <w:sz w:val="24"/>
        </w:rPr>
        <w:t xml:space="preserve">Across the 446 test instances, density-guided PocketXMol-tuned achieved substantially greater pose accuracy than PocketXMol-official under every test condition</w:t>
      </w:r>
      <w:r>
        <w:rPr>
          <w:rFonts w:ascii="Times New Roman" w:hAnsi="Times New Roman"/>
          <w:sz w:val="24"/>
        </w:rPr>
        <w:t xml:space="preserve"> </w:t>
      </w:r>
      <w:r>
        <w:rPr>
          <w:rFonts w:ascii="Times New Roman" w:hAnsi="Times New Roman"/>
          <w:sz w:val="24"/>
        </w:rPr>
        <w:t xml:space="preserve">(</w:t>
      </w:r>
      <w:r>
        <w:rPr>
          <w:rStyle w:val="MDFIGREF_eJyrrk7LTC9KTbMqLklMTzXWzU9Ly0zOTMzRLSnNS02prQUAz88MnA"/>
          <w:rFonts w:ascii="Times New Roman" w:hAnsi="Times New Roman"/>
          <w:sz w:val="24"/>
        </w:rPr>
        <w:t xml:space="preserve">Fig. 6</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480" w:lineRule="auto" w:after="120"/>
        <w:ind w:firstLine="480"/>
      </w:pPr>
      <w:r>
        <w:rPr>
          <w:rFonts w:ascii="Times New Roman" w:hAnsi="Times New Roman"/>
          <w:sz w:val="24"/>
        </w:rP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480" w:lineRule="auto" w:after="120"/>
        <w:ind w:firstLine="480"/>
      </w:pPr>
      <w:r>
        <w:rPr>
          <w:rFonts w:ascii="Times New Roman" w:hAnsi="Times New Roman"/>
          <w:sz w:val="24"/>
        </w:rP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6 | Comparison of PocketXMol-official and density-guided PocketXMol-tuned on 446 small-molecule docking tasks. Eligible small molecules are single-residue organic small molecules with no atoms missing relative to their template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0FvHDUU_ivWnkDKZrLJbkKWUqlsUoSUVlFaJCQGRd6ZtztWZsbG9uxsSpF6QYgDpyIkBOLMiR9AJTjwTyrR9mfwPXt2k5IcKlAPlRppM7bf8_eev_f8bH_ZM9IXvbHoPf_-yd8__ZE4L-e08_zJ42e__LxpjF_2NkTPktPlgnLWm4zT9BNH1qXpYLQ_2E_TA3JnXps0ffHb789--ObFd98-__XPNI2AaXotYi0rYrQo7OvZTGVKln3f1DADhUwar3R9Wkl71hiofta70Y6NWFZl7cbtB2mv8N6Mk8RlBVXSbWpDNYQzbSvp0bXzpNU2N1Zn5Jyq51WZbG9t7SaVVHXau8loxzZ87vnzkkQ7XsgSuB9XcGkSzbNestJg3TMic6RqcmH8Uq8dOyMzmAFOiSEAbQ-30l7XPWlKHpKN1x1mp84zVZ1Dbaas80dx6lanBEl0IHoa_3Xt27r2DvOky5TCnPuqIifuUitOdCXrYLq4VbtrZQE1QjDYNPSnoTmJawtfuPlgTcz2cOX6gzg9OuI5JmE57LlBrpBdEFRvq_mm2BUPxURXRlrldC30TBzr7Iz8p3d0uQ67kGAgJ_jqz_vzRuWUX1YLSSEwezjcFa6SZdmvdEkZOBU51Jh1L92Z22S3fHTutfL1P1gRb4CPh6WaqynYDWSLFdlOSIsx0F1SH9oqb0hgo8laZVdUW-ULUWshva6cqFTYg8JSKb1akPBa-IKUFZ4qgzF6G7zXviHlG8DwhjhQzls1bbj-cr3A0dIfiJM79w42hMwy1PSw37UgmRVIuJzKp49-dEK3tXAQ09tEet2JNH0DGL6aSFNyvssjRyhTHoeKdFyGRKlbCPssFEY7ErLSSLLRlshwNKk81CdxQq4psTbcMURGtbfUz2mm-HAajMRfXwtnCrIqw4FmwunlxDuToNf13xXSGJKWz7Jglmb-ZdjVvBXu9FxIMdhicKoXVOKWgyKsG5yXqNF8bMb6-s7hSnq9JavmBUx9qFGUo0Y0oZicWNcJPDeSSQmlOycQoQJHsDKx5_oWLG2j7meY4W0T-EOPjNcW7BzydjRa1R6jIRCcB7qmlacK02SdEbuxJLcROQRZfEFywUxbKHeGuyV0c_DoKTi_PfLF00eP90bsPFmepkoGqChXsg4zo8r-FRX4YRBqHDnl-aa4D7QFWR9iJJcKhhyCP8ftxBeVyt4XuvGlYg_kVOOYGgXqOy45WSwMzsNR6INvqE4Rdn2XCRVJzCTs5yGmTIHn3FsRgEzMZOPi4tap2IUF7HoZYo_DEyFRkFjtSdUx1GyN_V5htfCKllnZ8KVpZnUlFGiH0CP9VfavY5Xvkjd7n-OCvb5Y90Z7OzvDwWg5HG4P9vbee3jDqGyMX3fXlq90186tbK9csjsEYP0XDEzzjaU1jH0lkBAHOtBZUyEJIlK8dSBtC2UclxFeYb04VhkXEe5kdxfHFjnvMrYyGSfhiZOEF07SPXCSy--bhO8tWGbdYIoy_nSm5nDWnZ5-0Q53nWuSOHC6xX-7m6aeYyEqB_rODlr8AEL7eLVGhGbtx4VL0UHJDB4hPRxyYlIgAemWtbotSOYOIAPGWwlCusdBYF5MvWQgoiZXSJiWytxWZckWuR3mx4YcY8uTzwpuzqBzAitB_lJnrZS8jMc9h0eMmLZ3sD0uvYTkeDmzFX8ROLGMbx9xvn4DhXEW0xJ7g-VdukIrY7UuaztlaIXvCtTgTfURYVNwA9qoVz6alYsjF3UvWittltc6up5cNOW4rAU_PfdH26OIcq0Wx-UwvNwuteUY27pcDV9ul3XHlzPruOB3s_fVPyhYc5s" id="32" name="Picture"/>
            <a:graphic>
              <a:graphicData uri="http://schemas.openxmlformats.org/drawingml/2006/picture">
                <pic:pic>
                  <pic:nvPicPr>
                    <pic:cNvPr descr="C:/Users/15919/Desktop/论文草稿/temp/manuscript_figures__qw46ssu/figure_000006.png" id="33" name="Picture"/>
                    <pic:cNvPicPr>
                      <a:picLocks noChangeArrowheads="1" noChangeAspect="1"/>
                    </pic:cNvPicPr>
                  </pic:nvPicPr>
                  <pic:blipFill>
                    <a:blip r:embed="rId31"/>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Comparison of PocketXMol-official and density-guided PocketXMol-tuned on 446 small-molecule docking tasks.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Distribution of top-1 RMSD, according to each model’s own score.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34"/>
    <w:bookmarkStart w:id="38" w:name="Xf5ab2934b575ce019262194de9f4d310a201cf1"/>
    <w:p>
      <w:pPr>
        <w:pStyle w:val="Heading3"/>
        <w:keepNext/>
        <w:spacing w:line="480" w:lineRule="auto"/>
        <w:ind w:firstLine="0"/>
      </w:pPr>
      <w:r>
        <w:rPr>
          <w:rFonts w:ascii="Times New Roman" w:hAnsi="Times New Roman"/>
          <w:sz w:val="24"/>
        </w:rPr>
        <w:t xml:space="preserve">Stage 3: Fair comparison with Emap2lig-Build</w:t>
      </w:r>
    </w:p>
    <w:p>
      <w:pPr>
        <w:pStyle w:val="FirstParagraph"/>
        <w:spacing w:line="480" w:lineRule="auto" w:after="120"/>
        <w:ind w:firstLine="480"/>
      </w:pPr>
      <w:r>
        <w:rPr>
          <w:rFonts w:ascii="Times New Roman" w:hAnsi="Times New Roman"/>
          <w:sz w:val="24"/>
        </w:rP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480" w:lineRule="auto" w:after="120"/>
        <w:ind w:firstLine="480"/>
      </w:pPr>
      <w:r>
        <w:rPr>
          <w:rFonts w:ascii="Times New Roman" w:hAnsi="Times New Roman"/>
          <w:sz w:val="24"/>
        </w:rP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7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VVl9vIzUQ_yrWPt1JSTbZJFe6HJVKej0hpaeoLRISiypn18ma7NrG9ubP3SHxghAPPB3iBcQzT3wAToIHvgkS1_sYzNibNCGVOIEOqVVbjz0zv_lnz86zQFGbBzEJrr99-ef3v4bG0inrXr988erHH1pK2WXQIIFmRhZzlqHcIE6SDw3TJkk6_cPOYZKcMDOzUiXJ659_efXdV6-_-fr6p9-SxAMmya2IgpYM0TyzqTTLeGpZ1tRsyqVo5oxmTSvdivIpVRbOr0qqZ5UCzY-Dh4tYkWVZCBMv3kuC3FoVh6FJc1ZS05KKCWBOpC6pha2ehgupM6VlyozhYloWYdRuPwhLykUSHCHaSLvlwq4KRhbxnBaA-0EJHg68eZQL1xIoO2NMDblgxp1v7RaxUTQFM4BTwBEARb12EtTb86rAI1pZWWPW4qjJRQZiE66NHXrVdi0EHO-A99T_q-lTKawBPWpSzkHnkpfMkCdsQc5lSYUznR8LcyvPoXoIBBu7_diRAx-bW8HNp5vERL2160-9unfEYk1cOOg5FBbuypyB6CmftsgBeU5OZDrDzCimXXlEyoickBEcM_vRmSyathIsIxTy8KikKir4tPl-xYuMVMYprm8LAQ5K-UtjWuiG9c681fz8hyyQ_8vHt1JDegcy3LjTGR7fhQyTE6ak4fgCNUuZslKTe48v75NUlopqbqQg8Bt1O4QLaPHwwg35VHJhixXJmGXu8Y5XZOje7wVjs-Yptr2dJ48nLZI2sgYZ6JU8trKM4PuQwku3ukp3rQ-Ooz3z0Tv_YH4sbU5KZnOZmdZ-A6oM6Nmc7bk5LuSYpExYLXlGrATQCXRqQkmnT37_0rMYUQ7w3f0mVsPuRLrV1Rw8NYRDsacVz7Dn-RbXIkM2seQebaT3G2BYNTvk_OzipEXO-TQHxriRAWPMjG3KSbPfrrkjDN4AiKuisOvGuUkP6MgluAXVFs63qG_zP754cQALNmqMiBcoV8eGXzEQz-UCEphxKowr3iLnZgbDwQ2Qxzn8G06LXAJv1aRLDnEaUsgpFM7mJU9b5ISa3DV3NIFffBJhVhG_C8Rum8fP4VHwCcwIm9kg6B90u71Of9nrdw6jXu_5Q8XTGP7qcYG-0biQabrYmxNqBMD6NxigZivNNjD6jUDkZMJTBl_NqoTseSTNCooTicm5Mvh6MUIxH_EU3y5u0ifzkYaLaVK0MohDN7SFbmYL65Et3J7YQstKBWGKClS4slcTPgVnzdXVZ4veA2Oq0B9ctfHnoKXEFALhGaB3D4DCkQ7o0TpGKM3GjxuXvIMUMziE52GIkIOciik71loucNwzANJBvDXDKHiw_hAwb1S3DHjUcC8J44KrU14UaBFpp-8JGkMXYTbNkZyAzDlYcfydzUYo3MXDnYE5jIwXZzLbHuZovJzoElcoHFn68Y2sNmOcO0c2W1qSIr--riCVolh9a2thkHLrGlTBWPiYyZIgAdLQAq03S-dD42VvqLU08oX0roc3JI0LQXB6PuxHfY9yqxTW5ZEbPrdoGlvKi_XxNl2IOl9GbeoCf0fB538BfD5QQQ" id="36" name="Picture"/>
            <a:graphic>
              <a:graphicData uri="http://schemas.openxmlformats.org/drawingml/2006/picture">
                <pic:pic>
                  <pic:nvPicPr>
                    <pic:cNvPr descr="C:/Users/15919/Desktop/论文草稿/temp/manuscript_figures__qw46ssu/figure_000007.png" id="37" name="Picture"/>
                    <pic:cNvPicPr>
                      <a:picLocks noChangeArrowheads="1" noChangeAspect="1"/>
                    </pic:cNvPicPr>
                  </pic:nvPicPr>
                  <pic:blipFill>
                    <a:blip r:embed="rId35"/>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Docking performance of PocketXMol-tuned and Emap2lig-Build using predicted ligand regions.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ascii="Times New Roman" w:hAnsi="Times New Roman"/>
          <w:sz w:val="24"/>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7</w:t>
      </w:r>
      <w:r>
        <w:rPr>
          <w:rFonts w:ascii="Times New Roman" w:hAnsi="Times New Roman"/>
          <w:sz w:val="24"/>
        </w:rPr>
        <w:t xml:space="preserve"> </w:t>
      </w:r>
      <w:r>
        <w:rPr>
          <w:rFonts w:ascii="Times New Roman" w:hAnsi="Times New Roman"/>
          <w:sz w:val="24"/>
        </w:rP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MqLklMTzXWLShKTclMLklN0S1KTc_Mz9PNSE1M0S3JB9O1tQC1BBIF"/>
          <w:rFonts w:ascii="Times New Roman" w:hAnsi="Times New Roman"/>
          <w:sz w:val="24"/>
        </w:rPr>
        <w:t xml:space="preserve">Fig. 7</w:t>
      </w:r>
      <w:r>
        <w:rPr>
          <w:rFonts w:ascii="Times New Roman" w:hAnsi="Times New Roman"/>
          <w:sz w:val="24"/>
        </w:rPr>
        <w:t xml:space="preserve">).</w:t>
      </w:r>
    </w:p>
    <w:bookmarkEnd w:id="38"/>
    <w:bookmarkStart w:id="42" w:name="stage-3-representative-cases"/>
    <w:p>
      <w:pPr>
        <w:pStyle w:val="Heading3"/>
        <w:keepNext/>
        <w:spacing w:line="480" w:lineRule="auto"/>
        <w:ind w:firstLine="0"/>
      </w:pPr>
      <w:r>
        <w:rPr>
          <w:rFonts w:ascii="Times New Roman" w:hAnsi="Times New Roman"/>
          <w:sz w:val="24"/>
        </w:rPr>
        <w:t xml:space="preserve">Stage 3: Representative cases</w:t>
      </w:r>
    </w:p>
    <w:p>
      <w:pPr>
        <w:pStyle w:val="FirstParagraph"/>
        <w:spacing w:line="480" w:lineRule="auto" w:after="120"/>
        <w:ind w:firstLine="480"/>
      </w:pPr>
      <w:r>
        <w:rPr>
          <w:rFonts w:ascii="Times New Roman" w:hAnsi="Times New Roman"/>
          <w:sz w:val="24"/>
        </w:rPr>
        <w:t xml:space="preserve">We analysed six representative instances to examine how receptor pockets and experimental density provide complementary constraints on pose generation</w:t>
      </w:r>
      <w:r>
        <w:rPr>
          <w:rFonts w:ascii="Times New Roman" w:hAnsi="Times New Roman"/>
          <w:sz w:val="24"/>
        </w:rPr>
        <w:t xml:space="preserve"> </w:t>
      </w:r>
      <w:r>
        <w:rPr>
          <w:rFonts w:ascii="Times New Roman" w:hAnsi="Times New Roman"/>
          <w:sz w:val="24"/>
        </w:rPr>
        <w:t xml:space="preserve">(</w:t>
      </w:r>
      <w:r>
        <w:rPr>
          <w:rStyle w:val="MDFIGREF_eJyrrk7LTC9KTbMqLklMTzXWTU4sTi3WzU3MzKutBQCftQrz"/>
          <w:rFonts w:ascii="Times New Roman" w:hAnsi="Times New Roman"/>
          <w:sz w:val="24"/>
        </w:rPr>
        <w:t xml:space="preserve">Fig. 8</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first group illustrated typical errors in receptor-only docking without experimental density guidance</w:t>
      </w:r>
      <w:r>
        <w:rPr>
          <w:rFonts w:ascii="Times New Roman" w:hAnsi="Times New Roman"/>
          <w:sz w:val="24"/>
        </w:rPr>
        <w:t xml:space="preserve"> </w:t>
      </w:r>
      <w:r>
        <w:rPr>
          <w:rFonts w:ascii="Times New Roman" w:hAnsi="Times New Roman"/>
          <w:sz w:val="24"/>
        </w:rPr>
        <w:t xml:space="preserve">(</w:t>
      </w:r>
      <w:r>
        <w:rPr>
          <w:rStyle w:val="MDFIGREF_eJyrrk7LTC9KTbMqLklMTzXWTU4sTi3WzU3MzKtJfNQwObm2FgDtUw4o"/>
          <w:rFonts w:ascii="Times New Roman" w:hAnsi="Times New Roman"/>
          <w:sz w:val="24"/>
        </w:rPr>
        <w:t xml:space="preserve">Fig. 8a–c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480" w:lineRule="auto" w:after="120"/>
        <w:ind w:firstLine="480"/>
      </w:pPr>
      <w:r>
        <w:rPr>
          <w:rFonts w:ascii="Times New Roman" w:hAnsi="Times New Roman"/>
          <w:sz w:val="24"/>
        </w:rPr>
        <w:t xml:space="preserve">The second group illustrated the shortcomings of density-only fitting that ignores receptor steric constraints</w:t>
      </w:r>
      <w:r>
        <w:rPr>
          <w:rFonts w:ascii="Times New Roman" w:hAnsi="Times New Roman"/>
          <w:sz w:val="24"/>
        </w:rPr>
        <w:t xml:space="preserve"> </w:t>
      </w:r>
      <w:r>
        <w:rPr>
          <w:rFonts w:ascii="Times New Roman" w:hAnsi="Times New Roman"/>
          <w:sz w:val="24"/>
        </w:rPr>
        <w:t xml:space="preserve">(</w:t>
      </w:r>
      <w:r>
        <w:rPr>
          <w:rStyle w:val="MDFIGREF_eJyrrk7LTC9KTbMqLklMTzXWTU4sTi3WzU3MzKtJedQwOa22FgDtcQ4u"/>
          <w:rFonts w:ascii="Times New Roman" w:hAnsi="Times New Roman"/>
          <w:sz w:val="24"/>
        </w:rPr>
        <w:t xml:space="preserve">Fig. 8d–f</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480" w:lineRule="auto" w:after="120"/>
        <w:ind w:firstLine="480"/>
      </w:pPr>
      <w:r>
        <w:rPr>
          <w:rFonts w:ascii="Times New Roman" w:hAnsi="Times New Roman"/>
          <w:sz w:val="24"/>
        </w:rP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rPr>
          <w:rFonts w:ascii="Times New Roman" w:hAnsi="Times New Roman"/>
          <w:sz w:val="24"/>
        </w:rPr>
        <w:drawing>
          <wp:inline>
            <wp:extent cx="4522429" cy="5828030"/>
            <wp:effectExtent b="0" l="0" r="0" t="0"/>
            <wp:docPr descr="Fig. 8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opu7PZJG2yKpXSpClFaZWmjdqKQZEz49mx4hkb27ObLUXiBhASiAtQb3gAuIJ7kOCCN0Eq7WPwHXt2s2lTVIGKVIkoyRzbx9_5-_z3UcdwX3aGrPPs21-efvdr4jwfiZWnX__0_PvPnn75pGeMP-kssY4VTquxyEl1a5imB05Yl6bLaxvLG2m6Ldyx1yZNn__4859PPn_-1RfPfvgtTSNmmr4KtOaVIMA43s24E65bcVnTYMaNl7o-rLg9bgzU3u9cmQwNO6lU7YaTd9JO6b0ZJonLSlFx19NG1BgstK24R9OOkom2ubE6E87JelSpZNDvX0rIQtq5Smh7Nnzu-qkSbDIccwXcmxXc2YrmSS-ZaZDusRBmV9bChf6F1mToDM9gBjgKXQAarPbTTtvcbxR18cbrFrNVp5myzqFWSOv8bpzab5UwEh2InsZ_rbyja-8wj7tMSsy5Jyvh2G0xYfu64nUwXW7W7tyxgBohCOwotI-CuBVjC1-4-WiemMHqzPVHcXp0xFNNQjjkuQFVhB0LqO7IUY-ts8dsS1dGiUrUntspy3TtvEUR4H1hdcWsyITx2jKjs2OBXo58iBMjrAxzFMsFwvDTHln10fYbTce_CJr9Vz6-kZLxPz75JnsLsrzE7pVWCCZBJV5jgUNik1JmJdsLJHpwS6uuLgqZSfAHm1N3GfTCBgMujSX3IlLvPJYN2cad5UtIxIMbq0ts4-DaZcgP-8uBlhv7K9to3nx3738yvmky5kh08RZk-W_IeL3iZqDkqHutkSo_w8NMcVeyifQl86WYb4Jg38Hl9xD5je0DsO_-wR7knc3tyL77d1bQXL77sMeuab9IdlbpXCjHGidAZJiQXuRz1LinZuC5Fd1cFDhl8tl222PXOVy1esJcqSfu3BV0QVtej8TFpcVR3xDMhSPViIvBwAvhXjCNxcaPSTHMheidUCIjD4-m0XPmMm1Fj23PfQcOMOG5FcwLrpYWo0GfVnIs2AiZr195YjBujOA0Ab-kC2vClT22DwM5ChDs4AAPCPODiHtdOUZXj1gmOtZxbHmeUbq2CV17TKLCFRa9uCowXTCQIpchrFLw8bTFmZQImXkryRK3agp-eGGNVpxUZ65agTK0oPBEVwglx7h02jW2AO0wBNaVWuU9thXok-mGlkBMFZhBBMy5zbvzUIIjXXKEGY4bBjJvuOVt6nEQw194pHBHAjyvWb93eY35sFrIE9dUFBlEadkY47mw7D7noJrluZQ9kF-EpLbsoUkLLlPlsRwG7PdPCSd_obyLieqxTaVCjAToS43iuzKUnxzBbZHl0hnFp4HZIyR9iY2lmFB5wE7c4QjRZVyBSHfpw45Q_CW2BuuoORgOcznUAWxEJgvcRkrcRNrqO5k3cB4F8bKQuOGe3ePpHna18wEup_NLaWd1bTBYHWycrK0P1vsr_cdXjMyG-Gvvqfy17qm55ZOXLqgtArD-CQam-caKOYx9LZCw3MW2zhpaRhHJCtAUqcYqMI42RoqwHu_JjLZFamS3x3sWlXUZWdkaJuF1kITHQdK-DZLFp0HiRWUQZt1gijT-sJAjOOsODz-crF5yrklix2GfftZ7ph4hEJkDfXUZEj0cIO_NYkRp5n6cuhQd5JTBXexZjtV6q6RNbNNiryMiOIAEvNkAkcLHTmCeTl0wEFGTl5JwpKTZkUqRRZLD_CjwIZaZ8FlJYgGdfVgJ42cac6XkLB61HB4A7GhyCzvlwiuCD08KW9EXhWMn8d3ApvP3Q-inYXHiWUbjLV2hlZFay9pWGVrhOwM1eI_cELRxQIA29hQfzfLxrou6p9JMm8ZrHV1PTkU-VDgUgbKxNliLKOdqUV2uh1fPgsyHnks1616UVd3my5l5XfB3tfPxX83lONc" id="40" name="Picture"/>
            <a:graphic>
              <a:graphicData uri="http://schemas.openxmlformats.org/drawingml/2006/picture">
                <pic:pic>
                  <pic:nvPicPr>
                    <pic:cNvPr descr="C:/Users/15919/Desktop/论文草稿/temp/manuscript_figures__qw46ssu/figure_000008.png" id="41" name="Picture"/>
                    <pic:cNvPicPr>
                      <a:picLocks noChangeArrowheads="1" noChangeAspect="1"/>
                    </pic:cNvPicPr>
                  </pic:nvPicPr>
                  <pic:blipFill>
                    <a:blip r:embed="rId39"/>
                    <a:stretch>
                      <a:fillRect/>
                    </a:stretch>
                  </pic:blipFill>
                  <pic:spPr bwMode="auto">
                    <a:xfrm>
                      <a:off x="0" y="0"/>
                      <a:ext cx="4522429" cy="582803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Complementary constraints from receptor pockets and experimental density.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Three instances in which PocketXMol-official top-1 poses deviate from experimental density: 9Q16–XG4, 9UB7–Y01 and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42"/>
    <w:bookmarkEnd w:id="43"/>
    <w:bookmarkStart w:id="64" w:name="end-to-end"/>
    <w:p>
      <w:pPr>
        <w:pStyle w:val="Heading2"/>
        <w:keepNext/>
        <w:spacing w:line="480" w:lineRule="auto"/>
        <w:ind w:firstLine="0"/>
      </w:pPr>
      <w:r>
        <w:rPr>
          <w:rFonts w:ascii="Times New Roman" w:hAnsi="Times New Roman"/>
          <w:sz w:val="24"/>
        </w:rPr>
        <w:t xml:space="preserve">End-to-end</w:t>
      </w:r>
    </w:p>
    <w:bookmarkStart w:id="44" w:name="evaluation-protocol"/>
    <w:p>
      <w:pPr>
        <w:pStyle w:val="Heading3"/>
        <w:keepNext/>
        <w:spacing w:line="480" w:lineRule="auto"/>
        <w:ind w:firstLine="0"/>
      </w:pPr>
      <w:r>
        <w:rPr>
          <w:rFonts w:ascii="Times New Roman" w:hAnsi="Times New Roman"/>
          <w:sz w:val="24"/>
        </w:rPr>
        <w:t xml:space="preserve">Evaluation protocol</w:t>
      </w:r>
    </w:p>
    <w:p>
      <w:pPr>
        <w:pStyle w:val="FirstParagraph"/>
        <w:spacing w:line="480" w:lineRule="auto" w:after="120"/>
        <w:ind w:firstLine="480"/>
      </w:pPr>
      <w:r>
        <w:rPr>
          <w:rFonts w:ascii="Times New Roman" w:hAnsi="Times New Roman"/>
          <w:sz w:val="24"/>
        </w:rP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eligible small molecules.</w:t>
      </w:r>
    </w:p>
    <w:p>
      <w:pPr>
        <w:pStyle w:val="BodyText"/>
        <w:spacing w:line="480" w:lineRule="auto" w:after="120"/>
        <w:ind w:firstLine="480"/>
      </w:pPr>
      <w:r>
        <w:rPr>
          <w:rFonts w:ascii="Times New Roman" w:hAnsi="Times New Roman"/>
          <w:sz w:val="24"/>
        </w:rPr>
        <w:t xml:space="preserve">LigandSeek-Find ranks candidate ligand regions by descending mean probability, yielding Rank 1, Rank 2 and subsequent candidates. End-to-end region detection and identity matching across all ligand categories require both Find and Match to succeed. Full pose reconstruction for eligible small molecules requires Find, Match and Build to succeed.</w:t>
      </w:r>
    </w:p>
    <w:p>
      <w:pPr>
        <w:pStyle w:val="BodyText"/>
        <w:spacing w:line="480" w:lineRule="auto" w:after="120"/>
        <w:ind w:firstLine="480"/>
      </w:pPr>
      <w:r>
        <w:rPr>
          <w:rFonts w:ascii="Times New Roman" w:hAnsi="Times New Roman"/>
          <w:sz w:val="24"/>
        </w:rPr>
        <w:t xml:space="preserve">For each PDB entry, the pipeline examines these candidates in order within a specified relative attempt budget. Unsupported ligand types are skipped, whereas model prediction errors, including false positives, remain counted. For a PDB entry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ligands, a relative attempt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attempts. We report the fraction of qualified ground-truth ligand instances successfully processed within this budget, termed the completion ratio, which is a function of</w:t>
      </w:r>
      <w:r>
        <w:rPr>
          <w:rFonts w:ascii="Times New Roman" w:hAnsi="Times New Roman"/>
          <w:sz w:val="24"/>
        </w:rPr>
        <w:t xml:space="preserve"> </w:t>
      </w:r>
      <m:oMath>
        <m:r>
          <m:t>ρ</m:t>
        </m:r>
      </m:oMath>
      <w:r>
        <w:rPr>
          <w:rFonts w:ascii="Times New Roman" w:hAnsi="Times New Roman"/>
          <w:sz w:val="24"/>
        </w:rPr>
        <w:t xml:space="preserve">. The detailed evaluation protocol is described in Methods</w:t>
      </w:r>
      <w:r>
        <w:rPr>
          <w:rFonts w:ascii="Times New Roman" w:hAnsi="Times New Roman"/>
          <w:sz w:val="24"/>
        </w:rPr>
        <w:t xml:space="preserve"> </w:t>
      </w:r>
      <w:r>
        <w:rPr>
          <w:rFonts w:ascii="Times New Roman" w:hAnsi="Times New Roman"/>
          <w:sz w:val="24"/>
        </w:rPr>
        <w:t xml:space="preserve">(</w:t>
      </w:r>
      <w:r>
        <w:rPr>
          <w:rStyle w:val="MDFIGREF_eJyrrk7LTC9KTbNKNUrVTUxOzi_NK8nMS9ctKs1JLdZNKUpMK6mtBQAQ2w6I"/>
          <w:rFonts w:ascii="Times New Roman" w:hAnsi="Times New Roman"/>
          <w:sz w:val="24"/>
        </w:rPr>
        <w:t xml:space="preserve">Fig. 15</w:t>
      </w:r>
      <w:r>
        <w:rPr>
          <w:rFonts w:ascii="Times New Roman" w:hAnsi="Times New Roman"/>
          <w:sz w:val="24"/>
        </w:rPr>
        <w:t xml:space="preserve">).</w:t>
      </w:r>
    </w:p>
    <w:bookmarkEnd w:id="44"/>
    <w:bookmarkStart w:id="48" w:name="X8b9bf2ea799954d7a0607b96c625e6fec49216c"/>
    <w:p>
      <w:pPr>
        <w:pStyle w:val="Heading3"/>
        <w:keepNext/>
        <w:spacing w:line="480" w:lineRule="auto"/>
        <w:ind w:firstLine="0"/>
      </w:pPr>
      <w:r>
        <w:rPr>
          <w:rFonts w:ascii="Times New Roman" w:hAnsi="Times New Roman"/>
          <w:sz w:val="24"/>
        </w:rPr>
        <w:t xml:space="preserve">Detection and identity matching across all ligand classes</w:t>
      </w:r>
    </w:p>
    <w:p>
      <w:pPr>
        <w:pStyle w:val="FirstParagraph"/>
        <w:spacing w:line="480" w:lineRule="auto" w:after="120"/>
        <w:ind w:firstLine="480"/>
      </w:pPr>
      <w:r>
        <w:rPr>
          <w:rFonts w:ascii="Times New Roman" w:hAnsi="Times New Roman"/>
          <w:sz w:val="24"/>
        </w:rPr>
        <w:t xml:space="preserve">For detection and identity matching across all ligand classes, increasing the relative attempt budget from 100% to 300% raised mean instance completion. Completion increased from 51.1% to 58.8% for CA2 and from 62.1% to 67.5% for GT</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9</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rPr>
          <w:rFonts w:ascii="Times New Roman" w:hAnsi="Times New Roman"/>
          <w:sz w:val="24"/>
        </w:rPr>
        <w:t xml:space="preserve"> </w:t>
      </w:r>
      <w:r>
        <w:rPr>
          <w:rFonts w:ascii="Times New Roman" w:hAnsi="Times New Roman"/>
          <w:sz w:val="24"/>
        </w:rPr>
        <w:t xml:space="preserve">(</w:t>
      </w:r>
      <w:r>
        <w:rPr>
          <w:rStyle w:val="MDFIGREF_eJyrrk7LTC9KTbMqLi0o0E01StVNzs8tyEktyczP003MyamtBQDpjA1c"/>
          <w:rFonts w:ascii="Times New Roman" w:hAnsi="Times New Roman"/>
          <w:sz w:val="24"/>
        </w:rPr>
        <w:t xml:space="preserve">Fig. 9</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9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M1uGzcQfhVCQIAWkLSSbMXVIjXgyE5QwDGM1D11C4PijrSEuSRDciUrSQ899Scp0EPRS4Eei578ACmQPkLfoaiTPEaH5EqWk7RIkyaoARuQdzj8-HE4M8sd8l5DU1c0UtJ4-v2vpz8-TnZ6O6cnP_35-MHpycMnX313-ujnttbuuNEkDQNWiSnkHj1Ms-wTC8ZmWbc_6A6ybBvskVM6y56dPHryw5fPvv366S-_ZVmkzbJ_4JW0BM9pK61b0IMWU6UW4LiSLSqEhzCqffOwpOao0gj-tHFtlmpyXApp09mHWaNwTqdJYlkBJbVtpUFi51iZkjpsmkkyUybXRjGwlstJKZJep3M1KSmXWWPTs-2b8PjYzQWQWTqlAnk_KukEhnF6j0sWCI89AtC7XIIN-pXWLLWaMpwGeQSqkKi33skadfN2JbyKVk7VnDXcj-QyR9iYG-t249BODcKeaEC0NP6r5RtKOovjqGWc45gDXoIlezAjt1VJZZi62JL2pX2BNVJ4slFoj4I4jGsLTzTz7tIxvfWF6Xfj8GiI8zEJy_GWa8wZMFNA6A0-aZMBuU92ZN5yqgW4zLNAEzUmgk8oKnNwwILOt3gO0nE3JxhHVniPUmaUtQQzYzGCCWot2LY3w0Vj3qp_3sAL5F3Z-FZiSC-Ah5tkG7Sy3EFODDDQThlL3rt58H6bjJpkaOZqy6my18JOJa0zFXsOOtzqIfa6cgUmqMy5z0VLuGSiyoF0NwZkf_s6wbQ0HBfhE7DX7Hd6i2zkSEolbjNtsuXIqMon4C6A385nZpmqW_hhqDfY8pU2WDUecwbbilUlOmexvbrC21FGUrf5-xfXkjLME1RJPdH_1StNApQVIeA87DlqBvllNCNpMKJMrd-dazt1MDPoYoj367j_8fCbc4H_u4RY6vdepv53Mz64UKn2zj4Nb2AjK6iZ4G5JnYNSO9skswIMXADL39H2tneZcv-xjbjtugKIrMoRGF8mAn5n-QhL9Oe_tyghlDq_W7fJQbFAtBaI1XrTUHyQmnxsKFtUodi2lwl9mdBvL6GX-RqSlRogtmL-WDquhJjX5x-_yYYTksHK1In6_AN5m9w0AJL4Y6RNGDdM1EXoSFRQq3NOS6xcLbGFmoUMx1eiBXcqKkgJNJ6sSkCYbGLla7U_cE1BzAP7nGjFvas8asoVctZMvgzKOdbMfFTFqhgX0O9caZJux__HFLoSRq15IZa-zx3L_PF1s_EZnumXZ_lGf2Ntbb3bP-4N1q5-sNG9f01zluKvzmb6StmcGzp74VxfMyDX63DgMFcZWNKY136tDAgaHFZwbX26-BXK6T5nPll8g-1N9w3G3jI_yzBNwu1KEi5XkvpuJVm9Wkn8FxiXKSscwrU7HPMJGmsPD-_M1q9aWyVRcdjxf4O2lhNcCM-RfX0DJX_rgvL-Yo0YmqUdZyZFA6n34K5iR5ZINSyonMCWMQq__TS3SNL1fIuOkE1RiZxnQ1cmiKzJC04YCa5vcCH8jF4O46NAscAzgK-AF8eIuY2zhP5zjSUoOc_nW1ajh0ezWypfvXyh6fHYlP6JgSPH8bqFzJfXLkHvu-HYEeb763RFFPOwOmtrMKLCc0GqjXU3QZXEC4j2b3Oclk53bcSeSQu075cqmp6ciTQVkvjbrkG_148sL0X5uOyEy6IVmaaOcrFQr8pC1v6yehkX_G02Pv8LGdPqkQ" id="46" name="Picture"/>
            <a:graphic>
              <a:graphicData uri="http://schemas.openxmlformats.org/drawingml/2006/picture">
                <pic:pic>
                  <pic:nvPicPr>
                    <pic:cNvPr descr="C:/Users/15919/Desktop/论文草稿/temp/manuscript_figures__qw46ssu/figure_000009.png" id="47" name="Picture"/>
                    <pic:cNvPicPr>
                      <a:picLocks noChangeArrowheads="1" noChangeAspect="1"/>
                    </pic:cNvPicPr>
                  </pic:nvPicPr>
                  <pic:blipFill>
                    <a:blip r:embed="rId45"/>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End-to-end completion of ligand detection and identity matching across all ligand classes.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Deposited receptors (GT). b, CryoAtom2-reconstructed receptors (CA2). Both conditions include 179 PDB entries and 2,502 ligand instances. At budget</w:t>
      </w:r>
      <w:r>
        <w:rPr>
          <w:rFonts w:ascii="Times New Roman" w:hAnsi="Times New Roman"/>
          <w:sz w:val="24"/>
        </w:rPr>
        <w:t xml:space="preserve"> </w:t>
      </w:r>
      <m:oMath>
        <m:r>
          <m:t>ρ</m:t>
        </m:r>
      </m:oMath>
      <w:r>
        <w:rPr>
          <w:rFonts w:ascii="Times New Roman" w:hAnsi="Times New Roman"/>
          <w:sz w:val="24"/>
        </w:rPr>
        <w:t xml:space="preserve">, each PDB is allowed</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where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eligible ligand instances in that PDB. The ligand-instance completion ratio is the fraction of these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instances that are successfully detected and correctly matched. Green lines/circles and blue lines/diamonds show the PDB-equal mean and median, respectively. Grey points and violins show PDB distributions at 50%, 100%, 200% and 300% budgets.</w:t>
      </w:r>
    </w:p>
    <w:bookmarkEnd w:id="48"/>
    <w:bookmarkStart w:id="52" w:name="end-to-end-modelling-of-small-molecules"/>
    <w:p>
      <w:pPr>
        <w:pStyle w:val="Heading3"/>
        <w:keepNext/>
        <w:spacing w:line="480" w:lineRule="auto"/>
        <w:ind w:firstLine="0"/>
      </w:pPr>
      <w:r>
        <w:rPr>
          <w:rFonts w:ascii="Times New Roman" w:hAnsi="Times New Roman"/>
          <w:sz w:val="24"/>
        </w:rPr>
        <w:t xml:space="preserve">End-to-end modelling of small molecules</w:t>
      </w:r>
    </w:p>
    <w:p>
      <w:pPr>
        <w:pStyle w:val="FirstParagraph"/>
        <w:spacing w:line="480" w:lineRule="auto" w:after="120"/>
        <w:ind w:firstLine="480"/>
      </w:pPr>
      <w:r>
        <w:rPr>
          <w:rFonts w:ascii="Times New Roman" w:hAnsi="Times New Roman"/>
          <w:sz w:val="24"/>
        </w:rP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480" w:lineRule="auto" w:after="120"/>
        <w:ind w:firstLine="480"/>
      </w:pPr>
      <w:r>
        <w:rPr>
          <w:rFonts w:ascii="Times New Roman" w:hAnsi="Times New Roman"/>
          <w:sz w:val="24"/>
        </w:rPr>
        <w:t xml:space="preserve">For top-1 poses with RMSD &lt;3 Å, mean completion for CA2 was 47.7% and 53.0% at 100% and 300% budgets, respectively. The corresponding GT values were 60.1% and 61.1%</w:t>
      </w:r>
      <w:r>
        <w:rPr>
          <w:rFonts w:ascii="Times New Roman" w:hAnsi="Times New Roman"/>
          <w:sz w:val="24"/>
        </w:rPr>
        <w:t xml:space="preserve"> </w:t>
      </w:r>
      <w:r>
        <w:rPr>
          <w:rFonts w:ascii="Times New Roman" w:hAnsi="Times New Roman"/>
          <w:sz w:val="24"/>
        </w:rPr>
        <w:t xml:space="preserve">(</w:t>
      </w:r>
      <w:r>
        <w:rPr>
          <w:rStyle w:val="MDFIGREF_eJyrrk7LTC9KTbMqLi0o0E01StVNzs8tyEktyczP0y3OTczJqa0FAAWgDjw"/>
          <w:rFonts w:ascii="Times New Roman" w:hAnsi="Times New Roman"/>
          <w:sz w:val="24"/>
        </w:rPr>
        <w:t xml:space="preserve">Fig. 10</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0 | End-to-end completion of small molecules. 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F9rG0cQ_yqDIKUBSSfJVlJfUoMj26FgB-GkUOgVs7ob6Rbf7W5293RWmkL7UPonKRRa-lLoY-lTPkAK6UM_QL9DqJN8jM7unWQ5TkpI0xBDBNLN7f72t7Mzs6uZ_bShmE0bITQe__j70c8Pgq3e1tG9X_5-cOfo3t1HX39_dP_XtlL2sNGEhkYjsykmDj0Io-hDg9pEUbe_1l2Lok00B1aqKHpy7_6jn7568t03j3_7I4oq2ij6F17BcnScplCqhT1sxTJXGVouRcvkLMscKGbKNeznTB8UiuAfNy6XoYLDPBMmLN-PGqm1KgwCE6eYM9OWCgV1jqXOmaVXPQlKqROlZYzGcDHJs6DX6VwIcsZF1Fh3bEPtH9ftLEMowynLiPeDnE1wUE3vcMEc4bAHiGqHCzS-femtDI1iMU1DPBk1EVFvtRM16te9InNNrLCy5qzhbiQXCcHGXBu7Uw3t1CDqqRSoNK1-anlbCmtoHDMx5zTmBs_RwDUsYU_mTPip0w1hntnnWSsKRzby7yMvDqq1-SepeWthmN7qXPVb1fBKEet84pfjNFcUNainSNBtPmlDtwO3YUskLStbSOs89jXIMXh3Qy4zjMlApu1obUX-v673P6wKzoCOWxmf8BHF9FP2BaapjaIuwxaheVIg0EZhgsenoCW3KQgJzMrcQM79HgKNGbN8imAl2BS5BovkUGbJeXD1RhMSVNJwiwlBY1RWagPvZji25y_BYKPXhIGeyQ3i7JEGsRTG6iJ-Cq75JLXn28CaoyZNpFpd2Nu9vgnvZPYS9ODPLy9B3ExOd634LmyOmzBCY1ty3Op3Tg2dNNPn9LvxbdjhZJDkOuIBbNP-e_j5D7vMxik9rxQ8S0BxhW5LQ8kMIDmoYE5_CuiLF2G4eQVQWM3Jgi7UNfdmW129AJnnBU5LZoLOpCYUvm8o4wO0H-3KrGULQUx0hAEZEWHJQLRf2rAt9RkIvpMbJA8lmS-tz-38hc5tOR7zGDdlXORky_mpbVOnR16R2vVrl4PcT-Nbgnqes2GUN1NHnJ8aixAlCZDF6SKsZ7RzimSC9gws5zXF4V9fvA3EV6wj_RHJ0pwBRV9LiHkl8tDYGeS1nsqr6duquBvWwfjw7rcnovF5UfqcU_SlZrzzNv5fsY5xyvSEEgFmXXJFkQI3UlzOnDXlYBK4cSkYiCIfofbZdBG7WmdcZEtHeMKnPCGy0ewMrPxt7vAMo1BirREFuKTTBDHXsU_lKZccZZTAV80JZ7kUiQGTytLHBf1nt_BmwSipRyY8PkeCiSYllkZh7PL4bEYJscYZJZzcLdahplwS5xJTwikJ5aPCxR5BLPQ755pU2blfMvA5P2rFCVVy8FQd5-rX9cYnVNQvivlG_-LKymq3f7i61nmv2-_cvqx4HNK39jV7IV8nmpWnCvuagbhehoOG2ULjgka_dNBVlRIZLOXKOIe7FYrpkMfO3e4lvjYdaiqYTOxmGYSBv2AJ_P1KUF-vBMu3K4E7DmiZoqAhXNn9MZ-QsmZ__2a5esGYIqga9jv06XbaSkxoITwh9n6XJHfxQvJwvkZyzUKPY5UqBZmz4A6VJoaKwEHKxAQ3tJZliiwxROL55h0-mqpG4jweujRBxRqcMsIo42qbZ5mb0cl-fCUw-rfRSKWXE8eE2aNZfP-JlwUoOMnn3owiC4_KXZks376w8HCsc_ckx8Fhdd8Cs8W9i2933XhoIXb9dbgSKnawOmprMKH8c06qtLFXUebgBEJTGWeradl0x1TYY2mOdv1CVqoHxyILMwHuumut3-tXLM9EOb9s-duiJZmFlvFs3rwsZ6K2l1ELv9B3vfHZP_8L7tM" id="50" name="Picture"/>
            <a:graphic>
              <a:graphicData uri="http://schemas.openxmlformats.org/drawingml/2006/picture">
                <pic:pic>
                  <pic:nvPicPr>
                    <pic:cNvPr descr="C:/Users/15919/Desktop/论文草稿/temp/manuscript_figures__qw46ssu/figure_000010.png" id="51" name="Picture"/>
                    <pic:cNvPicPr>
                      <a:picLocks noChangeArrowheads="1" noChangeAspect="1"/>
                    </pic:cNvPicPr>
                  </pic:nvPicPr>
                  <pic:blipFill>
                    <a:blip r:embed="rId49"/>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End-to-end completion of small molecules.</w:t>
      </w:r>
      <w:r>
        <w:rPr>
          <w:rFonts w:ascii="Times New Roman" w:hAnsi="Times New Roman"/>
          <w:sz w:val="24"/>
        </w:rPr>
        <w:t xml:space="preserve"> </w:t>
      </w:r>
      <w:r>
        <w:rPr>
          <w:rFonts w:ascii="Times New Roman" w:hAnsi="Times New Roman"/>
          <w:sz w:val="24"/>
        </w:rPr>
        <w:t xml:space="preserve">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instances in each PDB entry,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The completion ratio is the number of successful instances divided by</w:t>
      </w:r>
      <w:r>
        <w:rPr>
          <w:rFonts w:ascii="Times New Roman" w:hAnsi="Times New Roman"/>
          <w:sz w:val="24"/>
        </w:rPr>
        <w:t xml:space="preserve"> </w:t>
      </w:r>
      <m:oMath>
        <m:r>
          <m:t>N</m:t>
        </m:r>
      </m:oMath>
      <w:r>
        <w:rPr>
          <w:rFonts w:ascii="Times New Roman" w:hAnsi="Times New Roman"/>
          <w:sz w:val="24"/>
        </w:rPr>
        <w:t xml:space="preserve">. Green lines/circles and blue lines/diamonds show the PDB-equal mean and median, respectively; grey points and violins show the distributions at 50%, 100%, 200% and 300% budgets.</w:t>
      </w:r>
    </w:p>
    <w:bookmarkEnd w:id="52"/>
    <w:bookmarkStart w:id="56" w:name="fair-comparison-with-emap2lig"/>
    <w:p>
      <w:pPr>
        <w:pStyle w:val="Heading3"/>
        <w:keepNext/>
        <w:spacing w:line="480" w:lineRule="auto"/>
        <w:ind w:firstLine="0"/>
      </w:pPr>
      <w:r>
        <w:rPr>
          <w:rFonts w:ascii="Times New Roman" w:hAnsi="Times New Roman"/>
          <w:sz w:val="24"/>
        </w:rPr>
        <w:t xml:space="preserve">Fair comparison with Emap2lig</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1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WN2OGzUUfhUrEgikJJNkk5adlpW22d2q0rZabYu4YNDK8TgZKx7btT3JphQJLhDi76qIGxDXXPEAVIILHoB3qETbx-Ace5LNdrdSVUrFSr1Ixj_nfOfXM-f4k4ahvmikpPHk-4d___h7stvbffLwweOff2ob448bTdKw3Gk54zkSDdMs-8Bx67KsO9jsbmbZDndTr02WPf31t8c_fPn0u6-e_PJHlkW0LDsLp2jJEYr3eGssVN4aVULmrVxYznyL6dJQK5xWSMuo8UKro5LaaWWA66PG1XlqyHEplUvn72eNwnuTJoljBS-pa2vDFWyOtS2ph6mdJHNtc2M1484JNSll0ut0LiUlFSprbCHagQ2P234hOZmnMyoB90ZJJ3wYxSNdsqRA2innZl8o7sL62myeOkMZiAEcCUsA1Ot3skY9PawkLtHK6xqzJkdOcAWQjYV1fj-ydmoi2IkKRE3jXz3e08o74KOOCQE8d0TJHbnF5-RQl1QF0cW2cufuBdQIgWCjMB-F4TDaFp6g5r2VY3r9per3IntUxGNMgjmouYGc4XbGgXRPTNqk2yX3yR7Y8eizB9cw3ATjLDl6l4wWZF9MqMpvcz4l8CS7JTU9KcCLwhdAajE1iAxERORceeEFd22U76MW_6lj_oX55ALouAtsFQ2xEIrJKgdB_f4lwsHjYgSHwpVUylapJWeQwUDkPFVwoAhlVjtHLl8mBzvXCMTFYljI7ilGsmQEegtrkO-St0C8yCtO4IhSJdgZ0hB6pQn1unSkFOH0EsslKDrjxGviCy4s8RwSiXoUS5ujJmyYVpcY7XCFNfMmGXHnlwv7fOxDilkxKTyklqxK5QD2bgXvH1JwOlu0UCQ5vHl7hzgwiHm5IG9Lf6VH_vwi8OJkAyZN4HMGUhMUkos2-RBUFopwygoyqvIJ9yCcWkdcoeerpG6uZ3uwcmgXehtk9sApTINzbcU8Bx0548ZrAHhnuN17txmEP8ucczBNPEN-_Q5Qjy2YIdFgcFawt02urdQB72HQWmA5Bb9zqtbO5BXCrdV2TXvDLcNzB0HdHLwFKeAheah0UUq30-x0OmSktQftqUHHUARzRI-DqJgiEIE9gKUhXcBUD29hCOsFOCOnz3GZ6pvw2ay_Q-ULfYf0eCwY39GsKsGRy6-QL1CPMoL6rVtXkzKICStJLediOOX_qaOnFg7iyTurefIOiWf0AtjwmpLvr8_fZN8r1hG-aXruLoCiryXFghJl6vyClLWeJqgZ1mLeHdTJ-Ojbr09l4_Oy9DmvzpeS-M2b_H_FOrICX785VHFYp0GmkOFJ4S9cKA1UVY64xULBVQzbtHEl12rMXMyg5M-hTbgA9r4pE85xCpadbDqxuoL6lUH1KnIs2EM3UCdIrG115Vt63HIM_ELAKfx8HjcVxvD8dPuH_fFW4-MmaawuCxqDyxsb_e7geOO93mZ_0L1_1QiWwq8OCH2hgOSWzs9cHNQIgPUyGMDmK8tXMPalMyPWMtAzFMI4jApaqGYHgmFMcMJuzQ4sdAmOoZRhmoTrmyTc3iT15U2yfneT4EkFM1UFLML4o7GYgLLu6OjuvH_JuSqJC0dQ8Xe63bZREzBE5IA-GMAI73dgfLC0EUKz0uNEpaggRQ_uazZ10OoNC6omfBsajzn0YbkDkC7iLTdCqxUXAfOEdU1ARE3OOGEkhdkTUqJEHAf-OKDwIbDcswKHY6A5BClh_9RkRZScxsOZM-Dh0fymztdvd2h6PLYlPiFw5Dje55DF6l4nrOM2P4ZGFPfrdAUqhmR11tbEQBWeS1Bjnb_OoffCAVDjFUkUS2f7LtKejJbUuK90VD05GdJUKoLXaZuD3iCinEuFcdkNt1FrY5pCGyeXy-tjqWp_ObOKC_y2Gp_-A9UQDno" id="54" name="Picture"/>
            <a:graphic>
              <a:graphicData uri="http://schemas.openxmlformats.org/drawingml/2006/picture">
                <pic:pic>
                  <pic:nvPicPr>
                    <pic:cNvPr descr="C:/Users/15919/Desktop/论文草稿/temp/manuscript_figures__qw46ssu/figure_000011.png" id="55" name="Picture"/>
                    <pic:cNvPicPr>
                      <a:picLocks noChangeArrowheads="1" noChangeAspect="1"/>
                    </pic:cNvPicPr>
                  </pic:nvPicPr>
                  <pic:blipFill>
                    <a:blip r:embed="rId53"/>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Find–Build completion by LigandSeek and Emap2lig with correct ligand identities.</w:t>
      </w:r>
      <w:r>
        <w:rPr>
          <w:rFonts w:ascii="Times New Roman" w:hAnsi="Times New Roman"/>
          <w:sz w:val="24"/>
        </w:rPr>
        <w:t xml:space="preserve"> </w:t>
      </w:r>
      <w:r>
        <w:rPr>
          <w:rFonts w:ascii="Times New Roman" w:hAnsi="Times New Roman"/>
          <w:sz w:val="24"/>
        </w:rPr>
        <w:t xml:space="preserve">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successful instances divided by</w:t>
      </w:r>
      <w:r>
        <w:rPr>
          <w:rFonts w:ascii="Times New Roman" w:hAnsi="Times New Roman"/>
          <w:sz w:val="24"/>
        </w:rPr>
        <w:t xml:space="preserve"> </w:t>
      </w:r>
      <m:oMath>
        <m:r>
          <m:t>N</m:t>
        </m:r>
      </m:oMath>
      <w:r>
        <w:rPr>
          <w:rFonts w:ascii="Times New Roman" w:hAnsi="Times New Roman"/>
          <w:sz w:val="24"/>
        </w:rPr>
        <w:t xml:space="preserve">. Background candidates are charged, and out-of-scope foreground candidates are skipped.</w:t>
      </w:r>
    </w:p>
    <w:p>
      <w:pPr>
        <w:pStyle w:val="BodyText"/>
        <w:spacing w:line="480" w:lineRule="auto" w:after="120"/>
        <w:ind w:firstLine="480"/>
      </w:pPr>
      <w:r>
        <w:rPr>
          <w:rFonts w:ascii="Times New Roman" w:hAnsi="Times New Roman"/>
          <w:sz w:val="24"/>
        </w:rP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rPr>
          <w:rFonts w:ascii="Times New Roman" w:hAnsi="Times New Roman"/>
          <w:sz w:val="24"/>
        </w:rPr>
        <w:t xml:space="preserve"> </w:t>
      </w:r>
      <w:r>
        <w:rPr>
          <w:rFonts w:ascii="Times New Roman" w:hAnsi="Times New Roman"/>
          <w:sz w:val="24"/>
        </w:rPr>
        <w:t xml:space="preserve">(</w:t>
      </w:r>
      <w:r>
        <w:rPr>
          <w:rStyle w:val="MDFIGREF_eJyrrk7LTC9KTbNKNUrVTcvMS9FNKs3MSdFNySxKTS7RTc7PLUgsyizOz6utBQBnQxC1"/>
          <w:rFonts w:ascii="Times New Roman" w:hAnsi="Times New Roman"/>
          <w:sz w:val="24"/>
        </w:rPr>
        <w:t xml:space="preserve">Fig. 11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assuming an ideal, always-successful Match stage for both methods. We then evaluated both pipelines on the same 77 PDBs containing 446 eligible small-molecule instances. LigandSeek used PocketXMol-tuned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11</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10</w:t>
      </w:r>
      <w:r>
        <w:rPr>
          <w:rFonts w:ascii="Times New Roman" w:hAnsi="Times New Roman"/>
          <w:sz w:val="24"/>
        </w:rPr>
        <w:t xml:space="preserve"> </w:t>
      </w:r>
      <w:r>
        <w:rPr>
          <w:rFonts w:ascii="Times New Roman" w:hAnsi="Times New Roman"/>
          <w:sz w:val="24"/>
        </w:rPr>
        <w:t xml:space="preserve">shows that the full LigandSeek pipeline still outperforms it.</w:t>
      </w:r>
    </w:p>
    <w:p>
      <w:pPr>
        <w:pStyle w:val="BodyText"/>
        <w:spacing w:line="480" w:lineRule="auto" w:after="120"/>
        <w:ind w:firstLine="480"/>
      </w:pPr>
      <w:r>
        <w:rPr>
          <w:rFonts w:ascii="Times New Roman" w:hAnsi="Times New Roman"/>
          <w:sz w:val="24"/>
        </w:rPr>
        <w:t xml:space="preserve">Full completion curves and per-PDB distributions are shown in Supplementary Fig. 5.</w:t>
      </w:r>
    </w:p>
    <w:bookmarkEnd w:id="56"/>
    <w:bookmarkStart w:id="63" w:name="representative-cases"/>
    <w:p>
      <w:pPr>
        <w:pStyle w:val="Heading3"/>
        <w:keepNext/>
        <w:spacing w:line="480" w:lineRule="auto"/>
        <w:ind w:firstLine="0"/>
      </w:pPr>
      <w:r>
        <w:rPr>
          <w:rFonts w:ascii="Times New Roman" w:hAnsi="Times New Roman"/>
          <w:sz w:val="24"/>
        </w:rPr>
        <w:t xml:space="preserve">Representative cases</w:t>
      </w:r>
    </w:p>
    <w:p>
      <w:pPr>
        <w:pStyle w:val="FirstParagraph"/>
        <w:spacing w:line="480" w:lineRule="auto" w:after="120"/>
        <w:ind w:firstLine="480"/>
      </w:pPr>
      <w:r>
        <w:rPr>
          <w:rFonts w:ascii="Times New Roman" w:hAnsi="Times New Roman"/>
          <w:sz w:val="24"/>
        </w:rPr>
        <w:t xml:space="preserve">We selected two representative cases to illustrate the end-to-end pipeline for all-atom small-molecule pose reconstruction, using CryoAtom2-reconstructed rather than deposited receptor structures as input</w:t>
      </w:r>
      <w:r>
        <w:rPr>
          <w:rFonts w:ascii="Times New Roman" w:hAnsi="Times New Roman"/>
          <w:sz w:val="24"/>
        </w:rPr>
        <w:t xml:space="preserve"> </w:t>
      </w:r>
      <w:r>
        <w:rPr>
          <w:rFonts w:ascii="Times New Roman" w:hAnsi="Times New Roman"/>
          <w:sz w:val="24"/>
        </w:rPr>
        <w:t xml:space="preserve">(</w:t>
      </w:r>
      <w:r>
        <w:rPr>
          <w:rStyle w:val="MDFIGREF_eJyrrk7LTC9KTbNKNUrVTcvJL9e1zMlJ14HzjA3SE2trAQ6KDYk"/>
          <w:rFonts w:ascii="Times New Roman" w:hAnsi="Times New Roman"/>
          <w:sz w:val="24"/>
        </w:rPr>
        <w:t xml:space="preserve">Figs. 12–13</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9LLG</w:t>
      </w:r>
      <w:r>
        <w:rPr>
          <w:rFonts w:ascii="Times New Roman" w:hAnsi="Times New Roman"/>
          <w:sz w:val="24"/>
        </w:rPr>
        <w:t xml:space="preserve"> </w:t>
      </w:r>
      <w:r>
        <w:rPr>
          <w:rFonts w:ascii="Times New Roman" w:hAnsi="Times New Roman"/>
          <w:sz w:val="24"/>
        </w:rPr>
        <w:t xml:space="preserve">(</w:t>
      </w:r>
      <w:r>
        <w:rPr>
          <w:rStyle w:val="MDFIGREF_eJyrrk7LTC9KTbNKNUrVTcvJL9e1zMlJr60FAHM2CSQ"/>
          <w:rFonts w:ascii="Times New Roman" w:hAnsi="Times New Roman"/>
          <w:sz w:val="24"/>
        </w:rPr>
        <w:t xml:space="preserve">Fig.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2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F9vHDUQ_yrWPVFpL3t3TSJyKpXSaxIhrlWUFoTEocjZnd0z8drG9t6fUqTyAq0K4gFUCfHEE5WQKC-8gFS-S0Wafgxm1nt_2uahgPJwUiJd1p4Z_2Y8Htvj-axhuB82uqxx-v2fJz8-jXc6O89_uv_304cn3z558fOXJ18_ap7-8uTk_m_4__nvX5w-fnj64P7h6PKaMX7SiFjDgtNyBClh9LqDwfsOrBsM2htb7a3B4Dq4Y6_NYPDi1z-eP_rqxTcPTh__NRgEZYPBv9ameAGkCTrQzKQeN7ekzImRcOOFVocFt8elQZGPGlfGXcMmhVSuO35n0Bh6b7px7JIhFNytaQMKmZm2BffYtXk81jY1VifgnFB5IeNOq7UZF1yoQeMqoe3b6nPLTyWwcXfEJeK-W_AcekE9ycUzCZI9BjB9ocBV9KXeuOsMT1AN4kgkIVBnvTVo1N2DUhKJl17XmLU4jRQqRbFMWOf7YWirFkJOMCBYGv7V7V2tvMNx3CVC4JjbogDHbsKYHeiCq0r1cFu5M3kVaoAgsKOqf1Q1e2Fu1RfNvDN3TGd9ZvqdMDwY4mlNqumQ5QbjB-wIUHRX5Gus3WF32Y5Km143AedptANmIdHKeVsm5GSmM7bd3nmvz9466G62OpeYUGyr399bIy0-6DrX6f-PSbIVsHEXwyhiN7hPhozjGlwrhUxZCkp7YH2RI-0WwHEzyC0RFkOWiNXoCNfQGcD1G4GcXizUee8l_uzed8kKeDliOxMDFhUozyXFmBN-GjE_BNazU73tddFpLu1_SOk0AOO1ZW_1tnHzU7iReAp4VoiXBfZuX7qItfOOtXQFPByxHsaJSLmn2yTHW8QxZKeiiqijKQtn2Vj4ITvSEzQDb-Fjup69rqJL6gTjcyRg7BheQUSyIh_6i_A67_CCFfBwtAI2rnYUZCvg4YjtWV1S7mpLH_KgxRkjq4xodvhEzA31WDHuq6PE4bOGaSvoFqxSXBJ1eOLAxfly3pGVr4CHI7YtJaOXq6BrSGCe5IUXqC6zuliE0P71awxZdlpfZcSok3J80-aK0iymS09PzJSeTUeyvAixcw-xIWbjn6yAlyP2QUhwsipy9nVyDP7DG1o2fUkB47VptsOTnOdcYEoeEqFZvu1KmyFoxOCMpL460xZJOqG88ipktxFsSYdwzHJ1jMJVrYPSNFJX6BTks3s_oJ14grpEW1hjB7UNjnELLLcAKpprRiCk1M8Kz20Ovj6IiaVRSY62LM5q0h6AaH-cYXhgeuAyGH3G2wOBS4cEreSUZUiwkIEFlaC0cEby4JBMKHQR4HqV1ckfVVQcrGAE5FFjpEAY7sK8cdOa8pWskwo-VxsfR6wxr341NjrtrdZ6a7J5eePy2-323StGJF381QUx_kYFsdTy8WuVsBoBsf4LBg7zpYU5jH0jEJ1lIoHrOikppgKSBVl5zA2FcRTnNEM12hcJRTl1kpujfYtr4xLS0uvGVW0yrkqTcV2ZjJcLk7GHwuA0VYlDhPGHmcjRWHd4-Ol4fdO5Mg6Ewxb-tTtrRuU4EZEi-sYWtqg6ie392RxxaeZ2LEwKBnLyYB93GC617g0pBLet1eMh8NQhSJvwZoxqkwQiYi6GLikIqPFrTjiSwuwKKUkjtavxocG7-KYGvB2omaEMbiJf8V_qzIXil_Go5wx6-Gh8A0NzqVzJu5PMFvTFhWOTUKBk03mhsqITGyaeJcSvwxWlEhKro7YWRqnqOwM1eBjsAd571EBp3HM-qOWjvguyi9ZMmvhKB9PjRZN3pWJUH97a6GwElDOlaF12qvLqUpt3PRdyRl5uS1X7y5n5uuDvauPzfwAOwhd_" id="58" name="Picture"/>
            <a:graphic>
              <a:graphicData uri="http://schemas.openxmlformats.org/drawingml/2006/picture">
                <pic:pic>
                  <pic:nvPicPr>
                    <pic:cNvPr descr="C:/Users/15919/Desktop/论文草稿/temp/manuscript_figures__qw46ssu/figure_000012.png" id="59" name="Picture"/>
                    <pic:cNvPicPr>
                      <a:picLocks noChangeArrowheads="1" noChangeAspect="1"/>
                    </pic:cNvPicPr>
                  </pic:nvPicPr>
                  <pic:blipFill>
                    <a:blip r:embed="rId57"/>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End-to-end pose reconstruction of A1EKL (R:602) in 9LLG.</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480" w:lineRule="auto" w:after="120"/>
        <w:ind w:firstLine="480"/>
      </w:pPr>
      <w:r>
        <w:rPr>
          <w:rFonts w:ascii="Times New Roman" w:hAnsi="Times New Roman"/>
          <w:sz w:val="24"/>
        </w:rPr>
        <w:t xml:space="preserve">In 30GA</w:t>
      </w:r>
      <w:r>
        <w:rPr>
          <w:rFonts w:ascii="Times New Roman" w:hAnsi="Times New Roman"/>
          <w:sz w:val="24"/>
        </w:rPr>
        <w:t xml:space="preserve"> </w:t>
      </w:r>
      <w:r>
        <w:rPr>
          <w:rFonts w:ascii="Times New Roman" w:hAnsi="Times New Roman"/>
          <w:sz w:val="24"/>
        </w:rPr>
        <w:t xml:space="preserve">(</w:t>
      </w:r>
      <w:r>
        <w:rPr>
          <w:rStyle w:val="MDFIGREF_eJyrrk7LTC9KTbNKNUrVTcvJL9c1NkhPrK0FAHHACNc"/>
          <w:rFonts w:ascii="Times New Roman" w:hAnsi="Times New Roman"/>
          <w:sz w:val="24"/>
        </w:rPr>
        <w:t xml:space="preserve">Fig. 13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rPr>
          <w:rFonts w:ascii="Times New Roman" w:hAnsi="Times New Roman"/>
          <w:sz w:val="24"/>
        </w:rPr>
        <w:drawing>
          <wp:inline>
            <wp:extent cx="5219040" cy="6353811"/>
            <wp:effectExtent b="0" l="0" r="0" t="0"/>
            <wp:docPr descr="Fig. 13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1rHDcQ_1fEPSWw5707f1AfaeBysU3BMSZxS6FbjLw7u6ferqRK2vtIU0hf2oS09KElUPrUpwYKTV_60kL6v4Q6zp_RmdXeRxI_pC1-OLDhvNLM6Dej0UgazWcNzd2g0WWNs-__PP3xWbjT2Xnx04O_nz06_fbpy5-_PP36cfPsl6enD37D_y9-_-LsyaOzhw-OR-trWrtJI2ANA1blI0gIo9-NovctGBtF7c3t9nYU3QQ7dEpH0ctf_3jx-KuX3zw8e_JXFHllUfSvtUleAGmCDjTTXI2b662MEyPm2gkljwtuhqVGkY8a18ZdzSZFLm13_G7UGDinu2Fo4wEU3K4pDRKZqTIFd9g1WThWJtFGxWCtkFmRh51WayssuJBR4zqhHZrqc8dNc2Dj7ojniPtewTPoe_UkF84kSHYIoPeFBFvRl3rjrtU8RjWIkyMJgTobrahRd2-XOZF46VSNWYvTSCETFEuFsW7fD23VQsjxBnhL_b-6vauksziO21gIHHMkCrDsAMbstiq4rFQPetKey6tQPQSBnVT9k6rZ93Orvmjm3bljOhsz0-_64d4QR2tSTYcs1xg_YEaAorsiW2PtdXaP7cik6VQTcJ5aWWAGYiWtM2VMTmYqZb2jQ3bloLvRal9lQrL11l5vjXQ4r-lCJ_8_pshWwMZdDKKA3eIuHjCOK3CjFHnCEpDKAdsXGdLuAAybXm6JsBiyRKxGB7iCVgOu3gjy6eVCXfRO4s_vfxevgJcDtjPRYFCBdDynGLPCTQPmBsD6Zqp6ThWd5tLuh4TOAtBOGXal3-tcrcKNxBPAk0K8KrB3dPUy1i461pIV8HDA-hgnIuGO7pIM7xDLkJ2IKqJOpsyfZWPhBuxETdAMvIOHdDk7VUVXrmKMz5GAsWV4ARHJiGzgLsProsMLVsDDwQrYuNpRkK6AhwO2Z1RJmaspnc-DFmdMXmVEs8MnYHagxpJxVx0lFh81TBlBt2CV4JKoxRMHLs-Xi46sbAU8HLBenjN6twq6hgTmSU44gepSo4pFCB3evMGQZab1VUaMOinHF20mKc1iqnT0wEzo2XSSl5chduEhNsBs_JMV8HLAPvAJTlpFzqGKh-A-vKXypispYJzSzbZ_kPOMC0zJfSI0y7dtaVIEDRick9RXZ9oiSSeU116F7AjBlnQIywyXQxSuKh2UppG6QiWQP7__A9qJJ6iNlYE1dru2wTJugGUGQAZzzQiElPpZ4bjJwNUHMbEUKsnQlsVZTdo9EO2Pcwz3TAc890af8_ZA4NIiQcl8ylIkGEjBgIxRWlidc--QVEh0EeB6ldXJH1RUHCxhBORRrXOBMNz6eeOm1eVrWSeVe643Pg5YY177amx22tutjdZka31z_Z12-941LeIu_upyGH-rclhi-PiNOliNgFj_BQOHudLAHMa8FYhKUxHDTRWXFFMeyUBeecwOhLYU5zRDOToUMUU5deKD0aHBtbExael3w6oyGVaFybCuS4bLZcnQQaFxmrLEIUK741RkaKw9Pv50vLFlbRl6wnEL_9rra1pmOBGRIPpWB1tUm8T24WyOuDRzOxYmeQM5eXAfdxguteoPKAR7xqjxAHhiEaRNeDNGtUk8ETEXQ5cUeNTwDSec5ELvijwnjdSuxvsG7-KbGvB2oGaKMriJXMV_pTMXCl_Fo57V6OGT8S0MzaViJe9OUlPQFxeOTXx5kk3nZcqKTmyYOBYTvw5XlIpJrI7aWhilqu8MVONhsAd471EDpXHPOa-Wj_atl120ZtLEl8qbHi6avJtLRtXh7c3Opkc5V4rWZacqri61eddxkc_Iy-1c1v6yer4u-Lve-PwfeR4WkQ" id="61" name="Picture"/>
            <a:graphic>
              <a:graphicData uri="http://schemas.openxmlformats.org/drawingml/2006/picture">
                <pic:pic>
                  <pic:nvPicPr>
                    <pic:cNvPr descr="C:/Users/15919/Desktop/论文草稿/temp/manuscript_figures__qw46ssu/figure_000013.png" id="62" name="Picture"/>
                    <pic:cNvPicPr>
                      <a:picLocks noChangeArrowheads="1" noChangeAspect="1"/>
                    </pic:cNvPicPr>
                  </pic:nvPicPr>
                  <pic:blipFill>
                    <a:blip r:embed="rId60"/>
                    <a:stretch>
                      <a:fillRect/>
                    </a:stretch>
                  </pic:blipFill>
                  <pic:spPr bwMode="auto">
                    <a:xfrm>
                      <a:off x="0" y="0"/>
                      <a:ext cx="5219040" cy="635381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End-to-end pose reconstruction of ATP (N:401) in 30GA.</w:t>
      </w:r>
      <w:r>
        <w:rPr>
          <w:rFonts w:ascii="Times New Roman" w:hAnsi="Times New Roman"/>
          <w:sz w:val="24"/>
        </w:rPr>
        <w:t xml:space="preserve"> </w:t>
      </w:r>
      <w:r>
        <w:rPr>
          <w:rFonts w:ascii="Times New Roman" w:hAnsi="Times New Roman"/>
          <w:sz w:val="24"/>
        </w:rPr>
        <w:t xml:space="preserve">Find, Match and Build denote LigandSeek-Find, LigandSeek-Match and LigandSeek-Build, respectively.</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Experimental density, the CryoAtom2-reconstructed receptor (CA2) and the deposited receptor (GT).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Candidate regions predicted by Find, with boxes linking to the local views on the right.</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Ground-truth and predicted ligand regions, shown at the same orientation and scale.</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All chemical identities from the same PDB entry, with the Match assignment outlined in blue.</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63"/>
    <w:bookmarkEnd w:id="64"/>
    <w:bookmarkEnd w:id="65"/>
    <w:bookmarkStart w:id="66"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ascii="Times New Roman" w:hAnsi="Times New Roman"/>
          <w:sz w:val="24"/>
        </w:rP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480" w:lineRule="auto" w:after="120"/>
        <w:ind w:firstLine="480"/>
      </w:pPr>
      <w:r>
        <w:rPr>
          <w:rFonts w:ascii="Times New Roman" w:hAnsi="Times New Roman"/>
          <w:sz w:val="24"/>
        </w:rP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PocketXMol-tuned,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480" w:lineRule="auto" w:after="120"/>
        <w:ind w:firstLine="480"/>
      </w:pPr>
      <w:r>
        <w:rPr>
          <w:rFonts w:ascii="Times New Roman" w:hAnsi="Times New Roman"/>
          <w:sz w:val="24"/>
        </w:rP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66"/>
    <w:bookmarkStart w:id="124" w:name="methods"/>
    <w:p>
      <w:pPr>
        <w:pStyle w:val="Heading1"/>
        <w:keepNext/>
        <w:spacing w:line="480" w:lineRule="auto"/>
        <w:ind w:firstLine="0"/>
      </w:pPr>
      <w:r>
        <w:rPr>
          <w:rFonts w:ascii="Times New Roman" w:hAnsi="Times New Roman"/>
          <w:sz w:val="24"/>
        </w:rPr>
        <w:t xml:space="preserve">Methods</w:t>
      </w:r>
    </w:p>
    <w:bookmarkStart w:id="70" w:name="framework-formulation"/>
    <w:p>
      <w:pPr>
        <w:pStyle w:val="Heading2"/>
        <w:keepNext/>
        <w:spacing w:line="480" w:lineRule="auto"/>
        <w:ind w:firstLine="0"/>
      </w:pPr>
      <w:r>
        <w:rPr>
          <w:rFonts w:ascii="Times New Roman" w:hAnsi="Times New Roman"/>
          <w:sz w:val="24"/>
        </w:rPr>
        <w:t xml:space="preserve">Framework formulation</w:t>
      </w:r>
    </w:p>
    <w:p>
      <w:pPr>
        <w:pStyle w:val="FirstParagraph"/>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The 50-dimensional receptor-atom features and the multi-view density bank are the main inputs shared by Find, Match and Build.</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ascii="Times New Roman" w:hAnsi="Times New Roman"/>
          <w:sz w:val="24"/>
        </w:rPr>
        <w:t xml:space="preserve">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CaptionedFigure"/>
        <w:keepNext/>
        <w:spacing w:line="240" w:lineRule="auto" w:before="0" w:after="0"/>
        <w:ind w:firstLine="0"/>
        <w:jc w:val="center"/>
      </w:pPr>
      <w:r>
        <w:rPr>
          <w:rFonts w:ascii="Times New Roman" w:hAnsi="Times New Roman"/>
          <w:sz w:val="24"/>
        </w:rPr>
        <w:drawing>
          <wp:inline>
            <wp:extent cx="5733415" cy="4549160"/>
            <wp:effectExtent b="0" l="0" r="0" t="0"/>
            <wp:docPr descr="Fig. 14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uses the binding site, SMILES identity, pocket and density information with downstream docking tools to reconstruct an all-atom ligand pose. PocketXMol-tuned is the default option." title="MDPPTFIG_eJztWN1uHDUUfhVrr0Da3cnPJpBRiZQmDaq0qaIkRUgMijwez461HtvYnv0pReod4oIrEDe8AFc8AEjwLki0fQzOsWc2myYXVVEQkRop659z_J1jnz-Pv-4Z6qteSnqvfvz975__SE64r3Tx8gUOhsb4Ra9PepY7LWe8QL7DNMueOm5dlm3u7G3uZdkRd1OvTZa9_vW3lz99-_r771798meWRcAsuxVR0ZojWikmgzowDGYfI4FR44VWlzW108YAyxe9B_PUkEUtlUvnn2S9ynuTJoljFa-pG2rDFRBLbWvqYWgnyVzbwljNuHNCTWqZbG1s7CY1FSrr7SPaqQ3NuV9KTubpjErAfVzTCT-M4pEv6TiQd8q5GQvFXZhfG81TZygDMYAjYQqAtkYbWa8dnjUSp2jjdYvZsuNKoQpgK4V1fhyXbrRMQIkKRE3jT9s_1so7WEcdEwLWXIiaO_KEz8mZrqkKoqsD5W6lBdQIgWB5GOehexj3FlpQ89nqYLZGnerP4vKoiEebhO2g5gZ8hNsZB9ZjMRmSzRF5DoI92GJKqGWV8Jz5xnJCYdcF9ZSUUs-JLomvOBmLCcyfcz4lx7D5v178cEI9q6B92AhZkNKCwyDWEDXwUY87PZp_cQDkv9LxTsxH78EJ94OXEK6YLkBGwUGiXwbXspxx47UlQsWcAOFMvCaQEIqGccKASYD_cSKDz8GCCbA48kEude5g2T3Y_3UPq1MN0VK1ObJ-qxypy1IwfqRZU3PluwzpK9SjTt15Y7Dl-BMkBI2AwCypW6UL3eSSD5y3DZsG_QM9sIExOjbTkfwytC2S3z_DkY9z4TdIc1Fyy7P9Jk8gJ52GSbv1_6udPgwuSZuFkILaJSk5xRzohuQCkt7KVXmd86LAIlJxeuXWuBb2a6TAgdc1rAjgyge3BpgDsn1EZnrBJXk6gHQb1pxqoTy5sFQ5NDm35LNtwnSdQ5G5NVYGAbxTLpDKxkJetq0umKNrkKbIgTQVPday2AbDY_kEjCWTqHvNWUWVcDWBXG9BwxmXS6CXWCkh_nghWFCbUGa1cyTX4LQ5qAlu6t4n9rtO7Pk9OOE-CXWfMEnh8lai468SNviNI-DQfGJ1Ay4KgZNTNm1HIdBgzQT8q83sAnzdCy94FygxRFbhRaRmVLbhAy5phhA6Gn25T4KHQlx4hIAKgnjHYnwC9cGDAlg_jGbTNuKwdFwrOHMBrn0z7uEeA4EWahfg6HD1uSpI16M75oh2D8tWa9vFsSO1lpw1kloC6phqJaNPzk8eDy4eHRFJ1aSBS-2baYOsHc4SAGFHCx9UFiqo5OCyRU6PHoJQb5d4eGvHHlJUG83X7AEVNqc57Ngv-0EE0w4zjmPaYn5oK_CaRQdeD1Z61Gh45EP-9_ng7vMBuwcn3Cfx_t84kICuCb4fCiXUMB48ffzofOXL_fWY7ArdjbAs9FzBpYXTGrpsimgewt7hLRGqmVbhRoMghEoZa2ObUYx2HJMECvn8RMuBbxSHWIq6FbykjfREh2_I6w6MH3P7vS_hC3f1Zdvb-Wh7e7S5sxjtjPY2dzeePzCCpfDfXuToW13kCkvnN75yWwTAehcMWIaZZAVj3_lGabmMKacSxqHlcYdqdioY2h0H7Mns1MLJwcURpBymSXhbSMLTQtK-LCTrDwuJ57WBbaoGlgjjL0sxwbR3efnVfLTrXJPEicsN-NscDY2awEZEAei7e9DDlwfon3Z7BNOs9LhSKSpI8QTHYG1HlD6Ey82EH1ir55gCHYBsIl5HcAY-cOMkYF4tXRMQUZMbh5BLYY6FlCgR-2F97NAUXRUyI3ZL4DkDKYF-bbBiSq7j4cgZOOF8fgLlY-0pgqaL0tbYguHIIj4-kOXqESLMIxlrA0N6667AxZCt9dqWGbhC24Ea6_ynHCIHO8ANgeWjWDobu8h71eu4ka50VD256tJUQuwCyt7O1k5EuZUL7fIoPJ2s9WnqqZDd9Hpfqva8nFnZBf73e9_8A3OTo0Y" id="68" name="Picture"/>
            <a:graphic>
              <a:graphicData uri="http://schemas.openxmlformats.org/drawingml/2006/picture">
                <pic:pic>
                  <pic:nvPicPr>
                    <pic:cNvPr descr="C:/Users/15919/Desktop/论文草稿/temp/manuscript_figures__qw46ssu/figure_000014.png" id="69" name="Picture"/>
                    <pic:cNvPicPr>
                      <a:picLocks noChangeArrowheads="1" noChangeAspect="1"/>
                    </pic:cNvPicPr>
                  </pic:nvPicPr>
                  <pic:blipFill>
                    <a:blip r:embed="rId67"/>
                    <a:stretch>
                      <a:fillRect/>
                    </a:stretch>
                  </pic:blipFill>
                  <pic:spPr bwMode="auto">
                    <a:xfrm>
                      <a:off x="0" y="0"/>
                      <a:ext cx="5733415" cy="454916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Network architecture and data flow of the LigandSeek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 encodes density and receptor information to produce candidate ligand regions (blobs in</w:t>
      </w:r>
      <w:r>
        <w:rPr>
          <w:rFonts w:ascii="Times New Roman" w:hAnsi="Times New Roman"/>
          <w:sz w:val="24"/>
        </w:rPr>
        <w:t xml:space="preserve"> </w:t>
      </w:r>
      <m:oMath>
        <m:sSup>
          <m:e>
            <m:r>
              <m:rPr>
                <m:scr m:val="double-struck"/>
                <m:sty m:val="p"/>
              </m:rPr>
              <m:t>R</m:t>
            </m:r>
          </m:e>
          <m:sup>
            <m:r>
              <m:t>3</m:t>
            </m:r>
          </m:sup>
        </m:sSup>
      </m:oMath>
      <w:r>
        <w:rPr>
          <w:rFonts w:ascii="Times New Roman" w:hAnsi="Times New Roman"/>
          <w:sz w:val="24"/>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Build uses the binding site, SMILES identity, pocket and density information with downstream docking tools to reconstruct an all-atom ligand pose. PocketXMol-tuned is the default option.</w:t>
      </w:r>
    </w:p>
    <w:p>
      <w:pPr>
        <w:pStyle w:val="BodyText"/>
        <w:spacing w:line="480" w:lineRule="auto" w:after="120"/>
        <w:ind w:firstLine="480"/>
      </w:pPr>
      <w:r>
        <w:rPr>
          <w:rStyle w:val="MDFIGREF_eJyrrk7LTC9KTbMCUrq5qSUZ-Sm6ZRa1tQB3TQld"/>
          <w:rFonts w:ascii="Times New Roman" w:hAnsi="Times New Roman"/>
          <w:sz w:val="24"/>
        </w:rPr>
        <w:t xml:space="preserve">Fig. 14</w:t>
      </w:r>
      <w:r>
        <w:rPr>
          <w:rFonts w:ascii="Times New Roman" w:hAnsi="Times New Roman"/>
          <w:sz w:val="24"/>
        </w:rPr>
        <w:t xml:space="preserve"> </w:t>
      </w:r>
      <w:r>
        <w:rPr>
          <w:rFonts w:ascii="Times New Roman" w:hAnsi="Times New Roman"/>
          <w:sz w:val="24"/>
        </w:rPr>
        <w:t xml:space="preserve">shows the network architecture and information flow of the Find–Match–Build framework. The three stages share density and receptor-atom input representations. They sequentially localise ligand regions</w:t>
      </w:r>
      <w:r>
        <w:rPr>
          <w:rFonts w:ascii="Times New Roman" w:hAnsi="Times New Roman"/>
          <w:sz w:val="24"/>
        </w:rPr>
        <w:t xml:space="preserve"> </w:t>
      </w:r>
      <w:r>
        <w:rPr>
          <w:rFonts w:ascii="Times New Roman" w:hAnsi="Times New Roman"/>
          <w:sz w:val="24"/>
        </w:rPr>
        <w:t xml:space="preserve">(</w:t>
      </w:r>
      <w:r>
        <w:rPr>
          <w:rStyle w:val="MDFIGREF_eJyrrk7LTC9KTbMCUrq5qSUZ-Sm6ZRY1ibW1AIsmCjo"/>
          <w:rFonts w:ascii="Times New Roman" w:hAnsi="Times New Roman"/>
          <w:sz w:val="24"/>
        </w:rPr>
        <w:t xml:space="preserve">Fig. 14a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match candidate regions to ligand identities</w:t>
      </w:r>
      <w:r>
        <w:rPr>
          <w:rFonts w:ascii="Times New Roman" w:hAnsi="Times New Roman"/>
          <w:sz w:val="24"/>
        </w:rPr>
        <w:t xml:space="preserve"> </w:t>
      </w:r>
      <w:r>
        <w:rPr>
          <w:rFonts w:ascii="Times New Roman" w:hAnsi="Times New Roman"/>
          <w:sz w:val="24"/>
        </w:rPr>
        <w:t xml:space="preserve">(</w:t>
      </w:r>
      <w:r>
        <w:rPr>
          <w:rStyle w:val="MDFIGREF_eJyrrk7LTC9KTbMCUrq5qSUZ-Sm6ZRY1SbW1AIspCjs"/>
          <w:rFonts w:ascii="Times New Roman" w:hAnsi="Times New Roman"/>
          <w:sz w:val="24"/>
        </w:rPr>
        <w:t xml:space="preserve">Fig. 14b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reconstruct all-atom ligand poses</w:t>
      </w:r>
      <w:r>
        <w:rPr>
          <w:rFonts w:ascii="Times New Roman" w:hAnsi="Times New Roman"/>
          <w:sz w:val="24"/>
        </w:rPr>
        <w:t xml:space="preserve"> </w:t>
      </w:r>
      <w:r>
        <w:rPr>
          <w:rFonts w:ascii="Times New Roman" w:hAnsi="Times New Roman"/>
          <w:sz w:val="24"/>
        </w:rPr>
        <w:t xml:space="preserve">(</w:t>
      </w:r>
      <w:r>
        <w:rPr>
          <w:rStyle w:val="MDFIGREF_eJyrrk7LTC9KTbMCUrq5qSUZ-Sm6ZRY1ybW1AIssCjw"/>
          <w:rFonts w:ascii="Times New Roman" w:hAnsi="Times New Roman"/>
          <w:sz w:val="24"/>
        </w:rPr>
        <w:t xml:space="preserve">Fig. 14c</w:t>
      </w:r>
      <w:r>
        <w:rPr>
          <w:rFonts w:ascii="Times New Roman" w:hAnsi="Times New Roman"/>
          <w:sz w:val="24"/>
        </w:rPr>
        <w:t xml:space="preserve">).</w:t>
      </w:r>
    </w:p>
    <w:bookmarkEnd w:id="70"/>
    <w:bookmarkStart w:id="71" w:name="data-sources-and-sample-partitioning"/>
    <w:p>
      <w:pPr>
        <w:pStyle w:val="Heading2"/>
        <w:keepNext/>
        <w:spacing w:line="480" w:lineRule="auto"/>
        <w:ind w:firstLine="0"/>
      </w:pPr>
      <w:r>
        <w:rPr>
          <w:rFonts w:ascii="Times New Roman" w:hAnsi="Times New Roman"/>
          <w:sz w:val="24"/>
        </w:rPr>
        <w:t xml:space="preserve">Data sources and sample partitioning</w:t>
      </w:r>
    </w:p>
    <w:p>
      <w:pPr>
        <w:pStyle w:val="FirstParagraph"/>
        <w:spacing w:line="480" w:lineRule="auto" w:after="120"/>
        <w:ind w:firstLine="480"/>
      </w:pPr>
      <w:r>
        <w:rPr>
          <w:rFonts w:ascii="Times New Roman" w:hAnsi="Times New Roman"/>
          <w:sz w:val="24"/>
        </w:rPr>
        <w:t xml:space="preserve">We downloaded cryo-EM density maps from EMDB</w:t>
      </w:r>
      <w:r>
        <w:rPr>
          <w:rStyle w:val="MDCITE_eJyLdigvL0hJMjIwMknNTUmKBQAvPwV9"/>
          <w:rFonts w:ascii="Times New Roman" w:hAnsi="Times New Roman"/>
          <w:sz w:val="24"/>
          <w:vertAlign w:val="superscript"/>
        </w:rPr>
        <w:t xml:space="preserve">15</w:t>
      </w:r>
      <w:r>
        <w:rPr>
          <w:rFonts w:ascii="Times New Roman" w:hAnsi="Times New Roman"/>
          <w:sz w:val="24"/>
        </w:rPr>
        <w:t xml:space="preserve"> </w:t>
      </w:r>
      <w:r>
        <w:rPr>
          <w:rFonts w:ascii="Times New Roman" w:hAnsi="Times New Roman"/>
          <w:sz w:val="24"/>
        </w:rPr>
        <w:t xml:space="preserve">and their corresponding PDB structures from the RCSB database</w:t>
      </w:r>
      <w:r>
        <w:rPr>
          <w:rStyle w:val="MDCITE_eJyLdkhKLcpNzDMyMDAoSEmKBQAuqQVm"/>
          <w:rFonts w:ascii="Times New Roman" w:hAnsi="Times New Roman"/>
          <w:sz w:val="24"/>
          <w:vertAlign w:val="superscript"/>
        </w:rPr>
        <w:t xml:space="preserve">16</w:t>
      </w:r>
      <w:r>
        <w:rPr>
          <w:rFonts w:ascii="Times New Roman" w:hAnsi="Times New Roman"/>
          <w:sz w:val="24"/>
        </w:rP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480" w:lineRule="auto" w:after="120"/>
        <w:ind w:firstLine="480"/>
      </w:pPr>
      <w:r>
        <w:rPr>
          <w:rFonts w:ascii="Times New Roman" w:hAnsi="Times New Roman"/>
          <w:sz w:val="24"/>
        </w:rPr>
        <w:t xml:space="preserve">We used sequence comparisons performed by MMseqs2</w:t>
      </w:r>
      <w:r>
        <w:rPr>
          <w:rStyle w:val="MDCITE_eJyLdiguSc3MS01PTy0yMjA0z80tTi0sNooFAG7cCLg"/>
          <w:rFonts w:ascii="Times New Roman" w:hAnsi="Times New Roman"/>
          <w:sz w:val="24"/>
          <w:vertAlign w:val="superscript"/>
        </w:rPr>
        <w:t xml:space="preserve">17</w:t>
      </w:r>
      <w:r>
        <w:rPr>
          <w:rFonts w:ascii="Times New Roman" w:hAnsi="Times New Roman"/>
          <w:sz w:val="24"/>
        </w:rPr>
        <w:t xml:space="preserve"> </w:t>
      </w:r>
      <w:r>
        <w:rPr>
          <w:rFonts w:ascii="Times New Roman" w:hAnsi="Times New Roman"/>
          <w:sz w:val="24"/>
        </w:rP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480" w:lineRule="auto" w:after="120"/>
        <w:ind w:firstLine="480"/>
      </w:pPr>
      <w:r>
        <w:rPr>
          <w:rFonts w:ascii="Times New Roman" w:hAnsi="Times New Roman"/>
          <w:sz w:val="24"/>
        </w:rP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480" w:lineRule="auto" w:after="120"/>
        <w:ind w:firstLine="480"/>
      </w:pPr>
      <w:r>
        <w:rPr>
          <w:rFonts w:ascii="Times New Roman" w:hAnsi="Times New Roman"/>
          <w:sz w:val="24"/>
        </w:rP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480" w:lineRule="auto" w:after="120"/>
        <w:ind w:firstLine="480"/>
      </w:pPr>
      <w:r>
        <w:rPr>
          <w:rFonts w:ascii="Times New Roman" w:hAnsi="Times New Roman"/>
          <w:sz w:val="24"/>
        </w:rPr>
        <w:t xml:space="preserve">For Find, the training set supplied training metadata, including local</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480" w:lineRule="auto" w:after="120"/>
        <w:ind w:firstLine="480"/>
      </w:pPr>
      <w:r>
        <w:rPr>
          <w:rFonts w:ascii="Times New Roman" w:hAnsi="Times New Roman"/>
          <w:sz w:val="24"/>
        </w:rP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480" w:lineRule="auto" w:after="120"/>
        <w:ind w:firstLine="480"/>
      </w:pPr>
      <w:r>
        <w:rPr>
          <w:rFonts w:ascii="Times New Roman" w:hAnsi="Times New Roman"/>
          <w:sz w:val="24"/>
        </w:rPr>
        <w:t xml:space="preserve">Build used individual ligand instances as its basic training and testing unit. For PocketXMol fine-tuning, each training, validation and test split comprised all eligible small molecules from its corresponding original partition. End-to-end testing was restricted to the original 179 PDB entries, as were Find, Match and Build testing. This shared test scope prevented data leakage between training and testing.</w:t>
      </w:r>
    </w:p>
    <w:bookmarkEnd w:id="71"/>
    <w:bookmarkStart w:id="74" w:name="unified-input-representation"/>
    <w:p>
      <w:pPr>
        <w:pStyle w:val="Heading2"/>
        <w:keepNext/>
        <w:spacing w:line="480" w:lineRule="auto"/>
        <w:ind w:firstLine="0"/>
      </w:pPr>
      <w:r>
        <w:rPr>
          <w:rFonts w:ascii="Times New Roman" w:hAnsi="Times New Roman"/>
          <w:sz w:val="24"/>
        </w:rPr>
        <w:t xml:space="preserve">Unified input representation</w:t>
      </w:r>
    </w:p>
    <w:p>
      <w:pPr>
        <w:pStyle w:val="FirstParagraph"/>
        <w:spacing w:line="480" w:lineRule="auto" w:after="120"/>
        <w:ind w:firstLine="480"/>
      </w:pPr>
      <w:r>
        <w:rPr>
          <w:rFonts w:ascii="Times New Roman" w:hAnsi="Times New Roman"/>
          <w:sz w:val="24"/>
        </w:rP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72" w:name="multi-view-density-bank"/>
    <w:p>
      <w:pPr>
        <w:pStyle w:val="Heading3"/>
        <w:keepNext/>
        <w:spacing w:line="480" w:lineRule="auto"/>
        <w:ind w:firstLine="0"/>
      </w:pPr>
      <w:r>
        <w:rPr>
          <w:rFonts w:ascii="Times New Roman" w:hAnsi="Times New Roman"/>
          <w:sz w:val="24"/>
        </w:rPr>
        <w:t xml:space="preserve">Multi-view density bank</w:t>
      </w:r>
    </w:p>
    <w:p>
      <w:pPr>
        <w:pStyle w:val="FirstParagraph"/>
        <w:spacing w:line="480" w:lineRule="auto" w:after="120"/>
        <w:ind w:firstLine="480"/>
      </w:pPr>
      <w:r>
        <w:rPr>
          <w:rFonts w:ascii="Times New Roman" w:hAnsi="Times New Roman"/>
          <w:sz w:val="24"/>
        </w:rPr>
        <w:t xml:space="preserve">The multi-view density bank organises complementary views of density into a local representation shared by Find, Match and Build.</w:t>
      </w:r>
    </w:p>
    <w:p>
      <w:pPr>
        <w:pStyle w:val="BodyText"/>
        <w:spacing w:line="480" w:lineRule="auto" w:after="120"/>
        <w:ind w:firstLine="480"/>
      </w:pPr>
      <w:r>
        <w:rPr>
          <w:rFonts w:ascii="Times New Roman" w:hAnsi="Times New Roman"/>
          <w:sz w:val="24"/>
        </w:rPr>
        <w:t xml:space="preserve">Using Chimera</w:t>
      </w:r>
      <w:r>
        <w:rPr>
          <w:rStyle w:val="MDCITE_eJyLdihILSlJLSpOzTMyMDBJzsjMTS1KjAUAZfYIcg"/>
          <w:rFonts w:ascii="Times New Roman" w:hAnsi="Times New Roman"/>
          <w:sz w:val="24"/>
          <w:vertAlign w:val="superscript"/>
        </w:rPr>
        <w:t xml:space="preserve">18</w:t>
      </w:r>
      <w:r>
        <w:rPr>
          <w:rFonts w:ascii="Times New Roman" w:hAnsi="Times New Roman"/>
          <w:sz w:val="24"/>
        </w:rPr>
        <w:t xml:space="preserve">, we generated a simulated receptor density map</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ascii="Times New Roman" w:hAnsi="Times New Roman"/>
          <w:sz w:val="24"/>
        </w:rPr>
        <w:t xml:space="preserve">from the input receptor structure on the same grid as the experimental cryo-EM density map</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480" w:lineRule="auto" w:after="120"/>
        <w:ind w:firstLine="480"/>
      </w:pPr>
      <w:r>
        <w:rPr>
          <w:rFonts w:ascii="Times New Roman" w:hAnsi="Times New Roman"/>
          <w:sz w:val="24"/>
        </w:rPr>
        <w:t xml:space="preserve">On the set of voxels containing receptor atoms,</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we fitted a scale coefficient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offset</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ascii="Times New Roman" w:hAnsi="Times New Roman"/>
          <w:sz w:val="24"/>
        </w:rP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ascii="Times New Roman" w:hAnsi="Times New Roman"/>
          <w:sz w:val="24"/>
        </w:rPr>
        <w:t xml:space="preserve">We also constructed a positive difference density map from the residual,</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ascii="Times New Roman" w:hAnsi="Times New Roman"/>
          <w:sz w:val="24"/>
        </w:rP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480" w:lineRule="auto" w:after="120"/>
        <w:ind w:firstLine="480"/>
      </w:pPr>
      <w:r>
        <w:rPr>
          <w:rFonts w:ascii="Times New Roman" w:hAnsi="Times New Roman"/>
          <w:sz w:val="24"/>
        </w:rPr>
        <w:t xml:space="preserve">For each base density field</w:t>
      </w:r>
      <w:r>
        <w:rPr>
          <w:rFonts w:ascii="Times New Roman" w:hAnsi="Times New Roman"/>
          <w:sz w:val="24"/>
        </w:rPr>
        <w:t xml:space="preserve"> </w:t>
      </w:r>
      <m:oMath>
        <m:r>
          <m:t>M</m:t>
        </m:r>
      </m:oMath>
      <w:r>
        <w:rPr>
          <w:rFonts w:ascii="Times New Roman" w:hAnsi="Times New Roman"/>
          <w:sz w:val="24"/>
        </w:rPr>
        <w:t xml:space="preserve">, we retained both unnormalised and z-score-normalised representations. For the latter, we first clipped</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to its 0.1st and 99.9th percentiles before applying z-score normalisation, reducing the influence of extreme density values on the numerical scale.</w:t>
      </w:r>
    </w:p>
    <w:p>
      <w:pPr>
        <w:pStyle w:val="BodyText"/>
        <w:spacing w:line="480" w:lineRule="auto" w:after="120"/>
        <w:ind w:firstLine="480"/>
      </w:pPr>
      <w:r>
        <w:rPr>
          <w:rFonts w:ascii="Times New Roman" w:hAnsi="Times New Roman"/>
          <w:sz w:val="24"/>
        </w:rP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ascii="Times New Roman" w:hAnsi="Times New Roman"/>
          <w:sz w:val="24"/>
        </w:rPr>
        <w:t xml:space="preserve">denote a three-dimensional Gaussian kernel with standard deviation</w:t>
      </w:r>
      <w:r>
        <w:rPr>
          <w:rFonts w:ascii="Times New Roman" w:hAnsi="Times New Roman"/>
          <w:sz w:val="24"/>
        </w:rPr>
        <w:t xml:space="preserve"> </w:t>
      </w:r>
      <m:oMath>
        <m:r>
          <m:t>σ</m:t>
        </m:r>
      </m:oMath>
      <w:r>
        <w:rPr>
          <w:rFonts w:ascii="Times New Roman" w:hAnsi="Times New Roman"/>
          <w:sz w:val="24"/>
        </w:rPr>
        <w:t xml:space="preserve">, and let</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denote three-dimensional convolution. Let</w:t>
      </w:r>
      <w:r>
        <w:rPr>
          <w:rFonts w:ascii="Times New Roman" w:hAnsi="Times New Roman"/>
          <w:sz w:val="24"/>
        </w:rPr>
        <w:t xml:space="preserve"> </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ascii="Times New Roman" w:hAnsi="Times New Roman"/>
          <w:sz w:val="24"/>
        </w:rPr>
        <w:t xml:space="preserve">denote the distance from voxel</w:t>
      </w:r>
      <w:r>
        <w:rPr>
          <w:rFonts w:ascii="Times New Roman" w:hAnsi="Times New Roman"/>
          <w:sz w:val="24"/>
        </w:rPr>
        <w:t xml:space="preserve"> </w:t>
      </w:r>
      <m:oMath>
        <m:r>
          <m:t>x</m:t>
        </m:r>
      </m:oMath>
      <w:r>
        <w:rPr>
          <w:rFonts w:ascii="Times New Roman" w:hAnsi="Times New Roman"/>
          <w:sz w:val="24"/>
        </w:rPr>
        <w:t xml:space="preserve"> </w:t>
      </w:r>
      <w:r>
        <w:rPr>
          <w:rFonts w:ascii="Times New Roman" w:hAnsi="Times New Roman"/>
          <w:sz w:val="24"/>
        </w:rPr>
        <w:t xml:space="preserve">to the nearest receptor-occupied voxel. With</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ascii="Times New Roman" w:hAnsi="Times New Roman"/>
          <w:sz w:val="24"/>
        </w:rPr>
        <w:t xml:space="preserve"> </w:t>
      </w:r>
      <w:r>
        <w:rPr>
          <w:rFonts w:ascii="Times New Roman" w:hAnsi="Times New Roman"/>
          <w:sz w:val="24"/>
        </w:rP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Each local region therefore yields a total of</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ascii="Times New Roman" w:hAnsi="Times New Roman"/>
          <w:sz w:val="24"/>
        </w:rPr>
        <w:t xml:space="preserve">density channels. These form a 56-channel tensor in the fixed order of base density field, normalisation scheme and spatial transformation.</w:t>
      </w:r>
    </w:p>
    <w:p>
      <w:pPr>
        <w:pStyle w:val="BodyText"/>
        <w:spacing w:line="480" w:lineRule="auto" w:after="120"/>
        <w:ind w:firstLine="480"/>
      </w:pPr>
      <w:r>
        <w:rPr>
          <w:rFonts w:ascii="Times New Roman" w:hAnsi="Times New Roman"/>
          <w:sz w:val="24"/>
        </w:rP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480" w:lineRule="auto" w:after="120"/>
        <w:ind w:firstLine="480"/>
      </w:pPr>
      <w:r>
        <w:rPr>
          <w:rFonts w:ascii="Times New Roman" w:hAnsi="Times New Roman"/>
          <w:sz w:val="24"/>
        </w:rPr>
        <w:t xml:space="preserve">All models were trained on local</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voxel blocks rather than entire density maps. The multi-view density bank was constructed within each block, producing a tensor</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ascii="Times New Roman" w:hAnsi="Times New Roman"/>
          <w:sz w:val="24"/>
        </w:rPr>
        <w:t xml:space="preserve">as the neural-network input. The local block size was</w:t>
      </w:r>
      <w:r>
        <w:rPr>
          <w:rFonts w:ascii="Times New Roman" w:hAnsi="Times New Roman"/>
          <w:sz w:val="24"/>
        </w:rPr>
        <w:t xml:space="preserve"> </w:t>
      </w:r>
      <m:oMath>
        <m:r>
          <m:t>L</m:t>
        </m:r>
        <m:r>
          <m:rPr>
            <m:sty m:val="p"/>
          </m:rPr>
          <m:t>=</m:t>
        </m:r>
        <m:r>
          <m:t>80</m:t>
        </m:r>
      </m:oMath>
      <w:r>
        <w:rPr>
          <w:rFonts w:ascii="Times New Roman" w:hAnsi="Times New Roman"/>
          <w:sz w:val="24"/>
        </w:rPr>
        <w:t xml:space="preserve"> </w:t>
      </w:r>
      <w:r>
        <w:rPr>
          <w:rFonts w:ascii="Times New Roman" w:hAnsi="Times New Roman"/>
          <w:sz w:val="24"/>
        </w:rPr>
        <w:t xml:space="preserve">for Find and Build and</w:t>
      </w:r>
      <w:r>
        <w:rPr>
          <w:rFonts w:ascii="Times New Roman" w:hAnsi="Times New Roman"/>
          <w:sz w:val="24"/>
        </w:rPr>
        <w:t xml:space="preserve"> </w:t>
      </w:r>
      <m:oMath>
        <m:r>
          <m:t>L</m:t>
        </m:r>
        <m:r>
          <m:rPr>
            <m:sty m:val="p"/>
          </m:rPr>
          <m:t>=</m:t>
        </m:r>
        <m:r>
          <m:t>48</m:t>
        </m:r>
      </m:oMath>
      <w:r>
        <w:rPr>
          <w:rFonts w:ascii="Times New Roman" w:hAnsi="Times New Roman"/>
          <w:sz w:val="24"/>
        </w:rPr>
        <w:t xml:space="preserve"> </w:t>
      </w:r>
      <w:r>
        <w:rPr>
          <w:rFonts w:ascii="Times New Roman" w:hAnsi="Times New Roman"/>
          <w:sz w:val="24"/>
        </w:rPr>
        <w:t xml:space="preserve">for Match.</w:t>
      </w:r>
    </w:p>
    <w:bookmarkEnd w:id="72"/>
    <w:bookmarkStart w:id="73" w:name="receptor-atom-features"/>
    <w:p>
      <w:pPr>
        <w:pStyle w:val="Heading3"/>
        <w:keepNext/>
        <w:spacing w:line="480" w:lineRule="auto"/>
        <w:ind w:firstLine="0"/>
      </w:pPr>
      <w:r>
        <w:rPr>
          <w:rFonts w:ascii="Times New Roman" w:hAnsi="Times New Roman"/>
          <w:sz w:val="24"/>
        </w:rPr>
        <w:t xml:space="preserve">Receptor-atom features</w:t>
      </w:r>
    </w:p>
    <w:p>
      <w:pPr>
        <w:pStyle w:val="FirstParagraph"/>
        <w:spacing w:line="480" w:lineRule="auto" w:after="120"/>
        <w:ind w:firstLine="480"/>
      </w:pPr>
      <w:r>
        <w:rPr>
          <w:rFonts w:ascii="Times New Roman" w:hAnsi="Times New Roman"/>
          <w:sz w:val="24"/>
        </w:rPr>
        <w:t xml:space="preserve">We represent receptor atoms uniformly across all three stages as</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receptor heavy atom</w:t>
      </w:r>
      <w:r>
        <w:rPr>
          <w:rFonts w:ascii="Times New Roman" w:hAnsi="Times New Roman"/>
          <w:sz w:val="24"/>
        </w:rPr>
        <w:t xml:space="preserve"> </w:t>
      </w:r>
      <m:oMath>
        <m:r>
          <m:t>i</m:t>
        </m:r>
      </m:oMath>
      <w:r>
        <w:rPr>
          <w:rFonts w:ascii="Times New Roman" w:hAnsi="Times New Roman"/>
          <w:sz w:val="24"/>
        </w:rPr>
        <w:t xml:space="preserve">. The corresponding feature vector</w:t>
      </w:r>
      <w:r>
        <w:rPr>
          <w:rFonts w:ascii="Times New Roman" w:hAnsi="Times New Roman"/>
          <w:sz w:val="24"/>
        </w:rPr>
        <w:t xml:space="preserve"> </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ascii="Times New Roman" w:hAnsi="Times New Roman"/>
          <w:sz w:val="24"/>
        </w:rPr>
        <w:t xml:space="preserve">describes its chemical properties, residue environment and local packing.</w:t>
      </w:r>
    </w:p>
    <w:p>
      <w:pPr>
        <w:pStyle w:val="BodyText"/>
        <w:spacing w:line="480" w:lineRule="auto" w:after="120"/>
        <w:ind w:firstLine="480"/>
      </w:pPr>
      <w:r>
        <w:rPr>
          <w:rFonts w:ascii="Times New Roman" w:hAnsi="Times New Roman"/>
          <w:sz w:val="24"/>
        </w:rP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ascii="Times New Roman" w:hAnsi="Times New Roman"/>
          <w:sz w:val="24"/>
        </w:rPr>
        <w:t xml:space="preserve">The element one-hot encoding</w:t>
      </w:r>
      <w:r>
        <w:rPr>
          <w:rFonts w:ascii="Times New Roman" w:hAnsi="Times New Roman"/>
          <w:sz w:val="24"/>
        </w:rPr>
        <w:t xml:space="preserve"> </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ascii="Times New Roman" w:hAnsi="Times New Roman"/>
          <w:sz w:val="24"/>
        </w:rPr>
        <w:t xml:space="preserve">represents C, N, O, S, P and other elements, in that order. The residue one-hot encoding</w:t>
      </w:r>
      <w:r>
        <w:rPr>
          <w:rFonts w:ascii="Times New Roman" w:hAnsi="Times New Roman"/>
          <w:sz w:val="24"/>
        </w:rPr>
        <w:t xml:space="preserve"> </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ascii="Times New Roman" w:hAnsi="Times New Roman"/>
          <w:sz w:val="24"/>
        </w:rP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480" w:lineRule="auto" w:after="120"/>
        <w:ind w:firstLine="480"/>
      </w:pPr>
      <w:r>
        <w:rPr>
          <w:rFonts w:ascii="Times New Roman" w:hAnsi="Times New Roman"/>
          <w:sz w:val="24"/>
        </w:rPr>
        <w:t xml:space="preserve">The eight features in</w:t>
      </w:r>
      <w:r>
        <w:rPr>
          <w:rFonts w:ascii="Times New Roman" w:hAnsi="Times New Roman"/>
          <w:sz w:val="24"/>
        </w:rPr>
        <w:t xml:space="preserve"> </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ascii="Times New Roman" w:hAnsi="Times New Roman"/>
          <w:sz w:val="24"/>
        </w:rPr>
        <w:t xml:space="preserve">describe the physicochemical categories of the atom’s residue. In order, they encode polar, non-polar, acidic, basic, neutral, positively charged, negatively charged and uncharged properties. The relative atomic mass</w:t>
      </w:r>
      <w:r>
        <w:rPr>
          <w:rFonts w:ascii="Times New Roman" w:hAnsi="Times New Roman"/>
          <w:sz w:val="24"/>
        </w:rPr>
        <w:t xml:space="preserve"> </w:t>
      </w:r>
      <m:oMath>
        <m:sSub>
          <m:e>
            <m:r>
              <m:t>m</m:t>
            </m:r>
          </m:e>
          <m:sub>
            <m:r>
              <m:t>i</m:t>
            </m:r>
          </m:sub>
        </m:sSub>
      </m:oMath>
      <w:r>
        <w:rPr>
          <w:rFonts w:ascii="Times New Roman" w:hAnsi="Times New Roman"/>
          <w:sz w:val="24"/>
        </w:rPr>
        <w:t xml:space="preserve"> </w:t>
      </w:r>
      <w:r>
        <w:rPr>
          <w:rFonts w:ascii="Times New Roman" w:hAnsi="Times New Roman"/>
          <w:sz w:val="24"/>
        </w:rPr>
        <w:t xml:space="preserve">is normalised by dividing by 32.</w:t>
      </w:r>
    </w:p>
    <w:p>
      <w:pPr>
        <w:pStyle w:val="BodyText"/>
        <w:spacing w:line="480" w:lineRule="auto" w:after="120"/>
        <w:ind w:firstLine="480"/>
      </w:pPr>
      <w:r>
        <w:rPr>
          <w:rFonts w:ascii="Times New Roman" w:hAnsi="Times New Roman"/>
          <w:sz w:val="24"/>
        </w:rPr>
        <w:t xml:space="preserve">The nine-dimensional component</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ascii="Times New Roman" w:hAnsi="Times New Roman"/>
          <w:sz w:val="24"/>
        </w:rPr>
        <w:t xml:space="preserve">describes the local packing environment around the atom. We partitioned its 0–18 Å neighbourhood into nine concentric shells:</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We counted the other receptor atoms in each shell,</w:t>
      </w:r>
      <w:r>
        <w:rPr>
          <w:rFonts w:ascii="Times New Roman" w:hAnsi="Times New Roman"/>
          <w:sz w:val="24"/>
        </w:rPr>
        <w:t xml:space="preserve"> </w:t>
      </w:r>
      <m:oMath>
        <m:sSub>
          <m:e>
            <m:r>
              <m:t>n</m:t>
            </m:r>
          </m:e>
          <m:sub>
            <m:r>
              <m:t>i</m:t>
            </m:r>
            <m:r>
              <m:rPr>
                <m:sty m:val="p"/>
              </m:rPr>
              <m:t>,</m:t>
            </m:r>
            <m:r>
              <m:t>k</m:t>
            </m:r>
          </m:sub>
        </m:sSub>
      </m:oMath>
      <w:r>
        <w:rPr>
          <w:rFonts w:ascii="Times New Roman" w:hAnsi="Times New Roman"/>
          <w:sz w:val="24"/>
        </w:rP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ascii="Times New Roman" w:hAnsi="Times New Roman"/>
          <w:sz w:val="24"/>
        </w:rPr>
        <w:t xml:space="preserve">The final feature</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ascii="Times New Roman" w:hAnsi="Times New Roman"/>
          <w:sz w:val="24"/>
        </w:rP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480" w:lineRule="auto" w:after="120"/>
        <w:ind w:firstLine="480"/>
      </w:pPr>
      <w:r>
        <w:rPr>
          <w:rFonts w:ascii="Times New Roman" w:hAnsi="Times New Roman"/>
          <w:sz w:val="24"/>
        </w:rP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73"/>
    <w:bookmarkEnd w:id="74"/>
    <w:bookmarkStart w:id="80" w:name="stage-1-find"/>
    <w:p>
      <w:pPr>
        <w:pStyle w:val="Heading2"/>
        <w:keepNext/>
        <w:spacing w:line="480" w:lineRule="auto"/>
        <w:ind w:firstLine="0"/>
      </w:pPr>
      <w:r>
        <w:rPr>
          <w:rFonts w:ascii="Times New Roman" w:hAnsi="Times New Roman"/>
          <w:sz w:val="24"/>
        </w:rPr>
        <w:t xml:space="preserve">Stage 1: Find</w:t>
      </w:r>
    </w:p>
    <w:bookmarkStart w:id="75" w:name="task-definition"/>
    <w:p>
      <w:pPr>
        <w:pStyle w:val="Heading3"/>
        <w:keepNext/>
        <w:spacing w:line="480" w:lineRule="auto"/>
        <w:ind w:firstLine="0"/>
      </w:pPr>
      <w:r>
        <w:rPr>
          <w:rFonts w:ascii="Times New Roman" w:hAnsi="Times New Roman"/>
          <w:sz w:val="24"/>
        </w:rPr>
        <w:t xml:space="preserve">Task definition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ascii="Times New Roman" w:hAnsi="Times New Roman"/>
          <w:sz w:val="24"/>
        </w:rPr>
        <w:t xml:space="preserve"> </w:t>
      </w:r>
      <w:r>
        <w:rPr>
          <w:rFonts w:ascii="Times New Roman" w:hAnsi="Times New Roman"/>
          <w:sz w:val="24"/>
        </w:rPr>
        <w:t xml:space="preserve">denote the set of non-hydrogen atoms from all ligands in a sample. Here,</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gives the world coordinates of ligand atom</w:t>
      </w:r>
      <w:r>
        <w:rPr>
          <w:rFonts w:ascii="Times New Roman" w:hAnsi="Times New Roman"/>
          <w:sz w:val="24"/>
        </w:rPr>
        <w:t xml:space="preserve"> </w:t>
      </w:r>
      <m:oMath>
        <m:r>
          <m:t>m</m:t>
        </m:r>
      </m:oMath>
      <w:r>
        <w:rPr>
          <w:rFonts w:ascii="Times New Roman" w:hAnsi="Times New Roman"/>
          <w:sz w:val="24"/>
        </w:rPr>
        <w:t xml:space="preserve">, and</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ascii="Times New Roman" w:hAnsi="Times New Roman"/>
          <w:sz w:val="24"/>
        </w:rPr>
        <w:t xml:space="preserve">denotes its element type. Let</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denote the physical coordinates of the centre of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Let</w:t>
      </w:r>
      <w:r>
        <w:rPr>
          <w:rFonts w:ascii="Times New Roman" w:hAnsi="Times New Roman"/>
          <w:sz w:val="24"/>
        </w:rP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ascii="Times New Roman" w:hAnsi="Times New Roman"/>
          <w:sz w:val="24"/>
        </w:rPr>
        <w:t xml:space="preserve">denote the van der Waals radius of element</w:t>
      </w:r>
      <w:r>
        <w:rPr>
          <w:rFonts w:ascii="Times New Roman" w:hAnsi="Times New Roman"/>
          <w:sz w:val="24"/>
        </w:rPr>
        <w:t xml:space="preserve"> </w:t>
      </w:r>
      <m:oMath>
        <m:sSub>
          <m:e>
            <m:r>
              <m:t>e</m:t>
            </m:r>
          </m:e>
          <m:sub>
            <m:r>
              <m:t>m</m:t>
            </m:r>
          </m:sub>
        </m:sSub>
      </m:oMath>
      <w:r>
        <w:rPr>
          <w:rFonts w:ascii="Times New Roman" w:hAnsi="Times New Roman"/>
          <w:sz w:val="24"/>
        </w:rPr>
        <w:t xml:space="preserve">. We define the ground-truth semantic label</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ascii="Times New Roman" w:hAnsi="Times New Roman"/>
          <w:sz w:val="24"/>
        </w:rP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ascii="Times New Roman" w:hAnsi="Times New Roman"/>
          <w:sz w:val="24"/>
        </w:rPr>
        <w:t xml:space="preserve">Given the receptor-atom set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defined above and the experimental cryo-EM density map</w:t>
      </w:r>
      <w:r>
        <w:rPr>
          <w:rFonts w:ascii="Times New Roman" w:hAnsi="Times New Roman"/>
          <w:sz w:val="24"/>
        </w:rPr>
        <w:t xml:space="preserve"> </w:t>
      </w:r>
      <m:oMath>
        <m:r>
          <m:t>M</m:t>
        </m:r>
      </m:oMath>
      <w:r>
        <w:rPr>
          <w:rFonts w:ascii="Times New Roman" w:hAnsi="Times New Roman"/>
          <w:sz w:val="24"/>
        </w:rPr>
        <w:t xml:space="preserve">, Find predicts ligand-region probabilities</w:t>
      </w:r>
      <w:r>
        <w:rPr>
          <w:rFonts w:ascii="Times New Roman" w:hAnsi="Times New Roman"/>
          <w:sz w:val="24"/>
        </w:rP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rPr>
          <w:rFonts w:ascii="Times New Roman" w:hAnsi="Times New Roman"/>
          <w:sz w:val="24"/>
        </w:rPr>
        <w:t xml:space="preserve">, and corresponding to</w:t>
      </w:r>
      <w:r>
        <w:rPr>
          <w:rFonts w:ascii="Times New Roman" w:hAnsi="Times New Roman"/>
          <w:sz w:val="24"/>
        </w:rPr>
        <w:t xml:space="preserve"> </w:t>
      </w:r>
      <m:oMath>
        <m:sSubSup>
          <m:e>
            <m:r>
              <m:t>Y</m:t>
            </m:r>
          </m:e>
          <m:sub>
            <m:r>
              <m:t>u</m:t>
            </m:r>
            <m:r>
              <m:rPr>
                <m:sty m:val="p"/>
              </m:rPr>
              <m:t>,</m:t>
            </m:r>
            <m:r>
              <m:t>v</m:t>
            </m:r>
            <m:r>
              <m:rPr>
                <m:sty m:val="p"/>
              </m:rPr>
              <m:t>,</m:t>
            </m:r>
            <m:r>
              <m:t>w</m:t>
            </m:r>
          </m:sub>
          <m:sup>
            <m:r>
              <m:rPr>
                <m:sty m:val="p"/>
              </m:rPr>
              <m:t>*</m:t>
            </m:r>
          </m:sup>
        </m:sSubSup>
      </m:oMath>
      <w:r>
        <w:rPr>
          <w:rFonts w:ascii="Times New Roman" w:hAnsi="Times New Roman"/>
          <w:sz w:val="24"/>
        </w:rPr>
        <w:t xml:space="preserve">, the value</w:t>
      </w:r>
      <w:r>
        <w:rPr>
          <w:rFonts w:ascii="Times New Roman" w:hAnsi="Times New Roman"/>
          <w:sz w:val="24"/>
        </w:rPr>
        <w:t xml:space="preserve"> </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ascii="Times New Roman" w:hAnsi="Times New Roman"/>
          <w:sz w:val="24"/>
        </w:rPr>
        <w:t xml:space="preserve">is the predicted probability that voxel</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ascii="Times New Roman" w:hAnsi="Times New Roman"/>
          <w:sz w:val="24"/>
        </w:rPr>
        <w:t xml:space="preserve">belongs to a ligand region. These probabilities are the primary supervised output during Find training.</w:t>
      </w:r>
    </w:p>
    <w:bookmarkEnd w:id="75"/>
    <w:bookmarkStart w:id="76" w:name="network-architecture"/>
    <w:p>
      <w:pPr>
        <w:pStyle w:val="Heading3"/>
        <w:keepNext/>
        <w:spacing w:line="480" w:lineRule="auto"/>
        <w:ind w:firstLine="0"/>
      </w:pPr>
      <w:r>
        <w:rPr>
          <w:rFonts w:ascii="Times New Roman" w:hAnsi="Times New Roman"/>
          <w:sz w:val="24"/>
        </w:rPr>
        <w:t xml:space="preserve">Network architecture</w:t>
      </w:r>
    </w:p>
    <w:p>
      <w:pPr>
        <w:pStyle w:val="FirstParagraph"/>
        <w:spacing w:line="480" w:lineRule="auto" w:after="120"/>
        <w:ind w:firstLine="480"/>
      </w:pPr>
      <w:r>
        <w:rPr>
          <w:rFonts w:ascii="Times New Roman" w:hAnsi="Times New Roman"/>
          <w:sz w:val="24"/>
        </w:rP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480" w:lineRule="auto" w:after="120"/>
        <w:ind w:firstLine="480"/>
      </w:pPr>
      <w:r>
        <w:rPr>
          <w:rFonts w:ascii="Times New Roman" w:hAnsi="Times New Roman"/>
          <w:sz w:val="24"/>
        </w:rP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rFonts w:ascii="Times New Roman" w:hAnsi="Times New Roman"/>
          <w:sz w:val="24"/>
          <w:vertAlign w:val="superscript"/>
        </w:rPr>
        <w:t xml:space="preserve">19</w:t>
      </w:r>
      <w:r>
        <w:rPr>
          <w:rFonts w:ascii="Times New Roman" w:hAnsi="Times New Roman"/>
          <w:sz w:val="24"/>
        </w:rPr>
        <w:t xml:space="preserve"> </w:t>
      </w:r>
      <w:r>
        <w:rPr>
          <w:rFonts w:ascii="Times New Roman" w:hAnsi="Times New Roman"/>
          <w:sz w:val="24"/>
        </w:rPr>
        <w:t xml:space="preserve">and softly scatters the encoded features onto the voxel grid. The projected features are concatenated with the 56 density channels as input to a 3D U-Net</w:t>
      </w:r>
      <w:r>
        <w:rPr>
          <w:rStyle w:val="MDCITE_eJyLdkjOTE7NNjIwNDNOKc1LLYkFADg_BhQ"/>
          <w:rFonts w:ascii="Times New Roman" w:hAnsi="Times New Roman"/>
          <w:sz w:val="24"/>
          <w:vertAlign w:val="superscript"/>
        </w:rPr>
        <w:t xml:space="preserve">20</w:t>
      </w:r>
      <w:r>
        <w:rPr>
          <w:rFonts w:ascii="Times New Roman" w:hAnsi="Times New Roman"/>
          <w:sz w:val="24"/>
        </w:rPr>
        <w:t xml:space="preserve">. Before the point-cloud branch, Point Transformer V3</w:t>
      </w:r>
      <w:r>
        <w:rPr>
          <w:rStyle w:val="MDCITE_eJyLdigvNTIwMikoKTOOBQAdWAQ6"/>
          <w:rFonts w:ascii="Times New Roman" w:hAnsi="Times New Roman"/>
          <w:sz w:val="24"/>
          <w:vertAlign w:val="superscript"/>
        </w:rPr>
        <w:t xml:space="preserve">21</w:t>
      </w:r>
      <w:r>
        <w:rPr>
          <w:rFonts w:ascii="Times New Roman" w:hAnsi="Times New Roman"/>
          <w:sz w:val="24"/>
        </w:rPr>
        <w:t xml:space="preserve"> </w:t>
      </w:r>
      <w:r>
        <w:rPr>
          <w:rFonts w:ascii="Times New Roman" w:hAnsi="Times New Roman"/>
          <w:sz w:val="24"/>
        </w:rPr>
        <w:t xml:space="preserve">attention modules and progressive cropping process the initial atom features to provide the point-cloud input.</w:t>
      </w:r>
    </w:p>
    <w:p>
      <w:pPr>
        <w:pStyle w:val="BodyText"/>
        <w:spacing w:line="480" w:lineRule="auto" w:after="120"/>
        <w:ind w:firstLine="480"/>
      </w:pPr>
      <w:r>
        <w:rPr>
          <w:rFonts w:ascii="Times New Roman" w:hAnsi="Times New Roman"/>
          <w:sz w:val="24"/>
        </w:rP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from regions with high predicted ligand-region probabilities. Convolutional layers extract surrounding density information to initialise their features. These pseudo atoms enter the point-cloud branch together with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encoded by the receptor embedding head.</w:t>
      </w:r>
    </w:p>
    <w:p>
      <w:pPr>
        <w:pStyle w:val="BodyText"/>
        <w:spacing w:line="480" w:lineRule="auto" w:after="120"/>
        <w:ind w:firstLine="480"/>
      </w:pPr>
      <w:r>
        <w:rPr>
          <w:rFonts w:ascii="Times New Roman" w:hAnsi="Times New Roman"/>
          <w:sz w:val="24"/>
        </w:rPr>
        <w:t xml:space="preserve">The point-cloud branch uses the U-Net-style encoder–decoder architecture of Point Transformer V3</w:t>
      </w:r>
      <w:r>
        <w:rPr>
          <w:rStyle w:val="MDCITE_eJyLdigvNTIwMikoKTOOBQAdWAQ6"/>
          <w:rFonts w:ascii="Times New Roman" w:hAnsi="Times New Roman"/>
          <w:sz w:val="24"/>
          <w:vertAlign w:val="superscript"/>
        </w:rPr>
        <w:t xml:space="preserve">21</w:t>
      </w:r>
      <w:r>
        <w:rPr>
          <w:rFonts w:ascii="Times New Roman" w:hAnsi="Times New Roman"/>
          <w:sz w:val="24"/>
        </w:rPr>
        <w:t xml:space="preserve">. Space-filling curves jointly serialise receptor atoms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 pseudo atoms</w:t>
      </w:r>
      <w:r>
        <w:rPr>
          <w:rFonts w:ascii="Times New Roman" w:hAnsi="Times New Roman"/>
          <w:sz w:val="24"/>
        </w:rPr>
        <w:t xml:space="preserve"> </w:t>
      </w:r>
      <m:oMath>
        <m:r>
          <m:t>P</m:t>
        </m:r>
      </m:oMath>
      <w:r>
        <w:rPr>
          <w:rFonts w:ascii="Times New Roman" w:hAnsi="Times New Roman"/>
          <w:sz w:val="24"/>
        </w:rPr>
        <w:t xml:space="preserve">, while point-cloud convolutions provide conditional positional encoding. At multiple resolutions, the network performs learnable weighted sampling over the</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ascii="Times New Roman" w:hAnsi="Times New Roman"/>
          <w:sz w:val="24"/>
        </w:rPr>
        <w:t xml:space="preserve">neighbourhoods of</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P</m:t>
        </m:r>
      </m:oMath>
      <w:r>
        <w:rPr>
          <w:rFonts w:ascii="Times New Roman" w:hAnsi="Times New Roman"/>
          <w:sz w:val="24"/>
        </w:rPr>
        <w:t xml:space="preserve"> </w:t>
      </w:r>
      <w:r>
        <w:rPr>
          <w:rFonts w:ascii="Times New Roman" w:hAnsi="Times New Roman"/>
          <w:sz w:val="24"/>
        </w:rP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480" w:lineRule="auto" w:after="120"/>
        <w:ind w:firstLine="480"/>
      </w:pPr>
      <w:r>
        <w:rPr>
          <w:rFonts w:ascii="Times New Roman" w:hAnsi="Times New Roman"/>
          <w:sz w:val="24"/>
        </w:rPr>
        <w:t xml:space="preserve">Following AlphaFold3</w:t>
      </w:r>
      <w:r>
        <w:rPr>
          <w:rStyle w:val="MDCITE_eJyLdkhMKkrMLc7PMzIwMknMKchITMvPSTGOBQB0aQjy"/>
          <w:rFonts w:ascii="Times New Roman" w:hAnsi="Times New Roman"/>
          <w:sz w:val="24"/>
          <w:vertAlign w:val="superscript"/>
        </w:rPr>
        <w:t xml:space="preserve">22</w:t>
      </w:r>
      <w:r>
        <w:rPr>
          <w:rFonts w:ascii="Times New Roman" w:hAnsi="Times New Roman"/>
          <w:sz w:val="24"/>
        </w:rP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76"/>
    <w:bookmarkStart w:id="77" w:name="losses-and-supervision"/>
    <w:p>
      <w:pPr>
        <w:pStyle w:val="Heading3"/>
        <w:keepNext/>
        <w:spacing w:line="480" w:lineRule="auto"/>
        <w:ind w:firstLine="0"/>
      </w:pPr>
      <w:r>
        <w:rPr>
          <w:rFonts w:ascii="Times New Roman" w:hAnsi="Times New Roman"/>
          <w:sz w:val="24"/>
        </w:rPr>
        <w:t xml:space="preserve">Losses and supervision</w:t>
      </w:r>
    </w:p>
    <w:p>
      <w:pPr>
        <w:pStyle w:val="FirstParagraph"/>
        <w:spacing w:line="480" w:lineRule="auto" w:after="120"/>
        <w:ind w:firstLine="480"/>
      </w:pPr>
      <w:r>
        <w:rPr>
          <w:rFonts w:ascii="Times New Roman" w:hAnsi="Times New Roman"/>
          <w:sz w:val="24"/>
        </w:rP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voxel branch</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point-cloud branch</m:t>
                  </m:r>
                </m:lim>
              </m:limLow>
              <m:r>
                <w:rPr>
                  <w:sz w:val="20"/>
                </w:rPr>
                <m:rPr>
                  <m:sty m:val="p"/>
                </m:rPr>
                <m:t>.</m:t>
              </m:r>
            </m:e>
          </m:eqArr>
        </m:oMath>
      </m:oMathPara>
    </w:p>
    <w:p>
      <w:pPr>
        <w:pStyle w:val="FirstParagraph"/>
        <w:spacing w:line="480" w:lineRule="auto" w:after="120"/>
        <w:ind w:firstLine="480"/>
      </w:pPr>
      <w:r>
        <w:rPr>
          <w:rFonts w:ascii="Times New Roman" w:hAnsi="Times New Roman"/>
          <w:sz w:val="24"/>
        </w:rPr>
        <w:t xml:space="preserve">For the voxel branch,</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is the primary supervision term. It compares ligand-region probabilities</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ascii="Times New Roman" w:hAnsi="Times New Roman"/>
          <w:sz w:val="24"/>
        </w:rPr>
        <w:t xml:space="preserve">from the main output head with the ground-truth binary labels</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Receptor-binding regions comprise voxels containing receptor atoms with a ligand atom within 4 Å.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ascii="Times New Roman" w:hAnsi="Times New Roman"/>
          <w:sz w:val="24"/>
        </w:rPr>
        <w:t xml:space="preserve">provides supervision for the corresponding receptor-binding-region output head. The ligand-distance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ascii="Times New Roman" w:hAnsi="Times New Roman"/>
          <w:sz w:val="24"/>
        </w:rPr>
        <w:t xml:space="preserve">supervises the predicted inverse distance to the nearest ligand atom.</w:t>
      </w:r>
    </w:p>
    <w:p>
      <w:pPr>
        <w:pStyle w:val="BodyText"/>
        <w:spacing w:line="480" w:lineRule="auto" w:after="120"/>
        <w:ind w:firstLine="480"/>
      </w:pPr>
      <w:r>
        <w:rPr>
          <w:rFonts w:ascii="Times New Roman" w:hAnsi="Times New Roman"/>
          <w:sz w:val="24"/>
        </w:rPr>
        <w:t xml:space="preserve">The protein backbone head predicts probabilities over five channels: background, N, CA, C and O. The nucleic acid backbone head predicts probabilities over seven channels: background, P, O5′, C5′, C4′, C3′ and O3′. The corresponding heads are supervised by</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respectively.</w:t>
      </w:r>
    </w:p>
    <w:p>
      <w:pPr>
        <w:pStyle w:val="BodyText"/>
        <w:spacing w:line="480" w:lineRule="auto" w:after="120"/>
        <w:ind w:firstLine="480"/>
      </w:pPr>
      <w:r>
        <w:rPr>
          <w:rFonts w:ascii="Times New Roman" w:hAnsi="Times New Roman"/>
          <w:sz w:val="24"/>
        </w:rP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receptor atoms, whereas</w:t>
      </w:r>
      <w:r>
        <w:rPr>
          <w:rFonts w:ascii="Times New Roman" w:hAnsi="Times New Roman"/>
          <w:sz w:val="24"/>
        </w:rP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ascii="Times New Roman" w:hAnsi="Times New Roman"/>
          <w:sz w:val="24"/>
        </w:rPr>
        <w:t xml:space="preserve">supervises pseudo atoms.</w:t>
      </w:r>
    </w:p>
    <w:p>
      <w:pPr>
        <w:pStyle w:val="BodyText"/>
        <w:spacing w:line="480" w:lineRule="auto" w:after="120"/>
        <w:ind w:firstLine="480"/>
      </w:pPr>
      <w:r>
        <w:rPr>
          <w:rFonts w:ascii="Times New Roman" w:hAnsi="Times New Roman"/>
          <w:sz w:val="24"/>
        </w:rPr>
        <w:t xml:space="preserve">The ligand-distance loss uses mean squared error (MSE) for the distance prediction. All other losses combine focal loss (</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23</w:t>
      </w:r>
      <w:r>
        <w:rPr>
          <w:rFonts w:ascii="Times New Roman" w:hAnsi="Times New Roman"/>
          <w:sz w:val="24"/>
        </w:rPr>
        <w:t xml:space="preserve"> </w:t>
      </w:r>
      <w:r>
        <w:rPr>
          <w:rFonts w:ascii="Times New Roman" w:hAnsi="Times New Roman"/>
          <w:sz w:val="24"/>
        </w:rPr>
        <w:t xml:space="preserve">and Dice loss</w:t>
      </w:r>
      <w:r>
        <w:rPr>
          <w:rStyle w:val="MDCITE_eJyLdsjNzMlJLUksyjQyMDQry0stiQUATPQHQg"/>
          <w:rFonts w:ascii="Times New Roman" w:hAnsi="Times New Roman"/>
          <w:sz w:val="24"/>
          <w:vertAlign w:val="superscript"/>
        </w:rPr>
        <w:t xml:space="preserve">24</w:t>
      </w:r>
      <w:r>
        <w:rPr>
          <w:rFonts w:ascii="Times New Roman" w:hAnsi="Times New Roman"/>
          <w:sz w:val="24"/>
        </w:rPr>
        <w:t xml:space="preserve"> </w:t>
      </w:r>
      <w:r>
        <w:rPr>
          <w:rFonts w:ascii="Times New Roman" w:hAnsi="Times New Roman"/>
          <w:sz w:val="24"/>
        </w:rPr>
        <w:t xml:space="preserve">with weights of 0.7 and 0.3, respectively.</w:t>
      </w:r>
    </w:p>
    <w:bookmarkEnd w:id="77"/>
    <w:bookmarkStart w:id="78" w:name="inference-and-post-processing"/>
    <w:p>
      <w:pPr>
        <w:pStyle w:val="Heading3"/>
        <w:keepNext/>
        <w:spacing w:line="480" w:lineRule="auto"/>
        <w:ind w:firstLine="0"/>
      </w:pPr>
      <w:r>
        <w:rPr>
          <w:rFonts w:ascii="Times New Roman" w:hAnsi="Times New Roman"/>
          <w:sz w:val="24"/>
        </w:rPr>
        <w:t xml:space="preserve">Inference and post-processing</w:t>
      </w:r>
    </w:p>
    <w:p>
      <w:pPr>
        <w:pStyle w:val="FirstParagraph"/>
        <w:spacing w:line="480" w:lineRule="auto" w:after="120"/>
        <w:ind w:firstLine="480"/>
      </w:pPr>
      <w:r>
        <w:rPr>
          <w:rFonts w:ascii="Times New Roman" w:hAnsi="Times New Roman"/>
          <w:sz w:val="24"/>
        </w:rPr>
        <w:t xml:space="preserve">As in training, Find uses</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ascii="Times New Roman" w:hAnsi="Times New Roman"/>
          <w:sz w:val="24"/>
        </w:rPr>
        <w:t xml:space="preserve">voxel blocks as its basic input during inference. Sliding-window inference with a stride of 30 and a Gaussian kernel with</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ascii="Times New Roman" w:hAnsi="Times New Roman"/>
          <w:sz w:val="24"/>
        </w:rPr>
        <w:t xml:space="preserve">produces the full ligand-region probability map</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25</w:t>
      </w:r>
      <w:r>
        <w:rPr>
          <w:rFonts w:ascii="Times New Roman" w:hAnsi="Times New Roman"/>
          <w:sz w:val="24"/>
        </w:rPr>
        <w:t xml:space="preserve">. We threshold this map at a fixed probability</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obtain candidate blobs, which are then filtered by Gaussian scoring. We selected</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ascii="Times New Roman" w:hAnsi="Times New Roman"/>
          <w:sz w:val="24"/>
        </w:rPr>
        <w:t xml:space="preserve">to maximise the semantic F1 score on the calibration set. Gaussian-scoring parameters were also searched on the calibration set, then fixed together with the probability threshold for testing.</w:t>
      </w:r>
    </w:p>
    <w:p>
      <w:pPr>
        <w:pStyle w:val="BodyText"/>
        <w:spacing w:line="480" w:lineRule="auto" w:after="120"/>
        <w:ind w:firstLine="480"/>
      </w:pPr>
      <w:r>
        <w:rPr>
          <w:rFonts w:ascii="Times New Roman" w:hAnsi="Times New Roman"/>
          <w:sz w:val="24"/>
        </w:rPr>
        <w:t xml:space="preserve">During inference, we apply 26-connected-component analysis to voxels satisfying</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yielding candidate ligand regions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We then compute a Gaussian score for each of these candidate regions as follows.</w:t>
      </w:r>
    </w:p>
    <w:p>
      <w:pPr>
        <w:pStyle w:val="BodyText"/>
        <w:spacing w:line="480" w:lineRule="auto" w:after="120"/>
        <w:ind w:firstLine="480"/>
      </w:pPr>
      <w:r>
        <w:rPr>
          <w:rFonts w:ascii="Times New Roman" w:hAnsi="Times New Roman"/>
          <w:sz w:val="24"/>
        </w:rPr>
        <w:t xml:space="preserve">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let</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ascii="Times New Roman" w:hAnsi="Times New Roman"/>
          <w:sz w:val="24"/>
        </w:rPr>
        <w:t xml:space="preserve">denote the mean ligand-region probability within the candidate region. Let</w:t>
      </w:r>
      <w:r>
        <w:rPr>
          <w:rFonts w:ascii="Times New Roman" w:hAnsi="Times New Roman"/>
          <w:sz w:val="24"/>
        </w:rPr>
        <w:t xml:space="preserve"> </w:t>
      </w:r>
      <m:oMath>
        <m:sSub>
          <m:e>
            <m:r>
              <m:t>q</m:t>
            </m:r>
          </m:e>
          <m:sub>
            <m:r>
              <m:t>i</m:t>
            </m:r>
          </m:sub>
        </m:sSub>
      </m:oMath>
      <w:r>
        <w:rPr>
          <w:rFonts w:ascii="Times New Roman" w:hAnsi="Times New Roman"/>
          <w:sz w:val="24"/>
        </w:rPr>
        <w:t xml:space="preserve"> </w:t>
      </w:r>
      <w:r>
        <w:rPr>
          <w:rFonts w:ascii="Times New Roman" w:hAnsi="Times New Roman"/>
          <w:sz w:val="24"/>
        </w:rPr>
        <w:t xml:space="preserve">denote the binding probability of receptor atom</w:t>
      </w:r>
      <w:r>
        <w:rPr>
          <w:rFonts w:ascii="Times New Roman" w:hAnsi="Times New Roman"/>
          <w:sz w:val="24"/>
        </w:rPr>
        <w:t xml:space="preserve"> </w:t>
      </w:r>
      <m:oMath>
        <m:r>
          <m:t>i</m:t>
        </m:r>
      </m:oMath>
      <w:r>
        <w:rPr>
          <w:rFonts w:ascii="Times New Roman" w:hAnsi="Times New Roman"/>
          <w:sz w:val="24"/>
        </w:rPr>
        <w:t xml:space="preserve">. Let</w:t>
      </w:r>
      <w:r>
        <w:rPr>
          <w:rFonts w:ascii="Times New Roman" w:hAnsi="Times New Roman"/>
          <w:sz w:val="24"/>
        </w:rPr>
        <w:t xml:space="preserve"> </w:t>
      </w:r>
      <m:oMath>
        <m:sSub>
          <m:e>
            <m:r>
              <m:t>d</m:t>
            </m:r>
          </m:e>
          <m:sub>
            <m:r>
              <m:t>i</m:t>
            </m:r>
            <m:r>
              <m:t>j</m:t>
            </m:r>
          </m:sub>
        </m:sSub>
      </m:oMath>
      <w:r>
        <w:rPr>
          <w:rFonts w:ascii="Times New Roman" w:hAnsi="Times New Roman"/>
          <w:sz w:val="24"/>
        </w:rPr>
        <w:t xml:space="preserve"> </w:t>
      </w:r>
      <w:r>
        <w:rPr>
          <w:rFonts w:ascii="Times New Roman" w:hAnsi="Times New Roman"/>
          <w:sz w:val="24"/>
        </w:rPr>
        <w:t xml:space="preserve">denote the physical distance from that atom to the nearest voxel centre in</w:t>
      </w:r>
      <w:r>
        <w:rPr>
          <w:rFonts w:ascii="Times New Roman" w:hAnsi="Times New Roman"/>
          <w:sz w:val="24"/>
        </w:rPr>
        <w:t xml:space="preserve"> </w:t>
      </w:r>
      <m:oMath>
        <m:sSub>
          <m:e>
            <m:r>
              <m:t>B</m:t>
            </m:r>
          </m:e>
          <m:sub>
            <m:r>
              <m:t>j</m:t>
            </m:r>
          </m:sub>
        </m:sSub>
      </m:oMath>
      <w:r>
        <w:rPr>
          <w:rFonts w:ascii="Times New Roman" w:hAnsi="Times New Roman"/>
          <w:sz w:val="24"/>
        </w:rPr>
        <w:t xml:space="preserve">. The Gaussian candidate score</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for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ascii="Times New Roman" w:hAnsi="Times New Roman"/>
          <w:sz w:val="24"/>
        </w:rPr>
        <w:t xml:space="preserve">Candidate</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predicted as positive if and only if</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ascii="Times New Roman" w:hAnsi="Times New Roman"/>
          <w:sz w:val="24"/>
        </w:rPr>
        <w:t xml:space="preserve">exceeds the fixed Gaussian-score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its voxel count exceeds</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We searched the Gaussian width</w:t>
      </w:r>
      <w:r>
        <w:rPr>
          <w:rFonts w:ascii="Times New Roman" w:hAnsi="Times New Roman"/>
          <w:sz w:val="24"/>
        </w:rPr>
        <w:t xml:space="preserve"> </w:t>
      </w:r>
      <m:oMath>
        <m:r>
          <m:t>τ</m:t>
        </m:r>
      </m:oMath>
      <w:r>
        <w:rPr>
          <w:rFonts w:ascii="Times New Roman" w:hAnsi="Times New Roman"/>
          <w:sz w:val="24"/>
        </w:rPr>
        <w:t xml:space="preserve">, coefficients</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score threshold</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ascii="Times New Roman" w:hAnsi="Times New Roman"/>
          <w:sz w:val="24"/>
        </w:rPr>
        <w:t xml:space="preserve">and minimum voxel count</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ascii="Times New Roman" w:hAnsi="Times New Roman"/>
          <w:sz w:val="24"/>
        </w:rPr>
        <w:t xml:space="preserve">on the calibration set. After calibration, all selected parameters remained fixed throughout subsequent testing.</w:t>
      </w:r>
    </w:p>
    <w:p>
      <w:pPr>
        <w:pStyle w:val="BodyText"/>
        <w:spacing w:line="480" w:lineRule="auto" w:after="120"/>
        <w:ind w:firstLine="480"/>
      </w:pPr>
      <w:r>
        <w:rPr>
          <w:rFonts w:ascii="Times New Roman" w:hAnsi="Times New Roman"/>
          <w:sz w:val="24"/>
        </w:rPr>
        <w:t xml:space="preserve">The first score term measures the candidate’s own density confidence. The second rewards nearby receptor atoms predicted to be close to a ligand, whereas the third penalises nearby receptor atoms predicted to be distant from ligands.</w:t>
      </w:r>
    </w:p>
    <w:bookmarkEnd w:id="78"/>
    <w:bookmarkStart w:id="79" w:name="evaluation-metrics"/>
    <w:p>
      <w:pPr>
        <w:pStyle w:val="Heading3"/>
        <w:keepNext/>
        <w:spacing w:line="480" w:lineRule="auto"/>
        <w:ind w:firstLine="0"/>
      </w:pPr>
      <w:r>
        <w:rPr>
          <w:rFonts w:ascii="Times New Roman" w:hAnsi="Times New Roman"/>
          <w:sz w:val="24"/>
        </w:rPr>
        <w:t xml:space="preserve">Evaluation metrics</w:t>
      </w:r>
    </w:p>
    <w:p>
      <w:pPr>
        <w:pStyle w:val="FirstParagraph"/>
        <w:spacing w:line="480" w:lineRule="auto" w:after="120"/>
        <w:ind w:firstLine="480"/>
      </w:pPr>
      <w:r>
        <w:rPr>
          <w:rFonts w:ascii="Times New Roman" w:hAnsi="Times New Roman"/>
          <w:sz w:val="24"/>
        </w:rPr>
        <w:t xml:space="preserve">For each PDB entry, let</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ascii="Times New Roman" w:hAnsi="Times New Roman"/>
          <w:sz w:val="24"/>
        </w:rPr>
        <w:t xml:space="preserve"> </w:t>
      </w:r>
      <w:r>
        <w:rPr>
          <w:rFonts w:ascii="Times New Roman" w:hAnsi="Times New Roman"/>
          <w:sz w:val="24"/>
        </w:rPr>
        <w:t xml:space="preserve">denote the final predicted candidate regions and</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ascii="Times New Roman" w:hAnsi="Times New Roman"/>
          <w:sz w:val="24"/>
        </w:rPr>
        <w:t xml:space="preserve"> </w:t>
      </w:r>
      <w:r>
        <w:rPr>
          <w:rFonts w:ascii="Times New Roman" w:hAnsi="Times New Roman"/>
          <w:sz w:val="24"/>
        </w:rPr>
        <w:t xml:space="preserve">the ground-truth ligand regions. Semantic Dice measures overlap between the unions of predicted and ground-truth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ascii="Times New Roman" w:hAnsi="Times New Roman"/>
          <w:sz w:val="24"/>
        </w:rPr>
        <w:t xml:space="preserve">where</w:t>
      </w:r>
      <w:r>
        <w:rPr>
          <w:rFonts w:ascii="Times New Roman" w:hAnsi="Times New Roman"/>
          <w:sz w:val="24"/>
        </w:rPr>
        <w:t xml:space="preserve"> </w:t>
      </w:r>
      <m:oMath>
        <m:r>
          <m:rPr>
            <m:sty m:val="p"/>
          </m:rPr>
          <m:t>|</m:t>
        </m:r>
        <m:r>
          <m:rPr>
            <m:sty m:val="p"/>
          </m:rPr>
          <m:t>⋅</m:t>
        </m:r>
        <m:r>
          <m:rPr>
            <m:sty m:val="p"/>
          </m:rPr>
          <m:t>|</m:t>
        </m:r>
      </m:oMath>
      <w:r>
        <w:rPr>
          <w:rFonts w:ascii="Times New Roman" w:hAnsi="Times New Roman"/>
          <w:sz w:val="24"/>
        </w:rPr>
        <w:t xml:space="preserve"> </w:t>
      </w:r>
      <w:r>
        <w:rPr>
          <w:rFonts w:ascii="Times New Roman" w:hAnsi="Times New Roman"/>
          <w:sz w:val="24"/>
        </w:rPr>
        <w:t xml:space="preserve">denotes voxel count; Dice does not use the instance-matching threshold.</w:t>
      </w:r>
    </w:p>
    <w:p>
      <w:pPr>
        <w:pStyle w:val="BodyText"/>
        <w:spacing w:line="480" w:lineRule="auto" w:after="120"/>
        <w:ind w:firstLine="480"/>
      </w:pPr>
      <w:r>
        <w:rPr>
          <w:rFonts w:ascii="Times New Roman" w:hAnsi="Times New Roman"/>
          <w:sz w:val="24"/>
        </w:rPr>
        <w:t xml:space="preserve">For instance-level metrics, a candidate and a ground-truth instance are compatible when each covers at least a fraction</w:t>
      </w:r>
      <w:r>
        <w:rPr>
          <w:rFonts w:ascii="Times New Roman" w:hAnsi="Times New Roman"/>
          <w:sz w:val="24"/>
        </w:rPr>
        <w:t xml:space="preserve"> </w:t>
      </w:r>
      <m:oMath>
        <m:r>
          <m:t>τ</m:t>
        </m:r>
      </m:oMath>
      <w:r>
        <w:rPr>
          <w:rFonts w:ascii="Times New Roman" w:hAnsi="Times New Roman"/>
          <w:sz w:val="24"/>
        </w:rPr>
        <w:t xml:space="preserve"> </w:t>
      </w:r>
      <w:r>
        <w:rPr>
          <w:rFonts w:ascii="Times New Roman" w:hAnsi="Times New Roman"/>
          <w:sz w:val="24"/>
        </w:rPr>
        <w:t xml:space="preserve">of the other. We evaluated</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 </w:t>
      </w:r>
      <w:r>
        <w:rPr>
          <w:rFonts w:ascii="Times New Roman" w:hAnsi="Times New Roman"/>
          <w:sz w:val="24"/>
        </w:rPr>
        <w:t xml:space="preserve">and used the Hungarian algorithm</w:t>
      </w:r>
      <w:r>
        <w:rPr>
          <w:rStyle w:val="MDCITE_eJyLdsguzcgztDQ1zSjNS08sykzMiwUASXEHQA"/>
          <w:rFonts w:ascii="Times New Roman" w:hAnsi="Times New Roman"/>
          <w:sz w:val="24"/>
          <w:vertAlign w:val="superscript"/>
        </w:rPr>
        <w:t xml:space="preserve">26</w:t>
      </w:r>
      <w:r>
        <w:rPr>
          <w:rFonts w:ascii="Times New Roman" w:hAnsi="Times New Roman"/>
          <w:sz w:val="24"/>
        </w:rPr>
        <w:t xml:space="preserve"> </w:t>
      </w:r>
      <w:r>
        <w:rPr>
          <w:rFonts w:ascii="Times New Roman" w:hAnsi="Times New Roman"/>
          <w:sz w:val="24"/>
        </w:rPr>
        <w:t xml:space="preserve">to obtain a maximum one-to-one matching. If</w:t>
      </w:r>
      <w:r>
        <w:rPr>
          <w:rFonts w:ascii="Times New Roman" w:hAnsi="Times New Roman"/>
          <w:sz w:val="24"/>
        </w:rP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ascii="Times New Roman" w:hAnsi="Times New Roman"/>
          <w:sz w:val="24"/>
        </w:rPr>
        <w:t xml:space="preserve"> </w:t>
      </w:r>
      <w:r>
        <w:rPr>
          <w:rFonts w:ascii="Times New Roman" w:hAnsi="Times New Roman"/>
          <w:sz w:val="24"/>
        </w:rPr>
        <w:t xml:space="preserve">pairs are matched, instance-level precision and recall are:</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ascii="Times New Roman" w:hAnsi="Times New Roman"/>
          <w:sz w:val="24"/>
        </w:rPr>
        <w:t xml:space="preserve">Precision is zero for an empty prediction set; a ground-truth instance cannot contribute more than one successful pair. Ranking candidates by confidence and varying the retained candidate set yields the instance-level precision–recall curve and its area,</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Detection completion measures the fraction of distinct ground-truth instances recovered within a relative candidate count. Candidates retain the original ordering, with selected candidates first and remaining candidates afterwards. Within each group, candidates are ordered by descending mean voxel probability, with ties resolved by original blob index. Each candidate is assigned to the ground-truth instance with maximal geometric-mean coverage among pairs meeting the bidirectional threshold of 0.3. Repeated hits occupy candidate positions but increase completion only at the first detection of an instance.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and relative candidate count</w:t>
      </w:r>
      <w:r>
        <w:rPr>
          <w:rFonts w:ascii="Times New Roman" w:hAnsi="Times New Roman"/>
          <w:sz w:val="24"/>
        </w:rPr>
        <w:t xml:space="preserve"> </w:t>
      </w:r>
      <m:oMath>
        <m:r>
          <m:t>ρ</m:t>
        </m:r>
      </m:oMath>
      <w:r>
        <w:rPr>
          <w:rFonts w:ascii="Times New Roman" w:hAnsi="Times New Roman"/>
          <w:sz w:val="24"/>
        </w:rPr>
        <w:t xml:space="preserve">, at most</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candidates are examined.</w:t>
      </w:r>
    </w:p>
    <w:p>
      <w:pPr>
        <w:pStyle w:val="BodyText"/>
        <w:spacing w:line="480" w:lineRule="auto" w:after="120"/>
        <w:ind w:firstLine="480"/>
      </w:pPr>
      <w:r>
        <w:rPr>
          <w:rFonts w:ascii="Times New Roman" w:hAnsi="Times New Roman"/>
          <w:sz w:val="24"/>
        </w:rPr>
        <w:t xml:space="preserve">All-ligand evaluation includes 179 PDB entries and 2,502 instances; small-molecule evaluation includes 94 PDB entries and 821 instances. In the small-molecule evaluation, candidates are first assigned across all ligand classes, and those assigned to non-small-molecule instances are omitted. Unassigned background candidates remain, as do repeated hits in completion analysis. P/R matching uses the retained final candidates; completion follows cumulative first detections along the candidate order. Metrics are averaged equally across PDB entries, retaining zero-detection entries. Confidence intervals for means use 10,000 PDB bootstrap resamples with seed 20260922 and percentile limits of 2.5% and 97.5%. Methods and candidate limits within the same cohort share resampling indices.</w:t>
      </w:r>
    </w:p>
    <w:bookmarkEnd w:id="79"/>
    <w:bookmarkEnd w:id="80"/>
    <w:bookmarkStart w:id="86" w:name="stage-2-match"/>
    <w:p>
      <w:pPr>
        <w:pStyle w:val="Heading2"/>
        <w:keepNext/>
        <w:spacing w:line="480" w:lineRule="auto"/>
        <w:ind w:firstLine="0"/>
      </w:pPr>
      <w:r>
        <w:rPr>
          <w:rFonts w:ascii="Times New Roman" w:hAnsi="Times New Roman"/>
          <w:sz w:val="24"/>
        </w:rPr>
        <w:t xml:space="preserve">Stage 2: Match</w:t>
      </w:r>
    </w:p>
    <w:bookmarkStart w:id="81" w:name="overview-1"/>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480" w:lineRule="auto" w:after="120"/>
        <w:ind w:firstLine="480"/>
      </w:pPr>
      <w:r>
        <w:rPr>
          <w:rFonts w:ascii="Times New Roman" w:hAnsi="Times New Roman"/>
          <w:sz w:val="24"/>
        </w:rP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81"/>
    <w:bookmarkStart w:id="82" w:name="X181b68a713d2eeaa46c9ea847f44b33b75abd9c"/>
    <w:p>
      <w:pPr>
        <w:pStyle w:val="Heading3"/>
        <w:keepNext/>
        <w:spacing w:line="480" w:lineRule="auto"/>
        <w:ind w:firstLine="0"/>
      </w:pPr>
      <w:r>
        <w:rPr>
          <w:rFonts w:ascii="Times New Roman" w:hAnsi="Times New Roman"/>
          <w:sz w:val="24"/>
        </w:rPr>
        <w:t xml:space="preserve">Ligand-identity representation and encoding</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denote the chemical identities in a PDB entry, represented by SMILES. For each identity, the ligand language model SMI-TED</w:t>
      </w:r>
      <w:r>
        <w:rPr>
          <w:rStyle w:val="MDCITE_eJyLdijOTyxKLTYyMDItzs0sSU2JBQBDqwbV"/>
          <w:rFonts w:ascii="Times New Roman" w:hAnsi="Times New Roman"/>
          <w:sz w:val="24"/>
          <w:vertAlign w:val="superscript"/>
        </w:rPr>
        <w:t xml:space="preserve">27</w:t>
      </w:r>
      <w:r>
        <w:rPr>
          <w:rFonts w:ascii="Times New Roman" w:hAnsi="Times New Roman"/>
          <w:sz w:val="24"/>
        </w:rPr>
        <w:t xml:space="preserve"> </w:t>
      </w:r>
      <w:r>
        <w:rPr>
          <w:rFonts w:ascii="Times New Roman" w:hAnsi="Times New Roman"/>
          <w:sz w:val="24"/>
        </w:rPr>
        <w:t xml:space="preserve">produces a 768-dimensional feature vector. A linear layer embeds this vector into the language representation</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In parallel, we use RDKit to generate ideal three-dimensional ligand conformations</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ascii="Times New Roman" w:hAnsi="Times New Roman"/>
          <w:sz w:val="24"/>
        </w:rPr>
        <w:t xml:space="preserve">, which are encoded as three-dimensional molecular graphs. Node features comprise atomic number, formal charge and ring information, whereas edge features comprise bond type and ring information.</w:t>
      </w:r>
    </w:p>
    <w:p>
      <w:pPr>
        <w:pStyle w:val="BodyText"/>
        <w:spacing w:line="480" w:lineRule="auto" w:after="120"/>
        <w:ind w:firstLine="480"/>
      </w:pPr>
      <w:r>
        <w:rPr>
          <w:rFonts w:ascii="Times New Roman" w:hAnsi="Times New Roman"/>
          <w:sz w:val="24"/>
        </w:rPr>
        <w:t xml:space="preserve">For each 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its language representation serves as the query for two attention operations</w:t>
      </w:r>
      <w:r>
        <w:rPr>
          <w:rStyle w:val="MDCITE_eJyLdihLLC5PzMs0MjA0TywpSc0ryczPiwUAZH0Ikg"/>
          <w:rFonts w:ascii="Times New Roman" w:hAnsi="Times New Roman"/>
          <w:sz w:val="24"/>
          <w:vertAlign w:val="superscript"/>
        </w:rPr>
        <w:t xml:space="preserve">28</w:t>
      </w:r>
      <w:r>
        <w:rPr>
          <w:rFonts w:ascii="Times New Roman" w:hAnsi="Times New Roman"/>
          <w:sz w:val="24"/>
        </w:rPr>
        <w:t xml:space="preserve"> </w:t>
      </w:r>
      <w:r>
        <w:rPr>
          <w:rFonts w:ascii="Times New Roman" w:hAnsi="Times New Roman"/>
          <w:sz w:val="24"/>
        </w:rPr>
        <w:t xml:space="preserve">(</w:t>
      </w:r>
      <w:r>
        <w:rPr>
          <w:rStyle w:val="MDFIGREF_eJyrrk7LTC9KTbMCUrq5qSUZ-Sm6ZRY1SbW1AIspCjs"/>
          <w:rFonts w:ascii="Times New Roman" w:hAnsi="Times New Roman"/>
          <w:sz w:val="24"/>
        </w:rPr>
        <w:t xml:space="preserve">Fig. 14b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w:r>
        <w:rPr>
          <w:rFonts w:ascii="Times New Roman" w:hAnsi="Times New Roman"/>
          <w:sz w:val="24"/>
        </w:rPr>
        <w:t xml:space="preserve">The final representation of ligand identity</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w:t>
      </w:r>
      <w:r>
        <w:rPr>
          <w:rFonts w:ascii="Times New Roman" w:hAnsi="Times New Roman"/>
          <w:sz w:val="24"/>
        </w:rP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combining its language, graph-attention and context-attention representations.</w:t>
      </w:r>
    </w:p>
    <w:bookmarkEnd w:id="82"/>
    <w:bookmarkStart w:id="83" w:name="X3ea166c1d7247fe31bf19592b3130f954c7c4b6"/>
    <w:p>
      <w:pPr>
        <w:pStyle w:val="Heading3"/>
        <w:keepNext/>
        <w:spacing w:line="480" w:lineRule="auto"/>
        <w:ind w:firstLine="0"/>
      </w:pPr>
      <w:r>
        <w:rPr>
          <w:rFonts w:ascii="Times New Roman" w:hAnsi="Times New Roman"/>
          <w:sz w:val="24"/>
        </w:rPr>
        <w:t xml:space="preserve">Candidate encoding and auxiliary-feature injection</w:t>
      </w:r>
    </w:p>
    <w:p>
      <w:pPr>
        <w:pStyle w:val="FirstParagraph"/>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denote the candidate regions predicted by Find within the same PDB entry. Match extracts a</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ascii="Times New Roman" w:hAnsi="Times New Roman"/>
          <w:sz w:val="24"/>
        </w:rP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A U-Net encodes this tensor into a base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for the candidate.</w:t>
      </w:r>
    </w:p>
    <w:p>
      <w:pPr>
        <w:pStyle w:val="BodyText"/>
        <w:spacing w:line="480" w:lineRule="auto" w:after="120"/>
        <w:ind w:firstLine="480"/>
      </w:pPr>
      <w:r>
        <w:rPr>
          <w:rFonts w:ascii="Times New Roman" w:hAnsi="Times New Roman"/>
          <w:sz w:val="24"/>
        </w:rP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480" w:lineRule="auto" w:after="120"/>
        <w:ind w:firstLine="480"/>
      </w:pPr>
      <w:r>
        <w:rPr>
          <w:rFonts w:ascii="Times New Roman" w:hAnsi="Times New Roman"/>
          <w:sz w:val="24"/>
        </w:rPr>
        <w:t xml:space="preserve">Pooling and attention encode these auxiliary features to further modulate the base density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For each auxiliary feature type, mean and maximum pooling produce a pooled summary vector. In parallel, cross-attention uses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as the query and the corresponding auxiliary features as keys and values to produce an attention summary vector. The two summary vectors are concatenated and passed through a MLP. A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 </w:t>
      </w:r>
      <w:r>
        <w:rPr>
          <w:rFonts w:ascii="Times New Roman" w:hAnsi="Times New Roman"/>
          <w:sz w:val="24"/>
        </w:rPr>
        <w:t xml:space="preserve">module then uses this output to modulate the base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The modulated representation is used for both foreground classification and ligand-identity matching.</w:t>
      </w:r>
    </w:p>
    <w:bookmarkEnd w:id="83"/>
    <w:bookmarkStart w:id="84" w:name="scoring-and-selection"/>
    <w:p>
      <w:pPr>
        <w:pStyle w:val="Heading3"/>
        <w:keepNext/>
        <w:spacing w:line="480" w:lineRule="auto"/>
        <w:ind w:firstLine="0"/>
      </w:pPr>
      <w:r>
        <w:rPr>
          <w:rFonts w:ascii="Times New Roman" w:hAnsi="Times New Roman"/>
          <w:sz w:val="24"/>
        </w:rPr>
        <w:t xml:space="preserve">Scoring and selection</w:t>
      </w:r>
    </w:p>
    <w:p>
      <w:pPr>
        <w:pStyle w:val="FirstParagraph"/>
        <w:spacing w:line="480" w:lineRule="auto" w:after="120"/>
        <w:ind w:firstLine="480"/>
      </w:pPr>
      <w:r>
        <w:rPr>
          <w:rFonts w:ascii="Times New Roman" w:hAnsi="Times New Roman"/>
          <w:sz w:val="24"/>
        </w:rPr>
        <w:t xml:space="preserve">Suppose a PDB entry contains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valid SMILES identities</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LigandSeek-Match pairs each candidate representation with every ligand-identity representation from the same PDB entry to form a</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matching-score matrix. Its entry in row</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and column</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ascii="Times New Roman" w:hAnsi="Times New Roman"/>
          <w:sz w:val="24"/>
        </w:rPr>
        <w:t xml:space="preserve">Here,</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is the candidate representation, 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is the ligand-identity representation defined above. The function</w:t>
      </w:r>
      <w:r>
        <w:rPr>
          <w:rFonts w:ascii="Times New Roman" w:hAnsi="Times New Roman"/>
          <w:sz w:val="24"/>
        </w:rPr>
        <w:t xml:space="preserve"> </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ascii="Times New Roman" w:hAnsi="Times New Roman"/>
          <w:sz w:val="24"/>
        </w:rPr>
        <w:t xml:space="preserve">applies separate learnable linear projections to</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then computes their cosine similarity to produce the raw score</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 For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ascii="Times New Roman" w:hAnsi="Times New Roman"/>
          <w:sz w:val="24"/>
        </w:rPr>
        <w:t xml:space="preserve">An independent foreground head uses</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to predict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of candidate</w:t>
      </w:r>
      <w:r>
        <w:rPr>
          <w:rFonts w:ascii="Times New Roman" w:hAnsi="Times New Roman"/>
          <w:sz w:val="24"/>
        </w:rPr>
        <w:t xml:space="preserve"> </w:t>
      </w:r>
      <m:oMath>
        <m:sSub>
          <m:e>
            <m:r>
              <m:t>B</m:t>
            </m:r>
          </m:e>
          <m:sub>
            <m:r>
              <m:t>j</m:t>
            </m:r>
          </m:sub>
        </m:sSub>
      </m:oMath>
      <w:r>
        <w:rPr>
          <w:rFonts w:ascii="Times New Roman" w:hAnsi="Times New Roman"/>
          <w:sz w:val="24"/>
        </w:rPr>
        <w:t xml:space="preserve">. Thus, Match provides each candidate’s foreground probability and ligand-identity matching scores for downstream pose modelling.</w:t>
      </w:r>
    </w:p>
    <w:bookmarkEnd w:id="84"/>
    <w:bookmarkStart w:id="85" w:name="labels-and-loss-functions"/>
    <w:p>
      <w:pPr>
        <w:pStyle w:val="Heading3"/>
        <w:keepNext/>
        <w:spacing w:line="480" w:lineRule="auto"/>
        <w:ind w:firstLine="0"/>
      </w:pPr>
      <w:r>
        <w:rPr>
          <w:rFonts w:ascii="Times New Roman" w:hAnsi="Times New Roman"/>
          <w:sz w:val="24"/>
        </w:rPr>
        <w:t xml:space="preserve">Labels and loss functions</w:t>
      </w:r>
    </w:p>
    <w:p>
      <w:pPr>
        <w:pStyle w:val="FirstParagraph"/>
        <w:spacing w:line="480" w:lineRule="auto" w:after="120"/>
        <w:ind w:firstLine="480"/>
      </w:pPr>
      <w:r>
        <w:rPr>
          <w:rFonts w:ascii="Times New Roman" w:hAnsi="Times New Roman"/>
          <w:sz w:val="24"/>
        </w:rPr>
        <w:t xml:space="preserve">A candidate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480" w:lineRule="auto" w:after="120"/>
        <w:ind w:firstLine="480"/>
      </w:pPr>
      <w:r>
        <w:rPr>
          <w:rFonts w:ascii="Times New Roman" w:hAnsi="Times New Roman"/>
          <w:sz w:val="24"/>
        </w:rPr>
        <w:t xml:space="preserve">Match uses cross-entropy losses to supervise both ligand-identity matching and foreground classification. Let</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denote the foreground label, and let</w:t>
      </w:r>
      <w:r>
        <w:rPr>
          <w:rFonts w:ascii="Times New Roman" w:hAnsi="Times New Roman"/>
          <w:sz w:val="24"/>
        </w:rPr>
        <w:t xml:space="preserve"> </w:t>
      </w:r>
      <m:oMath>
        <m:sSubSup>
          <m:e>
            <m:r>
              <m:t>k</m:t>
            </m:r>
          </m:e>
          <m:sub>
            <m:r>
              <m:t>j</m:t>
            </m:r>
          </m:sub>
          <m:sup>
            <m:r>
              <m:rPr>
                <m:sty m:val="p"/>
              </m:rPr>
              <m:t>*</m:t>
            </m:r>
          </m:sup>
        </m:sSubSup>
      </m:oMath>
      <w:r>
        <w:rPr>
          <w:rFonts w:ascii="Times New Roman" w:hAnsi="Times New Roman"/>
          <w:sz w:val="24"/>
        </w:rPr>
        <w:t xml:space="preserve"> </w:t>
      </w:r>
      <w:r>
        <w:rPr>
          <w:rFonts w:ascii="Times New Roman" w:hAnsi="Times New Roman"/>
          <w:sz w:val="24"/>
        </w:rPr>
        <w:t xml:space="preserve">denote the ground-truth identity’s index in</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ascii="Times New Roman" w:hAnsi="Times New Roman"/>
          <w:sz w:val="24"/>
        </w:rP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ascii="Times New Roman" w:hAnsi="Times New Roman"/>
          <w:sz w:val="24"/>
        </w:rP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ascii="Times New Roman" w:hAnsi="Times New Roman"/>
          <w:sz w:val="24"/>
        </w:rPr>
        <w:t xml:space="preserve">We set the foreground and identity loss weights to</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λ</m:t>
            </m:r>
          </m:e>
          <m:sub>
            <m:r>
              <m:rPr>
                <m:sty m:val="p"/>
              </m:rPr>
              <m:t>i</m:t>
            </m:r>
            <m:r>
              <m:rPr>
                <m:sty m:val="p"/>
              </m:rPr>
              <m:t>d</m:t>
            </m:r>
          </m:sub>
        </m:sSub>
        <m:r>
          <m:rPr>
            <m:sty m:val="p"/>
          </m:rPr>
          <m:t>=</m:t>
        </m:r>
        <m:r>
          <m:t>1.0</m:t>
        </m:r>
      </m:oMath>
      <w:r>
        <w:rPr>
          <w:rFonts w:ascii="Times New Roman" w:hAnsi="Times New Roman"/>
          <w:sz w:val="24"/>
        </w:rPr>
        <w:t xml:space="preserve">, respectively.</w:t>
      </w:r>
    </w:p>
    <w:bookmarkEnd w:id="85"/>
    <w:bookmarkEnd w:id="86"/>
    <w:bookmarkStart w:id="89" w:name="stage-3-build"/>
    <w:p>
      <w:pPr>
        <w:pStyle w:val="Heading2"/>
        <w:keepNext/>
        <w:spacing w:line="480" w:lineRule="auto"/>
        <w:ind w:firstLine="0"/>
      </w:pPr>
      <w:r>
        <w:rPr>
          <w:rFonts w:ascii="Times New Roman" w:hAnsi="Times New Roman"/>
          <w:sz w:val="24"/>
        </w:rPr>
        <w:t xml:space="preserve">Stage 3: Build</w:t>
      </w:r>
    </w:p>
    <w:bookmarkStart w:id="87" w:name="overview-2"/>
    <w:p>
      <w:pPr>
        <w:pStyle w:val="Heading3"/>
        <w:keepNext/>
        <w:spacing w:line="480" w:lineRule="auto"/>
        <w:ind w:firstLine="0"/>
      </w:pPr>
      <w:r>
        <w:rPr>
          <w:rFonts w:ascii="Times New Roman" w:hAnsi="Times New Roman"/>
          <w:sz w:val="24"/>
        </w:rPr>
        <w:t xml:space="preserve">Overview</w:t>
      </w:r>
    </w:p>
    <w:p>
      <w:pPr>
        <w:pStyle w:val="FirstParagraph"/>
        <w:spacing w:line="480" w:lineRule="auto" w:after="120"/>
        <w:ind w:firstLine="480"/>
      </w:pPr>
      <w:r>
        <w:rPr>
          <w:rFonts w:ascii="Times New Roman" w:hAnsi="Times New Roman"/>
          <w:sz w:val="24"/>
        </w:rP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rFonts w:ascii="Times New Roman" w:hAnsi="Times New Roman"/>
          <w:sz w:val="24"/>
          <w:vertAlign w:val="superscript"/>
        </w:rPr>
        <w:t xml:space="preserve">30</w:t>
      </w:r>
      <w:r>
        <w:rPr>
          <w:rFonts w:ascii="Times New Roman" w:hAnsi="Times New Roman"/>
          <w:sz w:val="24"/>
        </w:rPr>
        <w:t xml:space="preserve">, DiffDock, or Emap2lig-Build) tailored to specific ligand classes.</w:t>
      </w:r>
    </w:p>
    <w:p>
      <w:pPr>
        <w:pStyle w:val="BodyText"/>
        <w:spacing w:line="480" w:lineRule="auto" w:after="120"/>
        <w:ind w:firstLine="480"/>
      </w:pPr>
      <w:r>
        <w:rPr>
          <w:rFonts w:ascii="Times New Roman" w:hAnsi="Times New Roman"/>
          <w:sz w:val="24"/>
        </w:rP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a unified generative model for small molecules, to incorporate local cryo-EM density as an explicit conditioning signal, initialising it with official weights and fine-tuning it on eligible small molecules.</w:t>
      </w:r>
    </w:p>
    <w:bookmarkEnd w:id="87"/>
    <w:bookmarkStart w:id="88" w:name="pocketxmol-fine-tuning-experiments"/>
    <w:p>
      <w:pPr>
        <w:pStyle w:val="Heading3"/>
        <w:keepNext/>
        <w:spacing w:line="480" w:lineRule="auto"/>
        <w:ind w:firstLine="0"/>
      </w:pPr>
      <w:r>
        <w:rPr>
          <w:rFonts w:ascii="Times New Roman" w:hAnsi="Times New Roman"/>
          <w:sz w:val="24"/>
        </w:rPr>
        <w:t xml:space="preserve">PocketXMol fine-tuning experiments</w:t>
      </w:r>
    </w:p>
    <w:p>
      <w:pPr>
        <w:pStyle w:val="FirstParagraph"/>
        <w:spacing w:line="480" w:lineRule="auto" w:after="120"/>
        <w:ind w:firstLine="480"/>
      </w:pPr>
      <w:r>
        <w:rPr>
          <w:rFonts w:ascii="Times New Roman" w:hAnsi="Times New Roman"/>
          <w:sz w:val="24"/>
        </w:rPr>
        <w:t xml:space="preserve">PocketXMol fine-tuning used the same training, validation and test partitions described above. From each PDB entry in these partitions, we included all eligible small molecules. The training, validation and test sets contained 65,290, 781 and 446 ligand instances, respectively. No probability or score threshold required calibration at this stage, so a calibration set was unnecessary.</w:t>
      </w:r>
    </w:p>
    <w:p>
      <w:pPr>
        <w:pStyle w:val="BodyText"/>
        <w:spacing w:line="480" w:lineRule="auto" w:after="120"/>
        <w:ind w:firstLine="480"/>
      </w:pPr>
      <w:r>
        <w:rPr>
          <w:rFonts w:ascii="Times New Roman" w:hAnsi="Times New Roman"/>
          <w:sz w:val="24"/>
        </w:rP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88"/>
    <w:bookmarkEnd w:id="89"/>
    <w:bookmarkStart w:id="123" w:name="end-to-end-evaluation-process"/>
    <w:p>
      <w:pPr>
        <w:pStyle w:val="Heading2"/>
        <w:keepNext/>
        <w:spacing w:line="480" w:lineRule="auto"/>
        <w:ind w:firstLine="0"/>
      </w:pPr>
      <w:r>
        <w:rPr>
          <w:rFonts w:ascii="Times New Roman" w:hAnsi="Times New Roman"/>
          <w:sz w:val="24"/>
        </w:rPr>
        <w:t xml:space="preserve">End-to-end evaluation process</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5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relative to their templates.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V0tvHEUQ_iutvWLveNfeEC_BUuTECMlEVgInBlm9PbW7Lc90N909u3YIUg6RgAM3hISAAyc4hQsSgkjwXyJC_DP4anp2vXmAIvKQLMXSevpR9VV1d31dXZ90nIzTzlB0Hn5178G3f2RX-1dPf77z171fT-_-cPrLb6c_3nnw-Tdd5-JxZ010PAVbzqhghd1hnn8QyIc87w22e9t5foXCUbQuz0_v_v7315-dfvnFw5_-zPOEnOf_DW1kRQxLfVqXStnaRG0m674uKawXXo4jSynporbmsJL-qHaQ_7BzaT504rgqTRjO38470xjdMMuCmlIlQ9c6MpgcW1_JiK6fZHPrC-etohBgoSqz_sbGhayS2uSdHUY78M3nRjwpScyHM1kC991KTmg3mWe5bCHBskdEbl8bCs34Sm8-DE4qmAFOiSEA9bc28k7bvY7VYUjW0baYrThralNAbKx9iPtJdaMVwkxyIHma_rXtPWtigJ4MSmvovK8rCuIazcV1W0nTmJ5eNuGpcw1qgmCwUdMfNc3dtLbmCzdvLjemv7Vw_WZST45EPpNmOey5Q-SQnxFE9_SkK3oDcUvsTqWf8N40hyxwRiLOrSBTrEe7jo8gmKglb7kIFDkgQpdtxGTppS7-OZYoXpWPL-WA5DnY4TWxrycSgeJpwtFRUCTVxAkGhS4It0c8EeC8mnKESeVtCEKWpSgbRaFKGQKFrhj9K9ba04Cg6mwg4UlZE6Kvk1kOXgK0HuHOCBUbqmxJiiN7DZBjMLgQMgi-c0qCraCLmgQuJGm0elxFzHWcCmOFjLYKotLNXQWjJdgwIxGtiFPSIAxVDmO8kMvn4NxeGTOew8f7t797o3f_9vfnwNXzsJ1IVlpxhCJiZeSwFYovfqZD5PCNQhvlSYKNYnQirKG3GilZTqwHDSoR8KoImFCUJlq1UlcaygG0kEj3BcjElBnXHlJeKHBVF41l6UlMyJBHr2AjDJNYf4PoaH0PTr5OLC-MPnuecAkeafeaRS_Kx4qkCc2eOk4EDYtq75GezuK8SRq2bviEuZSuhCwKzSlKli3vuuIKKR04axlbwGFtZnjVs3ibG6c6Imm1nXjimEGraVVZWFYRL9xErZVnmgJjyWspRuAzGGkaVz2NCb6Cv9IYGxvRhMnqGBF4kM-AX7SZDZmwoJLzpTaujo-9-vjpu9P5CPXAsg7oDN7c3NzqDY43L_YvXtzYunXJaTXEry0N5DOVBqgz5k_UBC0CsP4PBtRi7WkJ458JxI7HWtEVq-oKe56QUvLHxk21Cxw9vEIzO9CKY4c76trswOOxERRb2R1mTX2WNeVZ1lZn2WpxlvFFimWaGiraxcOxnsDZcHj48XzrQgh1lgYON_DXG3SdmWAhugD6dh8tLtrQPlisEUez9OPMpeSg5B3ct-oo4MDx9DcTuuy9nU9JFgEgPcZbTASH-EqDwDxTXTGQULMnNmFUareny5ItcrvRTw05xION8JLj5hgy12GlmX-ksxTKHsXjXkDNJUbz9xCeK4WbHB6PfcVfHJw4TqWaOFmWbM04T9Mx-MrzbbhCSrFYG7WtMKSa7wLUoQR8h2wluAFpJl8yK2f7IcmetRbSPG9scj07a8phaQRXytuD_iChPFWKz-VqU2iutOUwSl0uhlfbpWn3K7jlueC30_n0H_p6vBY" id="91" name="Picture"/>
            <a:graphic>
              <a:graphicData uri="http://schemas.openxmlformats.org/drawingml/2006/picture">
                <pic:pic>
                  <pic:nvPicPr>
                    <pic:cNvPr descr="C:/Users/15919/Desktop/论文草稿/temp/manuscript_figures__qw46ssu/figure_000015.png" id="92" name="Picture"/>
                    <pic:cNvPicPr>
                      <a:picLocks noChangeArrowheads="1" noChangeAspect="1"/>
                    </pic:cNvPicPr>
                  </pic:nvPicPr>
                  <pic:blipFill>
                    <a:blip r:embed="rId90"/>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Charging rules for two end-to-end evaluation settings.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Ligand-region detection and identity matching across all ligand classes. b, Ligand-region detection, identity matching and pose reconstruction for eligible small molecules, defined as single-residue organic small molecules with no atoms missing relative to their templates. A</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indicates that the charged attempt increases by one; the algorithm stops once the attempt limit is reached or no further candidates are generated by the LigandSeek-Find.</w:t>
      </w:r>
      <w:r>
        <w:rPr>
          <w:rFonts w:ascii="Times New Roman" w:hAnsi="Times New Roman"/>
          <w:sz w:val="24"/>
        </w:rPr>
        <w:t xml:space="preserve"> </w:t>
      </w:r>
      <w:r>
        <w:rPr>
          <w:rFonts w:ascii="Times New Roman" w:hAnsi="Times New Roman"/>
          <w:sz w:val="24"/>
        </w:rPr>
        <w:t xml:space="preserve">“Free skip”</w:t>
      </w:r>
      <w:r>
        <w:rPr>
          <w:rFonts w:ascii="Times New Roman" w:hAnsi="Times New Roman"/>
          <w:sz w:val="24"/>
        </w:rPr>
        <w:t xml:space="preserve"> </w:t>
      </w:r>
      <w:r>
        <w:rPr>
          <w:rFonts w:ascii="Times New Roman" w:hAnsi="Times New Roman"/>
          <w:sz w:val="24"/>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480" w:lineRule="auto" w:after="120"/>
        <w:ind w:firstLine="480"/>
      </w:pPr>
      <w:r>
        <w:rPr>
          <w:rFonts w:ascii="Times New Roman" w:hAnsi="Times New Roman"/>
          <w:sz w:val="24"/>
        </w:rPr>
        <w:t xml:space="preserve">We evaluated two end-to-end tasks: region detection and identity matching across all ligand categories, and full pose reconstruction for eligible small molecules. The attempt-accounting rules are summarised in</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15</w:t>
      </w:r>
      <w:r>
        <w:rPr>
          <w:rFonts w:ascii="Times New Roman" w:hAnsi="Times New Roman"/>
          <w:sz w:val="24"/>
        </w:rPr>
        <w:t xml:space="preserve"> </w:t>
      </w:r>
      <w:r>
        <w:rPr>
          <w:rFonts w:ascii="Times New Roman" w:hAnsi="Times New Roman"/>
          <w:sz w:val="24"/>
        </w:rPr>
        <w:t xml:space="preserve">and detailed below.</w:t>
      </w:r>
    </w:p>
    <w:p>
      <w:pPr>
        <w:pStyle w:val="BodyText"/>
        <w:spacing w:line="480" w:lineRule="auto" w:after="120"/>
        <w:ind w:firstLine="480"/>
      </w:pPr>
      <w:r>
        <w:rPr>
          <w:rFonts w:ascii="Times New Roman" w:hAnsi="Times New Roman"/>
          <w:sz w:val="24"/>
        </w:rP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480" w:lineRule="auto" w:after="120"/>
        <w:ind w:firstLine="480"/>
      </w:pPr>
      <w:r>
        <w:rPr>
          <w:rFonts w:ascii="Times New Roman" w:hAnsi="Times New Roman"/>
          <w:sz w:val="24"/>
        </w:rPr>
        <w:t xml:space="preserve">For end-to-end modelling of eligible small molecules, false-positive candidates likewise consume one attempt before the next candidate is examined.</w:t>
      </w:r>
    </w:p>
    <w:p>
      <w:pPr>
        <w:pStyle w:val="BodyText"/>
        <w:spacing w:line="480" w:lineRule="auto" w:after="120"/>
        <w:ind w:firstLine="480"/>
      </w:pPr>
      <w:r>
        <w:rPr>
          <w:rFonts w:ascii="Times New Roman" w:hAnsi="Times New Roman"/>
          <w:sz w:val="24"/>
        </w:rP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480" w:lineRule="auto" w:after="120"/>
        <w:ind w:firstLine="480"/>
      </w:pPr>
      <w:r>
        <w:rPr>
          <w:rFonts w:ascii="Times New Roman" w:hAnsi="Times New Roman"/>
          <w:sz w:val="24"/>
        </w:rP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PocketXMol-tuned performs docking, and success is determined from the top-1 or best-of-50 pose and the corresponding RMSD threshold.</w:t>
      </w:r>
    </w:p>
    <w:p>
      <w:pPr>
        <w:pStyle w:val="BodyText"/>
        <w:spacing w:line="480" w:lineRule="auto" w:after="120"/>
        <w:ind w:firstLine="480"/>
      </w:pPr>
      <w:r>
        <w:rPr>
          <w:rFonts w:ascii="Times New Roman" w:hAnsi="Times New Roman"/>
          <w:sz w:val="24"/>
        </w:rPr>
        <w:t xml:space="preserve">According to the aforementioned rules, when a ligand outside the eligible small-molecule subset is correctly detected and matched, we still skip docking without consuming an attempt. This ensures that all evaluated docking tasks use the same downstream tool, PocketXMol-tuned. However, a region corresponding to a true non-small-molecule ligand consumes one attempt if it is misidentified as a small molecule. In this case, it is actually an unmatched distractor and counts as a failed attempt.</w:t>
      </w:r>
    </w:p>
    <w:p>
      <w:pPr>
        <w:pStyle w:val="BodyText"/>
        <w:spacing w:line="480" w:lineRule="auto" w:after="120"/>
        <w:ind w:firstLine="480"/>
      </w:pPr>
      <w:r>
        <w:rPr>
          <w:rFonts w:ascii="Times New Roman" w:hAnsi="Times New Roman"/>
          <w:sz w:val="24"/>
        </w:rP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3">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4">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5">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6">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97">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98">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99">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0">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1">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2">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3">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4">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5">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06">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07">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08">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09">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10">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11">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12">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13">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14">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15">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16">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17">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18">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19">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Vaswani, A. et al.</w:t>
      </w:r>
      <w:r>
        <w:rPr>
          <w:rFonts w:ascii="Times New Roman" w:hAnsi="Times New Roman"/>
          <w:sz w:val="24"/>
        </w:rPr>
        <w:t xml:space="preserve"> </w:t>
      </w:r>
      <w:hyperlink r:id="rId120">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p>
      <w:pPr>
        <w:pStyle w:val="MDConverterBibliography"/>
        <w:spacing w:line="480" w:lineRule="auto"/>
      </w:pPr>
      <w:r>
        <w:rPr>
          <w:rFonts w:ascii="Times New Roman" w:hAnsi="Times New Roman"/>
          <w:sz w:val="24"/>
        </w:rPr>
        <w:t xml:space="preserve">29.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21">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22">
        <w:r>
          <w:rPr>
            <w:rStyle w:val="Hyperlink"/>
          </w:rPr>
          <w:t xml:space="preserve">10.1002/jcc.21334</w:t>
        </w:r>
      </w:hyperlink>
      <w:r>
        <w:rPr>
          <w:rFonts w:ascii="Times New Roman" w:hAnsi="Times New Roman"/>
          <w:sz w:val="24"/>
        </w:rPr>
        <w:t xml:space="preserve">.</w:t>
      </w:r>
    </w:p>
    <w:bookmarkEnd w:id="123"/>
    <w:bookmarkEnd w:id="124"/>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U7MS8lMSSxJ1S0sTczJLKmsSa6tBQAUBQ7C">
    <w:name w:val="MDFIGREF_eJyrrk7LTC9KTbMqLklMTzXUTU7MS8lMSSxJ1S0sTczJLKmsSa6tBQAUBQ7C"/>
    <w:basedOn w:val="BodyTextChar"/>
  </w:style>
  <w:style w:type="character" w:customStyle="1" w:styleId="MDFIGREF_eJyrrk7LTC9KTbMqLklMTzXUTU7MS8lMSSxJ1S0sTczJLKmsSamtBQAUCA7D">
    <w:name w:val="MDFIGREF_eJyrrk7LTC9KTbMqLklMTzXUTU7MS8lMSSxJ1S0sTczJLKmsSamtBQAUCA7D"/>
    <w:basedOn w:val="BodyTextChar"/>
  </w:style>
  <w:style w:type="character" w:customStyle="1" w:styleId="MDFIGREF_eJyrrk7LTC9KTbMqLklMTzXUTU7MS8lMSSxJ1S0sTczJLKmsSaqtBQAUAg7B">
    <w:name w:val="MDFIGREF_eJyrrk7LTC9KTbMqLklMTzXUTU7MS8lMSSxJ1S0sTczJLKmsSaqtBQAUAg7B"/>
    <w:basedOn w:val="BodyTextChar"/>
  </w:style>
  <w:style w:type="character" w:customStyle="1" w:styleId="MDFIGREF_eJyrrk7LTC9KTbMqLklMTzXUTU7MS8lMSSxJ1S0sTczJLKmsSaytBQAT_w7A">
    <w:name w:val="MDFIGREF_eJyrrk7LTC9KTbMqLklMTzXUTU7MS8lMSSxJ1S0sTczJLKmsSaytBQAT_w7A"/>
    <w:basedOn w:val="BodyTextChar"/>
  </w:style>
  <w:style w:type="character" w:customStyle="1" w:styleId="MDFIGREF_eJyrrk7LTC9KTbMqLklMTzXUzS9LLUrMydEtSC1Kyy_KTcxLTq1J1EmqrQUAU-MQLw">
    <w:name w:val="MDFIGREF_eJyrrk7LTC9KTbMqLklMTzXUzS9LLUrMydEtSC1Kyy_KTcxLTq1J1EmqrQUAU-MQLw"/>
    <w:basedOn w:val="BodyTextChar"/>
  </w:style>
  <w:style w:type="character" w:customStyle="1" w:styleId="MDFIGREF_eJyrrk7LTC9KTbMqLklMTzXUzS9LLUrMydEtSC1Kyy_KTcxLTq1J1kmprQUAU_MQMw">
    <w:name w:val="MDFIGREF_eJyrrk7LTC9KTbMqLklMTzXUzS9LLUrMydEtSC1Kyy_KTcxLTq1J1kmprQUAU_MQMw"/>
    <w:basedOn w:val="BodyTextChar"/>
  </w:style>
  <w:style w:type="character" w:customStyle="1" w:styleId="MDFIGREF_eJyrrk7LTC9KTbMqLklMTzXUzS9LLUrMydEtSC1Kyy_KTcxLTq1Jqq0FADTCD6I">
    <w:name w:val="MDFIGREF_eJyrrk7LTC9KTbMqLklMTzXUzS9LLUrMydEtSC1Kyy_KTcxLTq1Jqq0FADTCD6I"/>
    <w:basedOn w:val="BodyTextChar"/>
  </w:style>
  <w:style w:type="character" w:customStyle="1" w:styleId="MDFIGREF_eJyrrk7LTC9KTbMqLklMTzXUzS9LLUrMydEtSC1Kyy_KTcxLTq1JrK0FADS_D6E">
    <w:name w:val="MDFIGREF_eJyrrk7LTC9KTbMqLklMTzXUzS9LLUrMydEtSC1Kyy_KTcxLTq1JrK0FADS_D6E"/>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18" Type="http://schemas.openxmlformats.org/officeDocument/2006/relationships/image" Target="media/rId18.png"/><Relationship Id="rId23" Type="http://schemas.openxmlformats.org/officeDocument/2006/relationships/image" Target="media/rId23.png"/><Relationship Id="rId26" Type="http://schemas.openxmlformats.org/officeDocument/2006/relationships/image" Target="media/rId26.png"/><Relationship Id="rId31" Type="http://schemas.openxmlformats.org/officeDocument/2006/relationships/image" Target="media/rId31.png"/><Relationship Id="rId35" Type="http://schemas.openxmlformats.org/officeDocument/2006/relationships/image" Target="media/rId35.png"/><Relationship Id="rId39" Type="http://schemas.openxmlformats.org/officeDocument/2006/relationships/image" Target="media/rId39.png"/><Relationship Id="rId45" Type="http://schemas.openxmlformats.org/officeDocument/2006/relationships/image" Target="media/rId45.png"/><Relationship Id="rId49" Type="http://schemas.openxmlformats.org/officeDocument/2006/relationships/image" Target="media/rId49.png"/><Relationship Id="rId53" Type="http://schemas.openxmlformats.org/officeDocument/2006/relationships/image" Target="media/rId53.png"/><Relationship Id="rId57" Type="http://schemas.openxmlformats.org/officeDocument/2006/relationships/image" Target="media/rId57.png"/><Relationship Id="rId60" Type="http://schemas.openxmlformats.org/officeDocument/2006/relationships/image" Target="media/rId60.png"/><Relationship Id="rId67" Type="http://schemas.openxmlformats.org/officeDocument/2006/relationships/image" Target="media/rId67.png"/><Relationship Id="rId90" Type="http://schemas.openxmlformats.org/officeDocument/2006/relationships/image" Target="media/rId90.png"/><Relationship Id="rId110" Type="http://schemas.openxmlformats.org/officeDocument/2006/relationships/hyperlink" Target="https://doi.org/10.1002/jcc.20084" TargetMode="External"/><Relationship Id="rId122" Type="http://schemas.openxmlformats.org/officeDocument/2006/relationships/hyperlink" Target="https://doi.org/10.1002/jcc.21334" TargetMode="External"/><Relationship Id="rId118" Type="http://schemas.openxmlformats.org/officeDocument/2006/relationships/hyperlink" Target="https://doi.org/10.1002/nav.3800020109" TargetMode="External"/><Relationship Id="rId112" Type="http://schemas.openxmlformats.org/officeDocument/2006/relationships/hyperlink" Target="https://doi.org/10.1007/978-3-319-46723-8_49" TargetMode="External"/><Relationship Id="rId102" Type="http://schemas.openxmlformats.org/officeDocument/2006/relationships/hyperlink" Target="https://doi.org/10.1016/j.cell.2026.01.003" TargetMode="External"/><Relationship Id="rId104" Type="http://schemas.openxmlformats.org/officeDocument/2006/relationships/hyperlink" Target="https://doi.org/10.1016/j.str.2020.04.018" TargetMode="External"/><Relationship Id="rId100" Type="http://schemas.openxmlformats.org/officeDocument/2006/relationships/hyperlink" Target="https://doi.org/10.1016/j.str.2025.07.002" TargetMode="External"/><Relationship Id="rId94" Type="http://schemas.openxmlformats.org/officeDocument/2006/relationships/hyperlink" Target="https://doi.org/10.1016/j.tibs.2014.10.005" TargetMode="External"/><Relationship Id="rId105" Type="http://schemas.openxmlformats.org/officeDocument/2006/relationships/hyperlink" Target="https://doi.org/10.1021/acs.jmedchem.3c01134" TargetMode="External"/><Relationship Id="rId106" Type="http://schemas.openxmlformats.org/officeDocument/2006/relationships/hyperlink" Target="https://doi.org/10.1021/ci00057a005" TargetMode="External"/><Relationship Id="rId93" Type="http://schemas.openxmlformats.org/officeDocument/2006/relationships/hyperlink" Target="https://doi.org/10.1038/d41586-020-00341-9" TargetMode="External"/><Relationship Id="rId109" Type="http://schemas.openxmlformats.org/officeDocument/2006/relationships/hyperlink" Target="https://doi.org/10.1038/nbt.3988" TargetMode="External"/><Relationship Id="rId103" Type="http://schemas.openxmlformats.org/officeDocument/2006/relationships/hyperlink" Target="https://doi.org/10.1038/s41467-023-36732-5" TargetMode="External"/><Relationship Id="rId95" Type="http://schemas.openxmlformats.org/officeDocument/2006/relationships/hyperlink" Target="https://doi.org/10.1038/s41586-024-07215-4" TargetMode="External"/><Relationship Id="rId114" Type="http://schemas.openxmlformats.org/officeDocument/2006/relationships/hyperlink" Target="https://doi.org/10.1038/s41586-024-07487-w" TargetMode="External"/><Relationship Id="rId117" Type="http://schemas.openxmlformats.org/officeDocument/2006/relationships/hyperlink" Target="https://doi.org/10.1038/s41592-020-01008-z" TargetMode="External"/><Relationship Id="rId97" Type="http://schemas.openxmlformats.org/officeDocument/2006/relationships/hyperlink" Target="https://doi.org/10.1038/s41594-025-01723-1" TargetMode="External"/><Relationship Id="rId119" Type="http://schemas.openxmlformats.org/officeDocument/2006/relationships/hyperlink" Target="https://doi.org/10.1038/s42004-025-01585-0" TargetMode="External"/><Relationship Id="rId108" Type="http://schemas.openxmlformats.org/officeDocument/2006/relationships/hyperlink" Target="https://doi.org/10.1093/nar/28.1.235" TargetMode="External"/><Relationship Id="rId107" Type="http://schemas.openxmlformats.org/officeDocument/2006/relationships/hyperlink" Target="https://doi.org/10.1093/nar/gkad1019" TargetMode="External"/><Relationship Id="rId116" Type="http://schemas.openxmlformats.org/officeDocument/2006/relationships/hyperlink" Target="https://doi.org/10.1109/3dv.2016.79" TargetMode="External"/><Relationship Id="rId111" Type="http://schemas.openxmlformats.org/officeDocument/2006/relationships/hyperlink" Target="https://doi.org/10.1109/cvpr52688.2022.01644" TargetMode="External"/><Relationship Id="rId113" Type="http://schemas.openxmlformats.org/officeDocument/2006/relationships/hyperlink" Target="https://doi.org/10.1109/cvpr52733.2024.00463" TargetMode="External"/><Relationship Id="rId115" Type="http://schemas.openxmlformats.org/officeDocument/2006/relationships/hyperlink" Target="https://doi.org/10.1109/iccv.2017.324" TargetMode="External"/><Relationship Id="rId98" Type="http://schemas.openxmlformats.org/officeDocument/2006/relationships/hyperlink" Target="https://doi.org/10.1126/science.aat4346" TargetMode="External"/><Relationship Id="rId121" Type="http://schemas.openxmlformats.org/officeDocument/2006/relationships/hyperlink" Target="https://doi.org/10.1609/aaai.v32i1.11671" TargetMode="External"/><Relationship Id="rId99" Type="http://schemas.openxmlformats.org/officeDocument/2006/relationships/hyperlink" Target="https://doi.org/10.64898/2026.06.01.729423" TargetMode="External"/><Relationship Id="rId96" Type="http://schemas.openxmlformats.org/officeDocument/2006/relationships/hyperlink" Target="https://doi.org/10.65215/LTSpreprints.2026.04.14.000185" TargetMode="External"/><Relationship Id="rId101" Type="http://schemas.openxmlformats.org/officeDocument/2006/relationships/hyperlink" Target="https://openreview.net/forum?id=kKF8_K-mBbS" TargetMode="External"/><Relationship Id="rId120"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10" Type="http://schemas.openxmlformats.org/officeDocument/2006/relationships/hyperlink" Target="https://doi.org/10.1002/jcc.20084" TargetMode="External"/><Relationship Id="rId122" Type="http://schemas.openxmlformats.org/officeDocument/2006/relationships/hyperlink" Target="https://doi.org/10.1002/jcc.21334" TargetMode="External"/><Relationship Id="rId118" Type="http://schemas.openxmlformats.org/officeDocument/2006/relationships/hyperlink" Target="https://doi.org/10.1002/nav.3800020109" TargetMode="External"/><Relationship Id="rId112" Type="http://schemas.openxmlformats.org/officeDocument/2006/relationships/hyperlink" Target="https://doi.org/10.1007/978-3-319-46723-8_49" TargetMode="External"/><Relationship Id="rId102" Type="http://schemas.openxmlformats.org/officeDocument/2006/relationships/hyperlink" Target="https://doi.org/10.1016/j.cell.2026.01.003" TargetMode="External"/><Relationship Id="rId104" Type="http://schemas.openxmlformats.org/officeDocument/2006/relationships/hyperlink" Target="https://doi.org/10.1016/j.str.2020.04.018" TargetMode="External"/><Relationship Id="rId100" Type="http://schemas.openxmlformats.org/officeDocument/2006/relationships/hyperlink" Target="https://doi.org/10.1016/j.str.2025.07.002" TargetMode="External"/><Relationship Id="rId94" Type="http://schemas.openxmlformats.org/officeDocument/2006/relationships/hyperlink" Target="https://doi.org/10.1016/j.tibs.2014.10.005" TargetMode="External"/><Relationship Id="rId105" Type="http://schemas.openxmlformats.org/officeDocument/2006/relationships/hyperlink" Target="https://doi.org/10.1021/acs.jmedchem.3c01134" TargetMode="External"/><Relationship Id="rId106" Type="http://schemas.openxmlformats.org/officeDocument/2006/relationships/hyperlink" Target="https://doi.org/10.1021/ci00057a005" TargetMode="External"/><Relationship Id="rId93" Type="http://schemas.openxmlformats.org/officeDocument/2006/relationships/hyperlink" Target="https://doi.org/10.1038/d41586-020-00341-9" TargetMode="External"/><Relationship Id="rId109" Type="http://schemas.openxmlformats.org/officeDocument/2006/relationships/hyperlink" Target="https://doi.org/10.1038/nbt.3988" TargetMode="External"/><Relationship Id="rId103" Type="http://schemas.openxmlformats.org/officeDocument/2006/relationships/hyperlink" Target="https://doi.org/10.1038/s41467-023-36732-5" TargetMode="External"/><Relationship Id="rId95" Type="http://schemas.openxmlformats.org/officeDocument/2006/relationships/hyperlink" Target="https://doi.org/10.1038/s41586-024-07215-4" TargetMode="External"/><Relationship Id="rId114" Type="http://schemas.openxmlformats.org/officeDocument/2006/relationships/hyperlink" Target="https://doi.org/10.1038/s41586-024-07487-w" TargetMode="External"/><Relationship Id="rId117" Type="http://schemas.openxmlformats.org/officeDocument/2006/relationships/hyperlink" Target="https://doi.org/10.1038/s41592-020-01008-z" TargetMode="External"/><Relationship Id="rId97" Type="http://schemas.openxmlformats.org/officeDocument/2006/relationships/hyperlink" Target="https://doi.org/10.1038/s41594-025-01723-1" TargetMode="External"/><Relationship Id="rId119" Type="http://schemas.openxmlformats.org/officeDocument/2006/relationships/hyperlink" Target="https://doi.org/10.1038/s42004-025-01585-0" TargetMode="External"/><Relationship Id="rId108" Type="http://schemas.openxmlformats.org/officeDocument/2006/relationships/hyperlink" Target="https://doi.org/10.1093/nar/28.1.235" TargetMode="External"/><Relationship Id="rId107" Type="http://schemas.openxmlformats.org/officeDocument/2006/relationships/hyperlink" Target="https://doi.org/10.1093/nar/gkad1019" TargetMode="External"/><Relationship Id="rId116" Type="http://schemas.openxmlformats.org/officeDocument/2006/relationships/hyperlink" Target="https://doi.org/10.1109/3dv.2016.79" TargetMode="External"/><Relationship Id="rId111" Type="http://schemas.openxmlformats.org/officeDocument/2006/relationships/hyperlink" Target="https://doi.org/10.1109/cvpr52688.2022.01644" TargetMode="External"/><Relationship Id="rId113" Type="http://schemas.openxmlformats.org/officeDocument/2006/relationships/hyperlink" Target="https://doi.org/10.1109/cvpr52733.2024.00463" TargetMode="External"/><Relationship Id="rId115" Type="http://schemas.openxmlformats.org/officeDocument/2006/relationships/hyperlink" Target="https://doi.org/10.1109/iccv.2017.324" TargetMode="External"/><Relationship Id="rId98" Type="http://schemas.openxmlformats.org/officeDocument/2006/relationships/hyperlink" Target="https://doi.org/10.1126/science.aat4346" TargetMode="External"/><Relationship Id="rId121" Type="http://schemas.openxmlformats.org/officeDocument/2006/relationships/hyperlink" Target="https://doi.org/10.1609/aaai.v32i1.11671" TargetMode="External"/><Relationship Id="rId99" Type="http://schemas.openxmlformats.org/officeDocument/2006/relationships/hyperlink" Target="https://doi.org/10.64898/2026.06.01.729423" TargetMode="External"/><Relationship Id="rId96" Type="http://schemas.openxmlformats.org/officeDocument/2006/relationships/hyperlink" Target="https://doi.org/10.65215/LTSpreprints.2026.04.14.000185" TargetMode="External"/><Relationship Id="rId101" Type="http://schemas.openxmlformats.org/officeDocument/2006/relationships/hyperlink" Target="https://openreview.net/forum?id=kKF8_K-mBbS" TargetMode="External"/><Relationship Id="rId120"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2026-10-25T10:10:23Z</dcterms:created>
  <dcterms:modified xsi:type="dcterms:W3CDTF">2026-10-25T10:10:23Z</dcterms:modified>
</cp:coreProperties>
</file>

<file path=docProps/custom.xml><?xml version="1.0" encoding="utf-8"?>
<Properties xmlns="http://schemas.openxmlformats.org/officeDocument/2006/custom-properties" xmlns:vt="http://schemas.openxmlformats.org/officeDocument/2006/docPropsVTypes"/>
</file>