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supplementary-information"/>
    <w:p>
      <w:pPr>
        <w:pStyle w:val="1"/>
        <w:keepNext/>
        <w:ind w:firstLine="0"/>
      </w:pPr>
      <w:r>
        <w:t xml:space="preserve">Supplementary Information</w:t>
      </w:r>
    </w:p>
    <w:bookmarkStart w:id="36" w:name="X5afd4217e687964ac9a9d604ef8882ccb8f91d9"/>
    <w:p>
      <w:pPr>
        <w:pStyle w:val="2"/>
        <w:keepNext/>
        <w:ind w:firstLine="0"/>
      </w:pPr>
      <w:r>
        <w:t xml:space="preserve">Ligand-region detection at a stricter coverage threshold</w:t>
      </w:r>
    </w:p>
    <w:p>
      <w:pPr>
        <w:pStyle w:val="FirstParagraph"/>
        <w:spacing w:line="360" w:lineRule="auto" w:after="120"/>
        <w:ind w:firstLine="420"/>
      </w:pPr>
      <w: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0.126 for Emap2lig-Find</w:t>
      </w:r>
      <w:r>
        <w:t xml:space="preserve"> </w:t>
      </w:r>
      <w:r>
        <w:t xml:space="preserve">(</w:t>
      </w:r>
      <w:r>
        <w:rPr>
          <w:rStyle w:val="MDFIGREF_eJyrrk7LTC9KTbMqLklMTzXULS4pykwu0S3JKEotzsjPSalJrK0FAAjQDoA"/>
        </w:rPr>
        <w:t xml:space="preserve">Fig. 1a</w:t>
      </w:r>
      <w:r>
        <w:t xml:space="preserve">).</w:t>
      </w:r>
      <w:r>
        <w:t xml:space="preserve"> </w:t>
      </w:r>
      <w:r>
        <w:t xml:space="preserve">The corresponding small-molecule scores were 0.605, 0.499 and 0.293, preserving the same advantage</w:t>
      </w:r>
      <w:r>
        <w:t xml:space="preserve"> </w:t>
      </w:r>
      <w:r>
        <w:t xml:space="preserve">(</w:t>
      </w:r>
      <w:r>
        <w:rPr>
          <w:rStyle w:val="MDFIGREF_eJyrrk7LTC9KTbMqLklMTzXULS4pykwu0S3JKEotzsjPSalJqq0FAAjTDoE"/>
        </w:rPr>
        <w:t xml:space="preserve">Fig. 1b</w:t>
      </w:r>
      <w:r>
        <w:t xml:space="preserve">).</w:t>
      </w:r>
    </w:p>
    <w:p>
      <w:pPr>
        <w:pStyle w:val="CaptionedFigure"/>
        <w:keepNext/>
        <w:spacing w:line="240" w:lineRule="auto" w:before="0" w:after="0"/>
        <w:ind w:firstLine="0"/>
        <w:jc w:val="center"/>
      </w:pPr>
      <w:r>
        <w:drawing>
          <wp:inline>
            <wp:extent cx="5731510" cy="2176922"/>
            <wp:effectExtent b="0" l="0" r="0" t="0"/>
            <wp:docPr descr="Fig. 1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19vHDUQ_yrWSkhUurv9017TW0qk6yWpKqXolNInFkW-Xd-uFa9tbN-_UJ4RQuUFxAuIZ576AYhEvwxp-jGYWe9drkkeKniAICJddmz_5jdjz-x49stAU1cFKQkufjg7_-n30Dpasvji7Ps3v_zc09otgw4JDLNKzFmBuFGaZc8tMzbL4v4gHmTZHrMnTukse_vqtzc_fv325TcXv77OMk-YZTcySlozZPOLXesMz13XVWCpUqJASE6140oe19SczDSAPwseLlJNlrWQNl18nAWVczoNQ5tXrKa2pzSTsDhVpqYOhqYMF8oU2qicWctlWYswiaL7YU25zIJdZBub5vHMrQQji3ROBfA-qcGpkTePuHCNQOwJY_qQS2ab-a3RIrWa5mAGeARMAVFyL8qCdng0EzhFZ061nC0cNbksADblxrpDrxq1IFjxDnhP_b9WPlDSWdCjNuccdM5ffgfn_8fZ6_NX3zZ2GbVuaDm9aa0aSntdqbHlidHEpBlPGnHkd9w8wfnTzXHFD9YbOvXq3j2HkWo2ifvREFlm5gygB7zskZi8IIe8pLLoGlbCQZOCOZbjkRPqCCU-JZghuZozAwEhm-zooRXnbf0Dh_I3tk5urec-Vs8YO-keYLbOLLMQMq0sd6wghuVMO2Us-fDxp3eIMmRkVmroVJ1AfHMlIZyz_ApyNEzuEGAl3EKUa00NrC-4qyDUDMhhR27VVVKsSM1cpQqyX1OdCF42PvTIUAgiGsc8geGWkXhnQMZ7jwiTkEHgJBpIOv0oIRy8oBKKwUfE1hR0ayVYDu_llvbg3jXlB0l8qfp_7v2bSgm9tdHo3FrP_4t5NLm10eiQJ21p6go2Z4KMj4bPRwSaIEK3qiPWsSs1rwOl2Gq8ckFt1fG37oQX3PhrmIobrl6ipiTq9XvkETWetVKGn8JGAI6dmiWAW2AN7bIvZjjJqISCO4WeyxGtOJ5lA4EKzue8QMxWxe2RfWPA-QnyN7hB_wPAQicAB2TJ1KiaxFEniqJGbaKUg7uFatwNrbW4WqKxd9oNPoeGctNIBv2du3E_jpZJvHN_kCQvHmqep_Bre0v6Xr1lYejiWlPZMgDXX-EANTczbENj3otETac8Z3sqn9VwiJ7JMEExiLbi2mJG4Q7lfMxzzCcc5J_MxwYuWZujlVEaNk192PT0YdvSh9sdfehYrWGbcgYqXLvjKS_BWXtc8365kpKGfuI4wr-4p2UJG-EFsN_tg4QtP8jj9R4hNBs_Ll3yDlI8wUOVQzpJNaqoLNkQ0mJRMVpYfEuQb73QJLGfBM5L1S0DnjW8dggTwfUBFwItotzoe4GmkFbM5RWKU8AcgZVm_Z3BBhS-y4cjC007mSyeqmK786fpcmpqfELgyNL3-mS16fmbeVxmS0dyXG_TFVA5wtqsbcGAap5rUg3fEI8ZvCQoABrfZm-Wzg-tx15KazSuS-VdDy9FmgpJ8FNr0E_6nuVGFMZlv_lS2ZJp6igX6-ltWcj2vKzexAV-u8FXfwLeH3M6" id="34" name="Picture"/>
            <a:graphic>
              <a:graphicData uri="http://schemas.openxmlformats.org/drawingml/2006/picture">
                <pic:pic>
                  <pic:nvPicPr>
                    <pic:cNvPr descr="C:/Users/15919/Desktop/论文草稿/temp/manuscript_figures_mi5gynna/figure_000001.png" id="35" name="Picture"/>
                    <pic:cNvPicPr>
                      <a:picLocks noChangeArrowheads="1" noChangeAspect="1"/>
                    </pic:cNvPicPr>
                  </pic:nvPicPr>
                  <pic:blipFill>
                    <a:blip r:embed="rId33"/>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Ligand-region detection at a stricter coverage threshold.</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36"/>
    <w:bookmarkStart w:id="40" w:name="Xdb45709594eb832e271f9393d5a792b61123874"/>
    <w:p>
      <w:pPr>
        <w:pStyle w:val="2"/>
        <w:keepNext/>
        <w:ind w:firstLine="0"/>
      </w:pPr>
      <w:r>
        <w:t xml:space="preserve">Complete detection curves across ranked candidates</w:t>
      </w:r>
    </w:p>
    <w:p>
      <w:pPr>
        <w:pStyle w:val="FirstParagraph"/>
        <w:spacing w:line="360" w:lineRule="auto" w:after="120"/>
        <w:ind w:firstLine="420"/>
      </w:pPr>
      <w:r>
        <w:t xml:space="preserve">We compared detection completion across the full candidate-count range and retained the distribution of results across individual PDB entries</w:t>
      </w:r>
      <w:r>
        <w:t xml:space="preserve"> </w:t>
      </w:r>
      <w:r>
        <w:t xml:space="preserve">(</w:t>
      </w:r>
      <w:r>
        <w:rPr>
          <w:rStyle w:val="MDFIGREF_eJyrrk7LTC9KTbMqLklMTzXUTc7PLchJLcnMz9NNLi0qSy2urQUA-gsODw"/>
        </w:rPr>
        <w:t xml:space="preserve">Fig. 2</w:t>
      </w:r>
      <w:r>
        <w:t xml:space="preserve">).</w:t>
      </w:r>
      <w:r>
        <w:t xml:space="preserve"> </w:t>
      </w:r>
      <w: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360" w:lineRule="auto" w:after="120"/>
        <w:ind w:firstLine="420"/>
      </w:pPr>
      <w:r>
        <w:t xml:space="preserve">From 100% to 300%, mean completion across all ligands increased from 66.4% to 71.7% with GT receptors and from 55.6% to 63.3% with CA2 receptors. Emap2lig-Find increased from 25.9% to 30.1% over the same candidate-count range. Corresponding small-molecule changes were 70.5% to 73.3% for GT, 59.8% to 68.5% for CA2 and 44.2% to 51.6%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drawing>
          <wp:inline>
            <wp:extent cx="5731510" cy="4275861"/>
            <wp:effectExtent b="0" l="0" r="0" t="0"/>
            <wp:docPr descr="Fig. 2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0uLG0cQ_iuFIBDDSiNpLdsrO4aN7F0Cm7DYzikTllZPS9Oop7vT3aOH44BvIQTn4hAICTnn5B8QQ_xfTPz4GanqHj0264NJDokhC1rVdFd99a4pfdmyLJStIbReff_0xU-_Zz6wqei9evr45S8_d6wNy9YetJzwRs1FQXyjYZ5_6oXzed4bHPQO8vyW8LNgbJ6_fvLbyx--fv3om1e_PsvzBJjnb0TUrBKEli7b3FRWiSCNbvPazYUnHs4snZxVzM1qi9yftW4shhaWldJ-uPggb5Uh2GGWeV6KivmOsULj5cS4igV8dNNsYVxhneHCe6mnlcr63e6VrGJS562bhHbq4tfdsFICFsM5U4j7UYVWjZJ64svWHMQ7E8KeSC18PN95Wgy9ZRzVII7CIwTqX-7mrebxTq3oiNXBNJgNO0lKXSDbRDofTpJot2HCm2RAsjT9a-gjo4NHOea5lCjz4tF3mIA_nj578eTbqFcwHw69ZG-6Kw-1vygUdSVgUjGOz-NIjpLH8RuNv78JV-_a2qH7STyZFyhT0Unyx2IRCUwtsh7JaQf68ABGKe0ClJwyXbQLpDkFHVIVAOPOeA-O6ZkogCOPLFgQvkNqQlL2L0TlH_gO76zlJzFHd4WYtY-oXGuPCSqENV4GTI4TXNhgnIf3j-9dAuNg5FbmMJiq38Y7o31wNf8L5-iwfwkQFaQHmgHM4f1ChhJCKRAcPQqrttFqBZUIpSngdsVsH8sl2tCBQ6Wa4kkATnoBvasHcHrrQxA6OElVhAr6e4NuHyRawTROg-vgK4aylVGCY2PuSB9cviB8rd_biv5fe_-lWcKeP3zM39mM7O0WcAcKdGayB3fPl2YH56SqK-3Bl2YBx_f2APsmFua6G_awqbyl2TkXaoUCm0kJ2FLA8O031dhaY-wjtpSID1NhsKWc5O1KMBy4Zi4cvvWAVQbfYJbhqwg8C9JPVvRKG8tCujScUXjDbSbAAiiKIXQ7-x24zXi56RXkoy4a12RI7GKJuYhvOdjM-g7cw15fttGu5KHfDnoEqCl9TihGvkEwIEgDdujzhz96mDpkKNo4WsI5tSh1Pc6Q1S4uHVjhOPZ2Y3whfZCah217N4aJItkVx0R7nQsQmOeaxVeUqcgZvhPpdZTRSIOqHHCFZ3iDAUAXAm4dSDM-S1afk9U0F61gNCBLBO7AsRMC8yIdVw0DbRFNEaD_bfFFjamg7OE4G6saB6ak7BUXuCuBNzphrsAaSTElnrk0SuotZoxHTBh66Cm1m8hfyAlGb9B9bw96XfqPe9V7EXIfifMjkpaXm63PcaPbbHKtwdX93qDXXV7uXx1cu9J7cMNKPsRPs9yxt1ruCscWF7a6BgGx_g4GioXaiQ2MeysQM5lILm4ZXldYWgkpBQ6jWErraSqQh3p-KjnNBHrgn8xPHZab56RlNMziWp3FrTprlupsd6fOgqgsuqlrFJE2nE3kFI31Z5UcTFdasywdnHXpr9-xeoqOyALR9w-QoqUb6dO1j5iajR1bk5KBjCJ4YvjMgzajkumpOHTOLErBCk-TjvDWF3H0pEPE3IruKEio2YUgjJW0R1Ip0kh0lE8EG2ItisBLIifIcwe1xPtzDxum7DwePXncmmG8-NgUu6s3Gy4nrqJvTBws07INq83SHc_pWiwDcLpvyhW5OLE1VdswI1f8XoNaHG_HOF2BCOSmsZnUsvmJT7xbas1N99ok07MtyYZKA_3WORj0BwnljVyUl9vxp8IOzYY4c9T6eJdWuomXt5u84Odm66s_AdznNFk" id="38" name="Picture"/>
            <a:graphic>
              <a:graphicData uri="http://schemas.openxmlformats.org/drawingml/2006/picture">
                <pic:pic>
                  <pic:nvPicPr>
                    <pic:cNvPr descr="C:/Users/15919/Desktop/论文草稿/temp/manuscript_figures_mi5gynna/figure_000002.png" id="39" name="Picture"/>
                    <pic:cNvPicPr>
                      <a:picLocks noChangeArrowheads="1" noChangeAspect="1"/>
                    </pic:cNvPicPr>
                  </pic:nvPicPr>
                  <pic:blipFill>
                    <a:blip r:embed="rId37"/>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Complete ligand-detection curves across ranked candidates.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End w:id="40"/>
    <w:bookmarkStart w:id="41" w:name="stage-1-ablation-of-ligandseek-find"/>
    <w:p>
      <w:pPr>
        <w:pStyle w:val="2"/>
        <w:keepNext/>
        <w:ind w:firstLine="0"/>
      </w:pPr>
      <w:r>
        <w:t xml:space="preserve">Stage 1: Ablation of LigandSeek-Find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41"/>
    <w:bookmarkStart w:id="51" w:name="stage-3-end-to-end-top-k-success"/>
    <w:p>
      <w:pPr>
        <w:pStyle w:val="2"/>
        <w:keepNext/>
        <w:ind w:firstLine="0"/>
      </w:pPr>
      <w:r>
        <w:t xml:space="preserve">Stage 3: End-to-end top-k success</w:t>
      </w:r>
    </w:p>
    <w:bookmarkStart w:id="42"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42"/>
    <w:bookmarkStart w:id="46"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60245"/>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HEUQfpXWXPHu7K69CR45lszajhA2WiXhxCCr3VM70_LMdNPdsz8hSNwQQuESxAXEmVMeAEvkXRCO8xhUdc-u19iRouSAbMme6uqvvvrp7nJ9E2nuiihh0eXP5xe__hUfDA4uz1-8_v23rtZuHm2wyIBV5RQyAo2SNP3CgrFp2h9u97fTdB_smVM6Td-8_PP1L9-_ef7D5R-v0jSwpelNuppXQFQwgA4vy85E1lmn4k4UtCu4dlLVJxU3Z41G3JfRzizRbF6VtU1mD9KocE4ncWxFARW3XaWhxs2JMsiBS5PHM2UybZQAa2WdV2U86PXuxRWXdRrtEtvY-M9jtyiBzZIpL5H304rnMAruCRcvEYQ9A9BHsgbr9WurWWI1F-gGeUpUIdFgq5dG7fJRU5KKN061nC2cLDFxhE2kse4omPZaEO6EAEKk4U8rH6raWbTjVkiJNhfPf8K6_3P-6uLlj94vcOv2rOS37RV7tb1p5H0FYnJx6tenXhyFjP0Xg3-6Klf_42VCT4N5CM_RSfkkKR-NdwfMFBB6KPMu22TP2AEet1MdwORLmXNcGcix5iwDB4Kqz1DJZAa1k27B_NXAinXJiwu-_oeifEDq7M5G_qQAJhqULbOFmjGHaw1G4NHgY2Fq4jX9-9vMgXVsvP8Jwy0jET-TrmC2EfQKJ03JkDWT_njDnqRjZtw5qLRjp02Wg0PCO1uq64dcJeoY-2rbtqp3altqMpEC9pVoKizismm5guKoAqnb_WwnrrybVhP-jP3H0mtpw9c-eq8L4HFL8OA2Arfb_1Dev7978Rbm3jV93Jbmbp1ulx1iT_7omHrR8kUY-LqRBvDGrxqaUMZgD2O3drTQ7W42tg02K8Bgdt6Hhx5UXA8Q3_Ga__hTdbl4q6fuFUkIFr0pB-zIO38McNZZAdZ0HruBbFYTzxTKRZc9fNJaW_xqZaWDDCECtFOGWWca4Ro02fBso73BCj4yC7XnVDXA3i7wxXvo7cbX2zr9z9uNvsJBYDUARMP7m_1hvzff7N3rDbaGz3a0FAn-to-Lv9Pjygyf3RgGWgbkeh8ONKMMVjTmvV-5gZL7zlhIbeliUob1dCwFXUtaiM-nY4PltYK8jJLYD2Gxn8HidgSL1yewmPoqplk3aCK1O5nInMp9UslhvqhrHgfFSY9-Nru6zjERmSH71hAlmtJQHi9zxKNZxXEVUgiQUwWPlDizrFajgtc57Bmj8FbzzNJjI77lhr9gQYmcV6ZrDgJrfKMIp6XUh7IsySPJ3j4IHBuSAbzDJE4Q8wi9-P1rixUovs5HK4vDFjudHatsfWLjyXxiKvriwbF5mNHYYjWreT1tw9wxQfvtdUWUIFh7a1swovx3Sapx9nsIqmIkIJredHDLp0c2YK-kJZr2axVCj69EnpQ1oxF5ezgYBpZbUXQuB37CXJN54rgsl-p1uazbelm9Ohf83Y2-_ReolX0T" id="44" name="Picture"/>
            <a:graphic>
              <a:graphicData uri="http://schemas.openxmlformats.org/drawingml/2006/picture">
                <pic:pic>
                  <pic:nvPicPr>
                    <pic:cNvPr descr="C:/Users/15919/Desktop/论文草稿/temp/manuscript_figures_mi5gynna/figure_000003.png" id="45" name="Picture"/>
                    <pic:cNvPicPr>
                      <a:picLocks noChangeArrowheads="1" noChangeAspect="1"/>
                    </pic:cNvPicPr>
                  </pic:nvPicPr>
                  <pic:blipFill>
                    <a:blip r:embed="rId43"/>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3</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46"/>
    <w:bookmarkStart w:id="50"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97158"/>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N2OWzUQfhUrV61IcpJ0w3ZDu9KS3a0qdlHULRISB60cHyfHWh_b2D7JphSJG4QQKjdF3IC45qoPQCV6wZsg-vMYzNgnP_tTVLUXJRVVs8eeGX8z9szYY39ZM9TntR6pPf_x8dOf_0j2OnvPHz989usvTWP8aa1OapY7LSc8Q6F-L00_cdy6NG13t9pbabrL3YnXJk1fPPr92U_fvnjw3fPfnqRpREvTi3CKFhyheIc3XEGlbBhhuBSKI5dR44VWxwW1J6UBuc9qN6Y9Q04LqVxvejOt5d6bXpI4lvOCuqY2XAFzpG1BPXTtOJlqmxmrGXdOqHEhk06r9X5SUKHS2jaiDWz4HPmZ5GTam1AJuLcLOub9qB7lkrkEyp5wbg7ARBfoK71pzxnKQA3g4BwAqLPRSmtV904pkURLryvMShxHCpWB2EhY5w_i0FYlBJxoQLQ0_qna-1p5B-OoY0LAmKcPfoB1__vxk6ePvg96OXV-xwl6GS_fUe7ioKArAqOKYegPQ7MfZxy-YPy9xXK1r88ndC8Oj-Z59FSYJM7HQOxwO-Egui_GTbJB7pM9lTW8bnCYfKEzLiUunh6REAtAkpzBorkmgvoI_RbW4A1mStbW8j0pxmIIOXHOF4RaoIGfJG-AtMhKTiDRqBLsguhU-JwoTajXhSOFCDlILJfUiwknXhOfc2GJ54UBGjia9EtQ74jL9RSZxHDLuPKQjhgXSNncBHnnyWD3QwIcK-aKXMkwzUelJDCPTDDM3sgTilD471GRJ8MyG3MPeGvrnLNhVfT0IWzc1b5YvNK-qEcjwfiuZmUBizjfFX2OdhQR1G9_dCMpgpqKEv8Mwsf5GSkq802wPtCi8KACuHkZgN9uvynuX18_fAly6ww9qZZmvbzbJPt4HFD4gfEsJxlX2nNyICDNsiPOTxoLgRVakK1DejnDGSaYnDXJrbtBrL_TmaNk3GgnPI_j-3amdyA9O5DMDNLF25IhD3rceG1JpJSAeg76HUmed-NEpWvrjXoI9vdioLO4-1v-RSngmOHL8oBpCyHpgTWGXR2C2POwv4cgliEJiIAI9wL3DwSDo6ZOpjm3MLtlQu0V1HRAPmbQOX1aydlLNf0f8P-lgB-urTfqa2v5uxhHbG29USdHseAlFktnAtXd6oYJhzwnK2c67mWhTB5odsL9p4daNnyp4KgvQ1W-LAuu3LpbJ8Or_1oeXIGCok7Y1cvqBEKZ1WAWy6kdY5kRy263tiv9VqrtdS1dF0EZz1RH7hwe7ZIhl3Ch65A_v4HLIrkGX5DUUuDZrUCoqk29No12CF24AnK4RmKsDWfxcYA4OJr5BySjLufnBg7hRtjQo0a3FUefPazx9WS79nmd1BZPSbXu5rV2t906vbaxtdnuXr9_wwjWg1_lV_pKfs0snV54VqoQAOt1MGAYZtECxr52gMV7NiRtLoxDN-IM1WQgGDoRO-zjycDCEjqGWvq9JDznJeE1L6ke85LVt7wEMxmmqUoYIow_HokxpvxxIbrjmVI0iYTjFv7baBo1homIDNA3tqCF733QHsznCK5Z2LE0KRpIcQUPYLNyROl-TtWY71iroaKjmcPQRLw5I9xLIhEwl0NXFETU5MIiDKUw-0JK1IjtMD42KNw8LYdaEpsjkLkDWgL_TGchlJzFw54zsMLD6SEE8MrbH-2djmyBX3AcOY2vfWS2ePULdGTzU08Y8qtwBSmGYlXUVsIgFb5zUGOdv8V1QbAB0ljPRrV0cuCi7LI1l0a-0tH0ZNmkPQknB6BsdTvdiHKpFPplL7xVrrRpz1Mh5-TVtlTVejmz8Av8tmtf_QMtm4Hp" id="48" name="Picture"/>
            <a:graphic>
              <a:graphicData uri="http://schemas.openxmlformats.org/drawingml/2006/picture">
                <pic:pic>
                  <pic:nvPicPr>
                    <pic:cNvPr descr="C:/Users/15919/Desktop/论文草稿/temp/manuscript_figures_mi5gynna/figure_000004.png" id="49" name="Picture"/>
                    <pic:cNvPicPr>
                      <a:picLocks noChangeArrowheads="1" noChangeAspect="1"/>
                    </pic:cNvPicPr>
                  </pic:nvPicPr>
                  <pic:blipFill>
                    <a:blip r:embed="rId47"/>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End-to-end modelling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eligible small molecules across 77 PDB entries which contain at least one of them</w:t>
      </w:r>
      <w:r>
        <w:t xml:space="preserve"> </w:t>
      </w:r>
      <w:r>
        <w:t xml:space="preserve">(</w:t>
      </w:r>
      <w:r>
        <w:rPr>
          <w:rStyle w:val="MDFIGREF_eJyrrk7LTC9KTbNKNUrVLc5NzMnRLcgsSM3JzEutSdJJrq0FANjnDNA"/>
        </w:rPr>
        <w:t xml:space="preserve">Fig. 4b,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4b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4c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4a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50"/>
    <w:bookmarkEnd w:id="51"/>
    <w:bookmarkStart w:id="55"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UzcU_ypWpO0pyW1DAzRAJSgtmtSiigpt0jJVju9JrlVf29i-ScOYxB6miTH2wrSXTXveEx9gSONhH2DfAY0_H2PnXN-kKe2AgTQWlkppfM8_n3P8c86J489rloes1mG1Z98_fPLjb8lGa-PZw_tPf_6paW04qNVZzYE3aggpCa13ut3rHpzvdpfbq8ur3e5l8PvB2G73-YNfn_7w9fN7d5798qjbjda63ePmNM-BTPnC2kZf6rQhjHMgQiPnQWSNXiFVSoKp9Fbx8d5IptHDdrMtNXEEt0EavZdzt19YZH1aOz_qWHaQK-07owvdWhaC7SSJFxnk3DeNBY3MvnE4Bz66QTIyLrXOCPBe6kGuktbS0ukk51J3a2tkbceVb7thrICNOkOu0O5HOR_Aepye5JKJBMnuA9ircBCm0kuVyIQxEdqSGvyUUz2NOt5ygb6gukIS6rdW0EL1eK1QROJFMJXVSpw0MYso1pfOh62oOpkaOdHLGE78V403jQ4e9bgXUqLOk3vf4Qr--fDRkwd3y3mB-3DRS34SL7uo_XGlcq5omKbolc-9crgeIy7f0fmb0ywtn50EdDOqR_cCLWcZJMVjEYXghoCim3LQZG12i21icI9v379EgGHC5FYBrQszfeZzrhTLjQKBefN1xr0vckpuBTam5IBj1mQKOsggwTdp7hA9eAepeouEsLn1fANXQfZwf72wXow7pOFyKWigtEwLYLhpuZbimOhIhoxpw3gwuWe5LPczc6B4kENgwbCQgXQsAAKEB1xotjEEN2aWa1CIBx1w03uSYh4_m9iZM2zn8iX0AeGxsnKaITNwLUiRI9zSOtvIuW0pgiEgIauzrRJMuwD70Z11NzYX0Z8W-iHABuNQWaKsOi6bgjVeBkhnZT9GjtQMuMjYwJnC1jEQW7rUMwEtM2dGnvnMjIjRWI4s8KFh-o32EkOb4M8xBf1QspwcZAGDVUWOsTq4UUhMcQZ8OG5Q5ti17d3LzAcnRVDjuQXU0a2Qd8w2VreqLuSvVRdMvy8FXDaiyPGTYVIVQkZ-5NFo6UTe8WHM8spPW7pZ0sr3SiSsfajCOSKESJ7aCGutk8mPb985ifFP5vz9qyMWkioN87yS8-Q5bre59X2O9s-pxf552UpOqlxPmV5serw1OqXaiCWRY205ufaWVQgLZyyIk25pd_ujrY3d5mzxKrDATGq0xfaK7RixD-GTbaMaodBYzwQCAItMinQUq7NRBg5TMi2f0YTEHOpYqweFLB0kn5vsEhf7VPuosCEhNgUi424AWIOpqJmiLHdeIA4ZghCOift9aS2kTXZdpxAwEnSLNPtcKhxOSztGTa0_EsqwsSk02C1iYXRNtmncYj-_bD-HtavvwYaZ34ITaEuEGTBbcNTC1g-74F6RosjcRvgvwfiPLxc4fpeNk1L4pWZu3f_P9U6Pv_3m5B7pBZz_zcf4G814d7GD3qHnVXfEeKDTDkQVWz88FpOxpdNF3sP6YPoslT5Ijd2dLwSdg_YLNVNEUjmUKdrqLU4D_gfdT5NdcQCa0VFzPPoS0gk6X4tnTAgc7CgacKPg-F0BuI4deE8VMKOTSp7jl4wZpRyQpkvrY2aNpBSQ5FAaRadupSBaLsHoZK8gqKLIold5BejaS2_7Yf3BewDb-gImL4fJ8tICJwucvBonrQVO5rv1W5w6vxLjpxYYn2-Mx1OsF36px_92rfZZndWm10Fq7aXWKmLg4HRr-ezp1eVb560UHXxVmOKvhanU8dGxqyGVBbT1JjZQLRQOpmbcG4M7nuxhq5xJ6ymLFKEe7khBOaQHcXW441gKXtAs652kvLeTlNd2kurWTjJ7aSeh74wYpi5QRdqw15cDdNbv5bI9GGvNk0jYW6K_dtPqAQYiU7TeXsERXezB8c4kRlyaqR-HLkUHOWVwy4h9z7RZz7gewEXnzCgDnnpCBtmbMLwFESIRbR6qzkwQrSbHktBT0m5KpWhGGpf6ccBxdzsIIqNhH2Wu4Swl_8jDVCg5ao-evMUM90bbJp29msM7B32X0zsuHDu4UF7GYeMLk0s5JZ3YdFVIEL-CK0oJEqtQWwmX94aSQ6PW-XAFTM5ogNL0-0yclg-3fJQ9HE2kia9NdD05HPKO0owuTK22W-1o5UQpWpeN8irRzJh3ApdqQp4dK13ly9vpuuBrrfbFX2JJhjI" id="53" name="Picture"/>
            <a:graphic>
              <a:graphicData uri="http://schemas.openxmlformats.org/drawingml/2006/picture">
                <pic:pic>
                  <pic:nvPicPr>
                    <pic:cNvPr descr="C:/Users/15919/Desktop/论文草稿/temp/manuscript_figures_mi5gynna/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Find–Build completion of small molecules, assuming correct ligand identities.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55"/>
    <w:bookmarkEnd w:id="5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2026-10-25T09:55:05Z</dcterms:created>
  <dcterms:modified xsi:type="dcterms:W3CDTF">2026-10-25T09:55:05Z</dcterms:modified>
</cp:coreProperties>
</file>

<file path=docProps/custom.xml><?xml version="1.0" encoding="utf-8"?>
<Properties xmlns="http://schemas.openxmlformats.org/officeDocument/2006/custom-properties" xmlns:vt="http://schemas.openxmlformats.org/officeDocument/2006/docPropsVTypes"/>
</file>