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0.3</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 </w:t>
      </w:r>
      <w:r>
        <w:rPr>
          <w:rFonts w:ascii="Times New Roman" w:hAnsi="Times New Roman"/>
          <w:sz w:val="24"/>
        </w:rPr>
        <w:t xml:space="preserve">of 0.541, increasing to 0.663 with deposited receptor structures. Both exceeded the score of 0.269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xjogfm5qSUZ-im6ZZW0tAEHND2w"/>
          <w:rFonts w:ascii="Times New Roman" w:hAnsi="Times New Roman"/>
          <w:sz w:val="24"/>
        </w:rPr>
        <w:t xml:space="preserve">Figs. 1, 13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0.3</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 </w:t>
      </w:r>
      <w:r>
        <w:rPr>
          <w:rFonts w:ascii="Times New Roman" w:hAnsi="Times New Roman"/>
          <w:sz w:val="24"/>
        </w:rPr>
        <w:t xml:space="preserve">of 0.541, compared with 0.269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10"/>
    <w:bookmarkStart w:id="14" w:name="overview-of-ligandseek"/>
    <w:p>
      <w:pPr>
        <w:pStyle w:val="Heading1"/>
        <w:keepNext/>
        <w:spacing w:line="480" w:lineRule="auto"/>
        <w:ind w:firstLine="0"/>
      </w:pPr>
      <w:r>
        <w:rPr>
          <w:rFonts w:ascii="Times New Roman" w:hAnsi="Times New Roman"/>
          <w:sz w:val="24"/>
        </w:rPr>
        <w:t xml:space="preserve">Overview of LigandSeek</w:t>
      </w:r>
    </w:p>
    <w:p>
      <w:pPr>
        <w:pStyle w:val="CaptionedFigure"/>
        <w:keepNext/>
        <w:spacing w:line="240" w:lineRule="auto" w:before="0" w:after="0"/>
        <w:ind w:firstLine="0"/>
        <w:jc w:val="center"/>
      </w:pPr>
      <w:r>
        <w:rPr>
          <w:rFonts w:ascii="Times New Roman" w:hAnsi="Times New Roman"/>
          <w:sz w:val="24"/>
        </w:rPr>
        <w:drawing>
          <wp:inline>
            <wp:extent cx="5029200" cy="1951202"/>
            <wp:effectExtent b="0" l="0" r="0" t="0"/>
            <wp:docPr descr="Fig. 1 | Find–Match–Build workflow of LigandSeek for automated ligand modelling. LigandSeek-Find (Find) uses an experimental cryo-electron microscopy (cryo-EM) density map and a receptor structure, supplied directly or reconstructed by CryoAtom2. Candidate ligand identities are provided as SMILES for LigandSeek-Match (Match). Match filters false-positive regions and assigns identities to valid candidates. B1 and B2 illustrate distinct sites assigned the same identity, whereas B3 is rejected. LigandSeek-Build (Build) combines the site, identity, receptor and local density to reconstruct all-atom ligand poses. Structural examples show A1AP0 in 9BJJ (E:1001), CLR in 9LLG (R:603), ATP in 30GA (L:401) and FAD in 9WUP (A:1103). These examples use deposited receptors, with predicted ligands shown as teal sticks. Blob placement and identity connections illustrate the workflow." title="MDPPTFIG_eJzVVs1uGzcQfpWBTjJgayU5DuBFGkBW7CCBHAh2gh66hUFxKYk1lyRI6i9NgdzaHnpq0UsfoD31ARqgfZcCTfIYnSF3JQXJIWjRQw3IO8sZfvPNzw75ZcuyMG_l0Hrzw6u_fvo9e_3y1dufv0GpY21Ytw6h5YQ3ailKMhrmRfHMC-eLondy2jstigfC3wZji-Ltr7-9_vHrt999--aXP4oioRXF-3CaVYKgpnJ2ZJbCLaVY3SyPSVVKbxXb3KxkmTiddE6kJg1nNkijbyrmbhcWVZ-17q1yC-tKaZ-vPila8xBsnmWez0XFfMdYoVE5Na5iAV_dLFsZV1pnuPBe6lmlsn63ezermNRF6z6hjV18XIeNErDKl0wh7qOKzcQwuSe7rLEg21sh7BOxDlvrbm3SKBqjkdTCbzX12yr3lnHkgtsVLuH-_h1EqF-vFoqW2CKYGrU2p51Sl2g2lc6HUdrauEZNYpnCSf9q-cLo4HEf81xK3PNUVsLDE7GCK1MxHV3PB9p_UBdREwSBTeL7JIrDFFt8Is3n23z07zTUn6ftiUigwsVwiLnFDsM-EGh6IWcd6MELuMAw_nz5_SULfI7Ps4VUGLBxt1NlVmCmMJIzpstrIW4BiwyUJay0KEFFBVSmFArTOOuQ35C8_6cJ-Rdhw_-A4y7hR1QcaNP_A1h4dMg0iLUVDr3rwBRwtzFHQgkenNFQSe6M58ZuoB0155cHUApkHDZQMQtULwZOcGED1tIHt-Bh4cQh-IW1SmJVS4nqoDaAepSMTkaomWxgiKADrH-_A0PEkiU2QtMHEh0FGSSxdAJwACxxCf15uL58NDq_ju2zF1xsOWjHx0EH0utUqoBTD6ZMeXFkDVKXS4FMZjgWfAoAx8oM5T2HwQDmWpbAG1a-A2e9aH7WB6nUAsMgsjj5gtQ8AAIT04iFLMNcgMeB2aBuDmE1F04g-7NjkB4ZfCEoDZ39ENLX0o6PA-CmmtDASWCIf7iHtk06cVKGY_GayiD7vUwDU-qIYZKbxGISKJzruli4UaxZZRU68nP8Rge9wbgLUsPp2ePH0D7Pe91u7-AQhqOruDoaPYT2VX63e4yLg6djWjzuPhxAe5TfQcvI6GLwIBp_-mwM7UHe66F1B57OsSt37rAFkXQsCqasichjqmSYY8VFKfluMiR6mhogCGSNiee3VBdlJoDHDxfUxLDXOxtModaY5ljrvapRQpuZ9O6Yofl7v_U5nlzbE6t10u2f4pGz7p2e9Prd_ot7VvIcf_Uhxj7qECsdW713etUIiPVPMHAbfWxbGPdRIGY6lVw8MHxB6UpITigWkzSX1tN0oQj1ciw5zRZ64U-WY4fF8py8DPMsXiayeJfI6qtEtn-TyIKoLIapF7hF2nCD1wYk629Cdz1zi6CztHDTpb9ex-oZBiJLRO8do0S3DZTHTYxYmi2PHaVEkFEGRwa7AbQZzpmeiYFzBj84VnoCJLxG4S02RFpEzN3WPQcJNXsvCRMl7QW2EXkkOe5PAsuxtQROHBJx6Kgr9BL177xsjbJ38ejN48EPk9Ulnn97tweWr6euoicWDtbpvgCb7b0hrpOabjOc9HW7ohUns7pra-N4tcl2oBbvIQ8FDgcS0JqGdXLLliOfbHdSY016bRL1bCeyXGmgO93pSf8koXzQiupyHm87ezLLA5OqWd6Xla7z5e22Lvi73_rqbzpC29E" id="12" name="Picture"/>
            <a:graphic>
              <a:graphicData uri="http://schemas.openxmlformats.org/drawingml/2006/picture">
                <pic:pic>
                  <pic:nvPicPr>
                    <pic:cNvPr descr="C:/Users/15919/Desktop/论文草稿/temp/manuscript_figures_t0xgrutn/figure_000001.png" id="13" name="Picture"/>
                    <pic:cNvPicPr>
                      <a:picLocks noChangeArrowheads="1" noChangeAspect="1"/>
                    </pic:cNvPicPr>
                  </pic:nvPicPr>
                  <pic:blipFill>
                    <a:blip r:embed="rId11"/>
                    <a:stretch>
                      <a:fillRect/>
                    </a:stretch>
                  </pic:blipFill>
                  <pic:spPr bwMode="auto">
                    <a:xfrm>
                      <a:off x="0" y="0"/>
                      <a:ext cx="5029200" cy="1951202"/>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1 | Find–Match–Build workflow of LigandSeek for automated ligand modelling.</w:t>
      </w:r>
      <w:r>
        <w:rPr>
          <w:rFonts w:ascii="Times New Roman" w:hAnsi="Times New Roman"/>
          <w:sz w:val="24"/>
        </w:rPr>
        <w:t xml:space="preserve"> </w:t>
      </w:r>
      <w:r>
        <w:rPr>
          <w:rFonts w:ascii="Times New Roman" w:hAnsi="Times New Roman"/>
          <w:sz w:val="24"/>
        </w:rPr>
        <w:t xml:space="preserve">LigandSeek-Find (Find) uses an experimental cryo-electron microscopy (cryo-EM) density map and a receptor structure, supplied directly or reconstructed by CryoAtom2. Candidate ligand identities are provided as SMILES for LigandSeek-Match (Match). Match filters false-positive regions and assigns identities to valid candidates. B1 and B2 illustrate distinct sites assigned the same identity, whereas B3 is rejected. LigandSeek-Build (Build) combines the site, identity, receptor and local density to reconstruct all-atom ligand poses. Structural examples show A1AP0 in 9BJJ (E:1001), CLR in 9LLG (R:603), ATP in 30GA (L:401) and FAD in 9WUP (A:1103). These examples use deposited receptors, with predicted ligands shown as teal sticks. Blob placement and identity connections illustrate the workflow.</w:t>
      </w:r>
    </w:p>
    <w:p>
      <w:pPr>
        <w:pStyle w:val="BodyText"/>
        <w:spacing w:line="480" w:lineRule="auto" w:after="120"/>
        <w:ind w:firstLine="480"/>
      </w:pPr>
      <w:r>
        <w:rPr>
          <w:rFonts w:ascii="Times New Roman" w:hAnsi="Times New Roman"/>
          <w:sz w:val="24"/>
        </w:rPr>
        <w:t xml:space="preserve">LigandSeek is an automated three-stage framework that reconstructs all-atom ligand poses from experimental cryo-EM density maps</w:t>
      </w:r>
      <w:r>
        <w:rPr>
          <w:rFonts w:ascii="Times New Roman" w:hAnsi="Times New Roman"/>
          <w:sz w:val="24"/>
        </w:rPr>
        <w:t xml:space="preserve"> </w:t>
      </w:r>
      <w:r>
        <w:rPr>
          <w:rFonts w:ascii="Times New Roman" w:hAnsi="Times New Roman"/>
          <w:sz w:val="24"/>
        </w:rPr>
        <w:t xml:space="preserve">(</w:t>
      </w:r>
      <w:r>
        <w:rPr>
          <w:rStyle w:val="MDFIGREF_eJyrrk7LTC9KTbMCUrr5ZalFZZmp5fFlxjogfm5qSUZ-im6ZZW0tAEHND2w"/>
          <w:rFonts w:ascii="Times New Roman" w:hAnsi="Times New Roman"/>
          <w:sz w:val="24"/>
        </w:rPr>
        <w:t xml:space="preserve">Figs. 1, 13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Inputs comprise an experimental cryo-EM density map, a receptor structure, and candidate ligand identities represented by SMILES strings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The receptor can be a deposited structure or a model reconstructed automatically from the density map by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The latter enables automated ligand modelling without manually built receptors. Density information is encoded as a 56-channel multi-view density bank using spatial transformations, while receptor atoms are represented by 50-dimensional features. These atom features encode element types, residue identities, physicochemical properties and local packing environments.</w:t>
      </w:r>
    </w:p>
    <w:p>
      <w:pPr>
        <w:pStyle w:val="BodyText"/>
        <w:spacing w:line="480" w:lineRule="auto" w:after="120"/>
        <w:ind w:firstLine="480"/>
      </w:pPr>
      <w:r>
        <w:rPr>
          <w:rFonts w:ascii="Times New Roman" w:hAnsi="Times New Roman"/>
          <w:sz w:val="24"/>
        </w:rPr>
        <w:t xml:space="preserve">In the first stage, LigandSeek-Find (hereafter Find) uses a hybrid point–voxel network to locate candidate ligand regions (blobs) and extract auxiliary features</w:t>
      </w:r>
      <w:r>
        <w:rPr>
          <w:rFonts w:ascii="Times New Roman" w:hAnsi="Times New Roman"/>
          <w:sz w:val="24"/>
        </w:rPr>
        <w:t xml:space="preserve"> </w:t>
      </w:r>
      <w:r>
        <w:rPr>
          <w:rFonts w:ascii="Times New Roman" w:hAnsi="Times New Roman"/>
          <w:sz w:val="24"/>
        </w:rPr>
        <w:t xml:space="preserve">(</w:t>
      </w:r>
      <w:r>
        <w:rPr>
          <w:rStyle w:val="MDFIGREF_eJyrrk7LTC9KTbMCUrq5qSUZ-Sm6ZZY1ibW1AIsrCjs"/>
          <w:rFonts w:ascii="Times New Roman" w:hAnsi="Times New Roman"/>
          <w:sz w:val="24"/>
        </w:rPr>
        <w:t xml:space="preserve">Fig. 13a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receptor embedding head encodes atom representations, projects them onto the voxel grid and supplies processed atom tokens to the point-cloud branch. In the voxel branch, a 3D 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w:t>
      </w:r>
      <w:r>
        <w:rPr>
          <w:rFonts w:ascii="Times New Roman" w:hAnsi="Times New Roman"/>
          <w:sz w:val="24"/>
        </w:rPr>
        <w:t xml:space="preserve">combines the density bank with projected receptor-atom features to predict voxelwise ligand-region probabilities and auxiliary features. In the point-cloud branch,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ascii="Times New Roman" w:hAnsi="Times New Roman"/>
          <w:sz w:val="24"/>
        </w:rPr>
        <w:t xml:space="preserve">encodes receptor-atom representations and integrates multiscale voxel features through learnable neighbourhood sampling. An AlphaFold3-style</w:t>
      </w:r>
      <w:r>
        <w:rPr>
          <w:rStyle w:val="MDCITE_eJyLdkhMKkrMLc7PMzIwMknMKchITMvPSTGOBQB0aQjy"/>
          <w:rFonts w:ascii="Times New Roman" w:hAnsi="Times New Roman"/>
          <w:sz w:val="24"/>
          <w:vertAlign w:val="superscript"/>
        </w:rPr>
        <w:t xml:space="preserve">17</w:t>
      </w:r>
      <w:r>
        <w:rPr>
          <w:rFonts w:ascii="Times New Roman" w:hAnsi="Times New Roman"/>
          <w:sz w:val="24"/>
        </w:rPr>
        <w:t xml:space="preserve"> </w:t>
      </w:r>
      <w:r>
        <w:rPr>
          <w:rFonts w:ascii="Times New Roman" w:hAnsi="Times New Roman"/>
          <w:sz w:val="24"/>
        </w:rPr>
        <w:t xml:space="preserve">recycling mechanism iteratively refines representations across both branches. Find operates on</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crops, combining overlapping predictions through sliding-window inference to obtain a whole-map probability map. The inference process, comprising thresholding, connected-component analysis, and filtering, subsequently yields candidate blobs for Match.</w:t>
      </w:r>
    </w:p>
    <w:p>
      <w:pPr>
        <w:pStyle w:val="BodyText"/>
        <w:spacing w:line="480" w:lineRule="auto" w:after="120"/>
        <w:ind w:firstLine="480"/>
      </w:pPr>
      <w:r>
        <w:rPr>
          <w:rFonts w:ascii="Times New Roman" w:hAnsi="Times New Roman"/>
          <w:sz w:val="24"/>
        </w:rPr>
        <w:t xml:space="preserve">In the second stage, LigandSeek-Match (hereafter Match) assigns chemical identities to candidate blobs and classifies them as foreground or background to exclude residual false positives</w:t>
      </w:r>
      <w:r>
        <w:rPr>
          <w:rFonts w:ascii="Times New Roman" w:hAnsi="Times New Roman"/>
          <w:sz w:val="24"/>
        </w:rPr>
        <w:t xml:space="preserve"> </w:t>
      </w:r>
      <w:r>
        <w:rPr>
          <w:rFonts w:ascii="Times New Roman" w:hAnsi="Times New Roman"/>
          <w:sz w:val="24"/>
        </w:rPr>
        <w:t xml:space="preserve">(</w:t>
      </w:r>
      <w:r>
        <w:rPr>
          <w:rStyle w:val="MDFIGREF_eJyrrk7LTC9KTbMCUrq5qSUZ-Sm6ZZY1SbW1AIsuCjw"/>
          <w:rFonts w:ascii="Times New Roman" w:hAnsi="Times New Roman"/>
          <w:sz w:val="24"/>
        </w:rPr>
        <w:t xml:space="preserve">Fig. 13b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It supports organic small molecules, metal ions, sugars and other ligand classes. Match pairs a candidate encoder with an identity encoder in a cross-modal architecture. For each candidate blob, the candidate encoder applies a 3D U-Net to a local</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crop to obtain a base voxel summary. Mean and maximum pooling, cross-attention and feature-wise linear modulation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ascii="Times New Roman" w:hAnsi="Times New Roman"/>
          <w:sz w:val="24"/>
        </w:rPr>
        <w:t xml:space="preserve">integrate surrounding pocket atoms, blob features and auxiliary features from Find into the final candidate representation. In parallel, the identity encoder processes user-provided SMILES strings within the same PDB entry. Using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ascii="Times New Roman" w:hAnsi="Times New Roman"/>
          <w:sz w:val="24"/>
        </w:rPr>
        <w:t xml:space="preserve">language representations as queries, it applies graph attention over RDKit-derived molecular graphs encoded by a graph neural network (GNN). Context attention incorporates information from co-occurring ligand identities, and these signals are fused into each identity representation. A foreground head predicts the foreground probability of each candidate, while cosine scoring over learned linear projections generates the candidate-to-identity matching score matrix.</w:t>
      </w:r>
    </w:p>
    <w:p>
      <w:pPr>
        <w:pStyle w:val="BodyText"/>
        <w:spacing w:line="480" w:lineRule="auto" w:after="120"/>
        <w:ind w:firstLine="480"/>
      </w:pPr>
      <w:r>
        <w:rPr>
          <w:rFonts w:ascii="Times New Roman" w:hAnsi="Times New Roman"/>
          <w:sz w:val="24"/>
        </w:rPr>
        <w:t xml:space="preserve">In the third stage, LigandSeek-Build (hereafter Build) receives the binding site located by Find and the SMILES identity assigned by Match</w:t>
      </w:r>
      <w:r>
        <w:rPr>
          <w:rFonts w:ascii="Times New Roman" w:hAnsi="Times New Roman"/>
          <w:sz w:val="24"/>
        </w:rPr>
        <w:t xml:space="preserve"> </w:t>
      </w:r>
      <w:r>
        <w:rPr>
          <w:rFonts w:ascii="Times New Roman" w:hAnsi="Times New Roman"/>
          <w:sz w:val="24"/>
        </w:rPr>
        <w:t xml:space="preserve">(</w:t>
      </w:r>
      <w:r>
        <w:rPr>
          <w:rStyle w:val="MDFIGREF_eJyrrk7LTC9KTbMCUrq5qSUZ-Sm6ZZY1ybW1AIsxCj0"/>
          <w:rFonts w:ascii="Times New Roman" w:hAnsi="Times New Roman"/>
          <w:sz w:val="24"/>
        </w:rPr>
        <w:t xml:space="preserve">Fig. 13c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It combines these inputs with the surrounding receptor pocket and local density to reconstruct an all-atom ligand pose. Its default engine for organic small molecules, density-guided PocketXMol (DG-PocketXMol), adapts the generative model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through density-conditioned fine-tuning. DG-PocketXMol incorporates experimental density into pose generation, guiding ligand reconstruction to satisfy both density contours and pocket chemical constraints. Build also provides a modular interface that supports other downstream docking tools, including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EMERALD</w:t>
      </w:r>
      <w:r>
        <w:rPr>
          <w:rStyle w:val="MDCITE_eJyLdsgtTc3LLjYyMDJOzU0tSsxJiQUASqEHLQ"/>
          <w:rFonts w:ascii="Times New Roman" w:hAnsi="Times New Roman"/>
          <w:sz w:val="24"/>
          <w:vertAlign w:val="superscript"/>
        </w:rPr>
        <w:t xml:space="preserve">11</w:t>
      </w:r>
      <w:r>
        <w:rPr>
          <w:rFonts w:ascii="Times New Roman" w:hAnsi="Times New Roman"/>
          <w:sz w:val="24"/>
        </w:rPr>
        <w:t xml:space="preserve">.</w:t>
      </w:r>
    </w:p>
    <w:bookmarkEnd w:id="14"/>
    <w:bookmarkStart w:id="62" w:name="results"/>
    <w:p>
      <w:pPr>
        <w:pStyle w:val="Heading1"/>
        <w:keepNext/>
        <w:spacing w:line="480" w:lineRule="auto"/>
        <w:ind w:firstLine="0"/>
      </w:pPr>
      <w:r>
        <w:rPr>
          <w:rFonts w:ascii="Times New Roman" w:hAnsi="Times New Roman"/>
          <w:sz w:val="24"/>
        </w:rPr>
        <w:t xml:space="preserve">Results</w:t>
      </w:r>
    </w:p>
    <w:bookmarkStart w:id="18" w:name="X9497fdd810c5493d41625124eb25d30fb387f27"/>
    <w:p>
      <w:pPr>
        <w:pStyle w:val="Heading2"/>
        <w:keepNext/>
        <w:spacing w:line="480" w:lineRule="auto"/>
        <w:ind w:firstLine="0"/>
      </w:pPr>
      <w:r>
        <w:rPr>
          <w:rFonts w:ascii="Times New Roman" w:hAnsi="Times New Roman"/>
          <w:sz w:val="24"/>
        </w:rPr>
        <w:t xml:space="preserve">LigandSeek-Find improves ligand-region detection</w:t>
      </w:r>
    </w:p>
    <w:p>
      <w:pPr>
        <w:pStyle w:val="FirstParagraph"/>
        <w:spacing w:line="480" w:lineRule="auto" w:after="120"/>
        <w:ind w:firstLine="480"/>
      </w:pPr>
      <w:r>
        <w:rPr>
          <w:rFonts w:ascii="Times New Roman" w:hAnsi="Times New Roman"/>
          <w:sz w:val="24"/>
        </w:rPr>
        <w:t xml:space="preserve">We evaluated Find on 179 cryo-EM density maps with resolutions below 4.0 Å, containing ligands, released after 1 January 2026, and non-redundant with the training, validation, and internal datasets. These complexes contained 2,502 deposited ligand instances spanning multiple classes, including organic small molecules, metal ions and sugars. The small-molecule subset comprised 821 instances distributed across 94 complexes. We compared LigandSeek-Find with deposited receptors (GT) or CryoAtom2-reconstructed receptors (CA2) against the density-only baseline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supplied with the EMDB-recommended contour level.</w:t>
      </w:r>
    </w:p>
    <w:p>
      <w:pPr>
        <w:pStyle w:val="BodyText"/>
        <w:spacing w:line="480" w:lineRule="auto" w:after="120"/>
        <w:ind w:firstLine="480"/>
      </w:pPr>
      <w:r>
        <w:rPr>
          <w:rFonts w:ascii="Times New Roman" w:hAnsi="Times New Roman"/>
          <w:sz w:val="24"/>
        </w:rPr>
        <w:t xml:space="preserve">We assessed voxel-wise overlap using semantic Dice, and evaluated ligand-instance detection using instance-level metrics, including precision, recall, and the precision–recall area under the curve (PRAUC). Instance-level metrics used one-to-one matching at a bidirectional coverage threshold of 0.3 (Methods). We also evaluated PRAUC at the stricter threshold of 0.5.</w:t>
      </w:r>
    </w:p>
    <w:p>
      <w:pPr>
        <w:pStyle w:val="BodyText"/>
        <w:spacing w:line="480" w:lineRule="auto" w:after="120"/>
        <w:ind w:firstLine="480"/>
      </w:pPr>
      <w:r>
        <w:rPr>
          <w:rFonts w:ascii="Times New Roman" w:hAnsi="Times New Roman"/>
          <w:sz w:val="24"/>
        </w:rPr>
        <w:t xml:space="preserve">—————————— </w:t>
      </w:r>
      <w:r>
        <w:rPr>
          <w:rFonts w:hint="eastAsia" w:ascii="Times New Roman" w:hAnsi="Times New Roman"/>
          <w:sz w:val="24"/>
        </w:rPr>
        <w:t xml:space="preserve">【改到这里啦】——————————</w:t>
      </w:r>
    </w:p>
    <w:p>
      <w:pPr>
        <w:pStyle w:val="BodyText"/>
        <w:spacing w:line="480" w:lineRule="auto" w:after="120"/>
        <w:ind w:firstLine="480"/>
      </w:pPr>
      <w:r>
        <w:rPr>
          <w:rFonts w:ascii="Times New Roman" w:hAnsi="Times New Roman"/>
          <w:sz w:val="24"/>
        </w:rPr>
        <w:t xml:space="preserve">With CA2 receptors, mean Dice increased from 0.247 for Emap2lig-Find to 0.477, and instance-level</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increased from 0.269 to 0.541</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q1JrK0FADS_D6E"/>
          <w:rFonts w:ascii="Times New Roman" w:hAnsi="Times New Roman"/>
          <w:sz w:val="24"/>
        </w:rPr>
        <w:t xml:space="preserve">Fig. 2a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GT receptors, LigandSeek-Find achieved a mean Dice of 0.584 and an instance-level</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of 0.663. The advantage persisted for small molecules, with corresponding PRAUC scores of 0.573 for CA2 and 0.701 for GT, compared with 0.483 for Emap2lig-Find</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q1Jqa0FADTID6Q"/>
          <w:rFonts w:ascii="Times New Roman" w:hAnsi="Times New Roman"/>
          <w:sz w:val="24"/>
        </w:rPr>
        <w:t xml:space="preserve">Fig. 2d</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758947"/>
            <wp:effectExtent b="0" l="0" r="0" t="0"/>
            <wp:docPr descr="Fig. 2 | Overall performance of ligand-region detection. LigandSeek-Find uses deposited receptors (GT) or CryoAtom2-reconstructed receptors (CA2) and is compared with the density-only method Emap2lig-Find. All ligands comprise 179 PDB entries and 2,502 instances; small molecules comprise 94 PDB entries and 821 instances. a, d,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 b, e, Paired semantic Dice comparisons between LigandSeek-Find (CA2) and Emap2lig-Find. Each point represents one PDB entry; colours indicate map resolution, and dashed lines indicate equal scores. Higher/equal/lower counts are 141/15/23 and 68/7/19 for all ligands and small molecules, respectively. c, f, Instance-level precision and recall for all ligands and small molecules, respectively, at a bidirectional coverage threshold of 0.3. Violins show distributions, faint points show individual PDB entries, and white circles and thick lines indicate medians and interquartile ranges." title="MDPPTFIG_eJztWM1uGzcQfpWBgAINIGsl2YojJQ3gyHYSwE0FJ-mlWxgUd6QlzF2yJCXZaXoueuipRS8teu6pD9AA7dM0yWN0ZrmSFSeHJIUPAmxAXv4MvxkOh9_OzrcNK0LeGEDj1c8v_v3178QHMcXOqxc_vfz9t5a14azRhIZDb_QcM5YbDtL0qUfn07TT63f6abqP_jQYm6av__zr5S_fv_7xh1d__JOmETBN34lYigIZLU5umTk6ofWWRTcxrhClRJaSwgZlypNCuNOZJfmvGncWAwtnhS79YPFZ2shDsIMk8TLHQviWsVjSZIURqOumycK4zDoj0XtVTguddNvtm0khVJk27jLayFWPx-FcIywGc6EJ92FBdg2jepZLlhIse4poj1SJvhpf6y0G3gpJaghH0xABdXfaaaPuHs80D4lZMDVmLc4rVZmR2EQ5H47i0nYtRDPRgGhp_Fe3D00ZPK0TXipFa56oAj08wgUcG3JjpTrfK_075yrUCMFg46o_rprDuLfqSWY-Wzmmu7M0_VlcHg0JfCbVdthySwGDbo4keqimLejCc_giHjGsHTGYCWg1FWW25XBKnoYMA0r2eYuxQ9RwpZv-H1uDDbDxqHLvY8TTrUOOsJknTRla41XADBxKtME4D5_ef3IDjIOhOzd7wRRdOhJpSh_cTF6SHO51bwChgvIgTWGFo_mFCjmEHAmcNhXOt0ypz6HAkJsMDgphu3TSlQ0t2KMwiOceAZzyCJ3dPoz27wGWwSkykhV0m712FxRZweHib4MvOIQKo1HSXVpb3d95a_Gtbudi6XU8XfVFFxvg4eYG2LjZUZBtgIeb8JiShTIoCftKYjNyWc0UWxrnqGF0vPd0CCKAgLHKlItvJaGJcfg9NkXiOkLMjc74LdZubTeBXmsg1qiNYS8RVpN41FsGIyXnLbgnXJTLjVPPaG-kgZMdDwS9YErbwm9mPIiiJP6bUNoSwBrFjqxEiFDVXGUss0aALThwjswZM34l1-99QrKBXCC0h4kzBXTazXa7XS0bGxOI6oVl-0Rh9TVjXv1dGW-Ah68Z86qjADfAw00YCcVZnl8nzjr5U57SRBhjWCCWcDnhvMgWLyWBB0LmkcmIcypdvFVT4orHzm-TBm1mRGHMclIEJHKsKMroGfNxpO5M-Jxs4y-sNcnIm14ax3T4QE1zdEk1mGizQEfYM9ZI2St0djpJp5d0tyu8m7eS3aTT_wg-34Cj3OzLIjfAw9eUedVRMNkADzfh4ZsZJc1J5bnIwTxCHSaSD6aY5gflpC34UhnixToHzBTleGpcUSfhvm8yGVl2kStiVamc1PUHdsiVPL1MuwVmilLVOqemfJMY1wWlEZwop5fTSq5q3W183YTGqsTX6O1ub-90emc7u71b_Z3d53eskgP61VU_8V5Vv8yJxVvlvhqBsD4Gg5aFmcMVjHsvEDOZ0Kty38hZQe6MSA61qM4gV9ZzWPEOy_lISQ4q7shH85GDDL1kLcNBUlVck6rgmtT11mS93JoELCxts5zREmXDyURNyVh_EtpnUzcLZRIHTtr8123ZckobURmhd3apxfVYao-We6SjWdlxYVI0ULAHj4ykr5TSDHM-1j362ljkKDLPgIy3nKhCNw4S5sXSNQURNXnLCWOt7KHSmjVyu1ofG2JAkYxB5tyckMwxaanm3-ishJI38bjnLXl4vPjcZOs1WTE4m7iCn3RwcBarsHC-qsZW4zyNZwEkz9fhSlKSxeqorYVJqnouQa3z4T7Stxc3SJrvcFQr5kc-yl60ltI8X5poenLRFANdAhfB-71uL6K8U4rP5aCqIa-1xSAIpZfD621d1v7ydnUu9Lvb-O4_t-pEiA" id="16" name="Picture"/>
            <a:graphic>
              <a:graphicData uri="http://schemas.openxmlformats.org/drawingml/2006/picture">
                <pic:pic>
                  <pic:nvPicPr>
                    <pic:cNvPr descr="C:/Users/15919/Desktop/论文草稿/temp/manuscript_figures_t0xgrutn/figure_000002.png" id="17" name="Picture"/>
                    <pic:cNvPicPr>
                      <a:picLocks noChangeArrowheads="1" noChangeAspect="1"/>
                    </pic:cNvPicPr>
                  </pic:nvPicPr>
                  <pic:blipFill>
                    <a:blip r:embed="rId15"/>
                    <a:stretch>
                      <a:fillRect/>
                    </a:stretch>
                  </pic:blipFill>
                  <pic:spPr bwMode="auto">
                    <a:xfrm>
                      <a:off x="0" y="0"/>
                      <a:ext cx="5733415" cy="4758947"/>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Overall performance of ligand-region detection.</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 Paired semantic Dice comparisons between LigandSeek-Find (CA2) and Emap2lig-Find. Each point represents one PDB entry; colours indicate map resolution, and dashed lines indicate equal scores. Higher/equal/lower counts are 141/15/23 and 68/7/19 for all ligands and small molecules, respectively.</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Instance-level precision and recall for all ligands and small molecules, respectively, at a bidirectional coverage threshold of 0.3. Violins show distributions, faint points show individual PDB entries, and white circles and thick lines indicate medians and interquartile ranges.</w:t>
      </w:r>
    </w:p>
    <w:p>
      <w:pPr>
        <w:pStyle w:val="BodyText"/>
        <w:spacing w:line="480" w:lineRule="auto" w:after="120"/>
        <w:ind w:firstLine="480"/>
      </w:pPr>
      <w:r>
        <w:rPr>
          <w:rFonts w:ascii="Times New Roman" w:hAnsi="Times New Roman"/>
          <w:sz w:val="24"/>
        </w:rPr>
        <w:t xml:space="preserve">Paired comparisons confirmed that the advantage extended across individual complexes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q1J0kmtrQUAU_EQMw"/>
          <w:rFonts w:ascii="Times New Roman" w:hAnsi="Times New Roman"/>
          <w:sz w:val="24"/>
        </w:rPr>
        <w:t xml:space="preserve">Fig. 2b, 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CA2 receptors, LigandSeek-Find scored higher than Emap2lig-Find on 141 complexes, equally on 15 and lower on 23 across all ligands. At the stricter coverage threshold of 0.5, instance-level PRAUC remained higher with both receptor sources, including in the small-molecule subset (Supplementary Fig. 1).</w:t>
      </w:r>
    </w:p>
    <w:p>
      <w:pPr>
        <w:pStyle w:val="BodyText"/>
        <w:spacing w:line="480" w:lineRule="auto" w:after="120"/>
        <w:ind w:firstLine="480"/>
      </w:pPr>
      <w:r>
        <w:rPr>
          <w:rFonts w:ascii="Times New Roman" w:hAnsi="Times New Roman"/>
          <w:sz w:val="24"/>
        </w:rPr>
        <w:t xml:space="preserve">Across the 179 complexes, each contained an average of 14.0 ground-truth ligand instances, whereas Emap2lig-Find produced an average of 13.8 candidate regions. Its mean instance-level precision was 0.238, compared with 0.631 for LigandSeek-Find with CA2 receptors; mean recall was 0.316 versus 0.594</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q1Jrq0FADTFD6M"/>
          <w:rFonts w:ascii="Times New Roman" w:hAnsi="Times New Roman"/>
          <w:sz w:val="24"/>
        </w:rPr>
        <w:t xml:space="preserve">Fig. 2c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LigandSeek-Find therefore reduced false positives while recovering more ligand instances, with the same pattern observed for small molecules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q1Jq60FADTOD6Y"/>
          <w:rFonts w:ascii="Times New Roman" w:hAnsi="Times New Roman"/>
          <w:sz w:val="24"/>
        </w:rPr>
        <w:t xml:space="preserve">Fig. 2f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voxel level, additional false-positive density also reduced the overlap measured by Dice.</w:t>
      </w:r>
    </w:p>
    <w:p>
      <w:pPr>
        <w:pStyle w:val="BodyText"/>
        <w:spacing w:line="480" w:lineRule="auto" w:after="120"/>
        <w:ind w:firstLine="480"/>
      </w:pPr>
      <w:r>
        <w:rPr>
          <w:rFonts w:ascii="Times New Roman" w:hAnsi="Times New Roman"/>
          <w:sz w:val="24"/>
        </w:rPr>
        <w:t xml:space="preserve">Emap2lig-Find remained below LigandSeek-Find in semantic Dice, instance-level PRAUC and detection completion. Its highest-ranked candidates retained substantial ligand-detection signal despite the larger final candidate pool. LigandSeek-Find recovered more true instances at both candidate limits, providing a more compact input for downstream identity assignment. Complete detection curves and per-PDB distributions are shown in Supplementary Fig. 2.</w:t>
      </w:r>
    </w:p>
    <w:bookmarkEnd w:id="18"/>
    <w:bookmarkStart w:id="27" w:name="stage-2"/>
    <w:p>
      <w:pPr>
        <w:pStyle w:val="Heading2"/>
        <w:keepNext/>
        <w:spacing w:line="480" w:lineRule="auto"/>
        <w:ind w:firstLine="0"/>
      </w:pPr>
      <w:r>
        <w:rPr>
          <w:rFonts w:ascii="Times New Roman" w:hAnsi="Times New Roman"/>
          <w:sz w:val="24"/>
        </w:rPr>
        <w:t xml:space="preserve">Stage 2</w:t>
      </w:r>
    </w:p>
    <w:bookmarkStart w:id="19"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candidate blob predicted by Find, and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and</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For each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is labeled 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string of this instance defines the ground-truth ligand identity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480" w:lineRule="auto" w:after="120"/>
        <w:ind w:firstLine="480"/>
      </w:pPr>
      <w:r>
        <w:rPr>
          <w:rFonts w:ascii="Times New Roman" w:hAnsi="Times New Roman"/>
          <w:sz w:val="24"/>
        </w:rP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480" w:lineRule="auto" w:after="120"/>
        <w:ind w:firstLine="480"/>
      </w:pPr>
      <w:r>
        <w:rPr>
          <w:rFonts w:ascii="Times New Roman" w:hAnsi="Times New Roman"/>
          <w:sz w:val="24"/>
        </w:rP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19"/>
    <w:bookmarkStart w:id="26"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240" w:lineRule="auto" w:before="0" w:after="0"/>
        <w:ind w:firstLine="0"/>
        <w:jc w:val="center"/>
      </w:pPr>
      <w:r>
        <w:rPr>
          <w:rFonts w:ascii="Times New Roman" w:hAnsi="Times New Roman"/>
          <w:sz w:val="24"/>
        </w:rPr>
        <w:drawing>
          <wp:inline>
            <wp:extent cx="5733415" cy="5744663"/>
            <wp:effectExtent b="0" l="0" r="0" t="0"/>
            <wp:docPr descr="Fig. 3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tvHDUU_itHK1WiYrOz11yGUinaJKhSWkVpEQ8MihyPd8fKjG1sz85uKa8ghJCQQLyAeIUX-AFUtH-GNP0ZnDOevfRGKyoeiLSZY_v4O9-5-NiftQzzWSuG1tX3Dy9_fBQ5z6aif_Xwuyc__3R2-fjPp7980X-3_9ejry9_-7ZjjJ-32tCywul8JlLaN46T5EMnrEuS3mivt5ckB8JdeG2S5Onvfzz54cun33x19evjJAkGkuSNLChWCEIPyluWpcxuGSYtLXJmvNTqrGD2ojSo9nHrRhUbmBe5cnH1ftLKvDdxFDmeiYK5jjZC4eJE24J5HNppVGmbGqu5cE6qaZFH_W53OyqYVEnrJqGd2Ppz1y9yAVU8Yzni3iqQzjiYJ71oqUG6F0KYY6mEq-c3RlXsDONoBnFynEKg_rCbtJrhaZnTFCu9bjAbddopVYpqE2mdPw5bu40SrgQCgWn418hHWnmH-5jjUuKee7IQDu6ICk51wVRtOttX7qVrNWqAILDzenxei-PgW_1FmvdXgekPl9Tvh-2BiKec1O4Qc4N1I-xMoOqRnHZgAA_gSFsxtbpEN496wPCTyyl9ZCqUl34BmDKeUfAY56VlfAF6AoLxDAqdihwq6TNIhdFOepGCFVwYr62Dd9j1GnBsF3rf6wLLSHCtnLclf07z_HqHWPvA_T8N51sEDf4HHMe55heVdAImVhfgMwHYC9q14OQc2Bwtu0xXoGfCsjyHu7dvHR_ebYMraFToXHA8EA4nyimz-J1slkgbCuFZDngAXZ1dgznEWnEdOGWpxBXkXaINy9S0IdHvXkMS0Ot2r3Xgo1eUSxt67e1RDziCypR5ghCfltIK4DnDLjGRnNG5r60ui7JNxVhlEqux1-4PdoGh_ppwB-5lGBrgujCWgjLY3XvR0f7ucOXsaHv4vIe9pY8N-dfWc-3KcO9tXOltd1_rynD3Ja7s7KxdGfyTKydN3uhYI74nU6BVvoBup7t7jcgsOwG6yBR2apTqOpqUaBT9Yk7493BGUrbJOXR1qu0CKuZAaQ8sTSX5iSQXIJRF30TaxmC4MvfUUhCQAV0A2OMbZoDh8gjlkOOBZIVWKRlOKWQCDm8fnu4fH2zdOthoRxRHUhF4zVDXCmHZWoYlICLXNjCq-SnmqnaUTgBQGVJ-fGkVUcLylVjVVqBF4o6FfbIeQCXQ0aCNMMxj8fQbjFc2QgrioDfYVHttDT3bD-maudn6BO_e1Z3bGu0MBsPeaD7aGQ63twcPbhjJY_w11zB7o2s4tax64f5tEBDr32DgNoyOWMHYNwLREzwU4kDzssAMBiQr8vqYuEwaR22QPFSzE8mpCdKA35mdWIy542RlHEf1SyiqH0JR8w6KNp9BkReFQTdViVuk8WcTOUWy7sx351NbehWFibMu_Q06Rk3REZlSJ-6jRO8ilE-WPmJqVjzWlAJBRhE8xnZMh2GcUT_ct1ZXmWCpQ5Ae4S0XnBHch0nEXG_dMBBQoxeCcJ5LcyTznCySXO8PAouxsgT2FxInqHOKVur1ZwYrpehZPBo5fN_AeXUb7_qNRxKL5xNb0BcTB_PwLILF6nlUz9OymONhpvWmXFGLL-phXbWNMmrV3yWowefWBwKvDhJQG4-FD2bZ7NgF3bW01KZ1pQP1aC2yOFdAr9K9UX8UUF6qRXk5rB91GzKLPZP5cnpTzlUTL2dWecHfzdbnfwOQtC1D" id="21" name="Picture"/>
            <a:graphic>
              <a:graphicData uri="http://schemas.openxmlformats.org/drawingml/2006/picture">
                <pic:pic>
                  <pic:nvPicPr>
                    <pic:cNvPr descr="C:/Users/15919/Desktop/论文草稿/temp/manuscript_figures_t0xgrutn/figure_000003.png" id="22" name="Picture"/>
                    <pic:cNvPicPr>
                      <a:picLocks noChangeArrowheads="1" noChangeAspect="1"/>
                    </pic:cNvPicPr>
                  </pic:nvPicPr>
                  <pic:blipFill>
                    <a:blip r:embed="rId20"/>
                    <a:stretch>
                      <a:fillRect/>
                    </a:stretch>
                  </pic:blipFill>
                  <pic:spPr bwMode="auto">
                    <a:xfrm>
                      <a:off x="0" y="0"/>
                      <a:ext cx="5733415" cy="5744663"/>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Foreground F1 and ligand identity matching accuracy of each model with deposited receptors (a) and CryoAtom2-reconstructed receptors (b).</w:t>
      </w:r>
      <w:r>
        <w:rPr>
          <w:rFonts w:ascii="Times New Roman" w:hAnsi="Times New Roman"/>
          <w:sz w:val="24"/>
        </w:rPr>
        <w:t xml:space="preserve"> </w:t>
      </w:r>
      <w:r>
        <w:rPr>
          <w:rFonts w:ascii="Times New Roman" w:hAnsi="Times New Roman"/>
          <w:sz w:val="24"/>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3a</w:t>
      </w:r>
      <w:r>
        <w:rPr>
          <w:rFonts w:ascii="Times New Roman" w:hAnsi="Times New Roman"/>
          <w:sz w:val="24"/>
        </w:rPr>
        <w:t xml:space="preserve"> </w:t>
      </w:r>
      <w:r>
        <w:rPr>
          <w:rFonts w:ascii="Times New Roman" w:hAnsi="Times New Roman"/>
          <w:sz w:val="24"/>
        </w:rPr>
        <w:t xml:space="preserve">shows false-positive detection and ligand identity matching for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3b</w:t>
      </w:r>
      <w:r>
        <w:rPr>
          <w:rFonts w:ascii="Times New Roman" w:hAnsi="Times New Roman"/>
          <w:sz w:val="24"/>
        </w:rPr>
        <w:t xml:space="preserve"> </w:t>
      </w:r>
      <w:r>
        <w:rPr>
          <w:rFonts w:ascii="Times New Roman" w:hAnsi="Times New Roman"/>
          <w:sz w:val="24"/>
        </w:rP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480" w:lineRule="auto" w:after="120"/>
        <w:ind w:firstLine="480"/>
      </w:pPr>
      <w:r>
        <w:rPr>
          <w:rFonts w:ascii="Times New Roman" w:hAnsi="Times New Roman"/>
          <w:sz w:val="24"/>
        </w:rP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q1J1EmqrQUAU-MQLw"/>
          <w:rFonts w:ascii="Times New Roman" w:hAnsi="Times New Roman"/>
          <w:sz w:val="24"/>
        </w:rPr>
        <w:t xml:space="preserve">Fig. 2a,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4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LJDUQ_yqhQfBwdrpndma9ac6FddaVg_UcVsUHW5ZMOtMTNp2EJD1_zvP1jkMEQfFF8U30RT-Ah3ffRdzb_RhWdXr-7O0dLooPDnR3JfWrX1VSldR8Fhnqp1FKootvnpx_9zR2nha8e_Hk6-c_fH96_uz3y58edt_o_vn0i_Nfvmob4xdRi0SWOy1nPEe7YZplHzluXZZ1-oPOIMsOuTvz2mTZ5a-_Pf_20eWXjy9-fpZlwUGW3ciDoiVH9gDecd5qVXDndwwVFgGMGi-0Oi2pPasMQD-J7sxTQxalVC6dv5VFU-9NGseOTXlJXVsbrkA50bakHoa2iOfa5sZqxp0Tqihl3E2SvbikQmXRPrKNbP35wC8lJ_N0RiXw3i0hpGFwj7h4hUDsGefmWCju6vmt0Tx1hjJwAzwSpoCo20uyqBmeVBKnaOV1w9nA0VKoHGATYZ0_DqZJAwJNCCBEGl6NfKSVd2BHHRMCbD4UJXfkHp-TE11SVbueHij3Ul3NGiiQbFyPx7U4DGurvxDm_fXGdHur0O8H8xCIx5zUy8HIDdQOtzMO0CNRtEmPPCDHoqCwRJFz5YVfEkgQm-JWUcYqS9mS6AlZlwCZQbFVjvgpJ6oqx9yimgGDyKnnRF5hE9y1yFz4Kcm50U54nhPLGTdeW0dep7cIgod2qQ-8Lrs7oNMKfFXsBeT4VhsX5cPS_tPd_hd7Sv4HMX78imy0SGF1ZVxIV6dFui2y24IKwQz98fjHPmG6NNxjZVxLMuiUh5NLep0B2PTh1emA9e1-bd7Z6xJ0B04gEMOZFzMul21SB_O36W_V1ca0RWMNlQYhNMFu_GKsPXgNIPS93eC2n7zc7fuKb5XspvI5VVjZ1BMq5RbC8gKuG0fGXMIpAIgmlIwO3yZgaJerIDAsrSScF_XiOVi2iNObAyUcUdSDLAHdSZLXrhY3Xin70adwz67v16j_5u5ur9Nf9PeS28le78EdI1gKT3Pl0htdubml82t3bcMAXP-EA8xgIXxNY29EoicTwfihZlUJ-xOYLJcUb3U3FcZhTeMK1WwkGFY0Dti92chC7TqGXoZpXHe-uG58cdP34u22F3teGlimqsBEGH86EQUE6059sihs5VUcJk4T_PXaRhWwEJHjseqDhH0Q5NFqjZCadRybkEKAFHfwWLMzyK0eTinclgfW6vmU09wBSQf5Voq6GMMkcG5MtxwE1vjaJoylMEdCSvSIcm0fBJrC2eFwe6M4AcwJeKn1VwZrUHyVD0cOehkZz9_T-XZDpOliYkv8QuLIIrRAsly3wnoe1XzhCUN9U66AYghrqrYBA6r-rkgNtNZ3uS4JCoCGg--DWzo7dgG7kVZo1CsdQo83Ik2lIvgPZNDHHL4ShXl5p27gWzJN4SDL1fS2LFWzX86s8wLPfvT5X35XcYE" id="24" name="Picture"/>
            <a:graphic>
              <a:graphicData uri="http://schemas.openxmlformats.org/drawingml/2006/picture">
                <pic:pic>
                  <pic:nvPicPr>
                    <pic:cNvPr descr="C:/Users/15919/Desktop/论文草稿/temp/manuscript_figures_t0xgrutn/figure_000004.png" id="25" name="Picture"/>
                    <pic:cNvPicPr>
                      <a:picLocks noChangeArrowheads="1" noChangeAspect="1"/>
                    </pic:cNvPicPr>
                  </pic:nvPicPr>
                  <pic:blipFill>
                    <a:blip r:embed="rId23"/>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Ligand identity matching accuracy of strongest versus the number of candidate ligand identities, with deposited receptors (a) and CryoAtom2-reconstructed receptors (b).</w:t>
      </w:r>
      <w:r>
        <w:rPr>
          <w:rFonts w:ascii="Times New Roman" w:hAnsi="Times New Roman"/>
          <w:sz w:val="24"/>
        </w:rPr>
        <w:t xml:space="preserve"> </w:t>
      </w:r>
      <w:r>
        <w:rPr>
          <w:rFonts w:ascii="Times New Roman" w:hAnsi="Times New Roman"/>
          <w:sz w:val="24"/>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4a, b</w:t>
      </w:r>
      <w:r>
        <w:rPr>
          <w:rFonts w:ascii="Times New Roman" w:hAnsi="Times New Roman"/>
          <w:sz w:val="24"/>
        </w:rPr>
        <w:t xml:space="preserve"> </w:t>
      </w:r>
      <w:r>
        <w:rPr>
          <w:rFonts w:ascii="Times New Roman" w:hAnsi="Times New Roman"/>
          <w:sz w:val="24"/>
        </w:rP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480" w:lineRule="auto" w:after="120"/>
        <w:ind w:firstLine="480"/>
      </w:pPr>
      <w:r>
        <w:rPr>
          <w:rFonts w:ascii="Times New Roman" w:hAnsi="Times New Roman"/>
          <w:sz w:val="24"/>
        </w:rP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counts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480" w:lineRule="auto" w:after="120"/>
        <w:ind w:firstLine="480"/>
      </w:pPr>
      <w:r>
        <w:rPr>
          <w:rFonts w:ascii="Times New Roman" w:hAnsi="Times New Roman"/>
          <w:sz w:val="24"/>
        </w:rP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3a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3b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bookmarkEnd w:id="26"/>
    <w:bookmarkEnd w:id="27"/>
    <w:bookmarkStart w:id="40" w:name="stage-3"/>
    <w:p>
      <w:pPr>
        <w:pStyle w:val="Heading2"/>
        <w:keepNext/>
        <w:spacing w:line="480" w:lineRule="auto"/>
        <w:ind w:firstLine="0"/>
      </w:pPr>
      <w:r>
        <w:rPr>
          <w:rFonts w:ascii="Times New Roman" w:hAnsi="Times New Roman"/>
          <w:sz w:val="24"/>
        </w:rPr>
        <w:t xml:space="preserve">Stage 3</w:t>
      </w:r>
    </w:p>
    <w:bookmarkStart w:id="31" w:name="X752cd74af797621f2bfc2a0853c5cde5fdbaa5a"/>
    <w:p>
      <w:pPr>
        <w:pStyle w:val="Heading3"/>
        <w:keepNext/>
        <w:spacing w:line="480" w:lineRule="auto"/>
        <w:ind w:firstLine="0"/>
      </w:pPr>
      <w:r>
        <w:rPr>
          <w:rFonts w:ascii="Times New Roman" w:hAnsi="Times New Roman"/>
          <w:sz w:val="24"/>
        </w:rPr>
        <w:t xml:space="preserve">Stage 3: Comparison of PocketXMol-official and DG-PocketXmol</w:t>
      </w:r>
    </w:p>
    <w:p>
      <w:pPr>
        <w:pStyle w:val="FirstParagraph"/>
        <w:spacing w:line="480" w:lineRule="auto" w:after="120"/>
        <w:ind w:firstLine="480"/>
      </w:pPr>
      <w:r>
        <w:rPr>
          <w:rFonts w:ascii="Times New Roman" w:hAnsi="Times New Roman"/>
          <w:sz w:val="24"/>
        </w:rPr>
        <w:t xml:space="preserve">We compared the official PocketXMol model with our fine-tuned version. The official model accepts a ligand SMILES string and its binding pocket or binding site, generating 50 candidate poses by default.</w:t>
      </w:r>
    </w:p>
    <w:p>
      <w:pPr>
        <w:pStyle w:val="BodyText"/>
        <w:spacing w:line="480" w:lineRule="auto" w:after="120"/>
        <w:ind w:firstLine="480"/>
      </w:pPr>
      <w:r>
        <w:rPr>
          <w:rFonts w:ascii="Times New Roman" w:hAnsi="Times New Roman"/>
          <w:sz w:val="24"/>
        </w:rP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480" w:lineRule="auto" w:after="120"/>
        <w:ind w:firstLine="480"/>
      </w:pPr>
      <w:r>
        <w:rPr>
          <w:rFonts w:ascii="Times New Roman" w:hAnsi="Times New Roman"/>
          <w:sz w:val="24"/>
        </w:rPr>
        <w:t xml:space="preserve">We treated these pocket definitions as separate training and testing conditions. We trained one fine-tuned model for each definition and evaluated each model under its corresponding condition.</w:t>
      </w:r>
    </w:p>
    <w:p>
      <w:pPr>
        <w:pStyle w:val="BodyText"/>
        <w:spacing w:line="480" w:lineRule="auto" w:after="120"/>
        <w:ind w:firstLine="480"/>
      </w:pPr>
      <w:r>
        <w:rPr>
          <w:rFonts w:ascii="Times New Roman" w:hAnsi="Times New Roman"/>
          <w:sz w:val="24"/>
        </w:rPr>
        <w:t xml:space="preserve">To assess fine-tuning, we used all single-residue organic small molecules with no atoms missing relative to their templates (hereafter eligible small molecules). This test set comprised 446 ligand instances from the 179 PDB entries.</w:t>
      </w:r>
    </w:p>
    <w:p>
      <w:pPr>
        <w:pStyle w:val="BodyText"/>
        <w:spacing w:line="480" w:lineRule="auto" w:after="120"/>
        <w:ind w:firstLine="480"/>
      </w:pPr>
      <w:r>
        <w:rPr>
          <w:rFonts w:ascii="Times New Roman" w:hAnsi="Times New Roman"/>
          <w:sz w:val="24"/>
        </w:rP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480" w:lineRule="auto" w:after="120"/>
        <w:ind w:firstLine="480"/>
      </w:pPr>
      <w:r>
        <w:rPr>
          <w:rFonts w:ascii="Times New Roman" w:hAnsi="Times New Roman"/>
          <w:sz w:val="24"/>
        </w:rPr>
        <w:t xml:space="preserve">Across the 446 test instances, density-guided DG-PocketXmol achieved substantially greater pose accuracy than PocketXMol-official under every test condition</w:t>
      </w:r>
      <w:r>
        <w:rPr>
          <w:rFonts w:ascii="Times New Roman" w:hAnsi="Times New Roman"/>
          <w:sz w:val="24"/>
        </w:rPr>
        <w:t xml:space="preserve"> </w:t>
      </w:r>
      <w:r>
        <w:rPr>
          <w:rFonts w:ascii="Times New Roman" w:hAnsi="Times New Roman"/>
          <w:sz w:val="24"/>
        </w:rPr>
        <w:t xml:space="preserve">(</w:t>
      </w:r>
      <w:r>
        <w:rPr>
          <w:rStyle w:val="MDFIGREF_eJyrrk7LTC9KTbMqLklMTzXWzU9Ly0zOTMzRLSnNS02prQUAz88MnA"/>
          <w:rFonts w:ascii="Times New Roman" w:hAnsi="Times New Roman"/>
          <w:sz w:val="24"/>
        </w:rPr>
        <w:t xml:space="preserve">Fig. 5</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480" w:lineRule="auto" w:after="120"/>
        <w:ind w:firstLine="480"/>
      </w:pPr>
      <w:r>
        <w:rPr>
          <w:rFonts w:ascii="Times New Roman" w:hAnsi="Times New Roman"/>
          <w:sz w:val="24"/>
        </w:rP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480" w:lineRule="auto" w:after="120"/>
        <w:ind w:firstLine="480"/>
      </w:pPr>
      <w:r>
        <w:rPr>
          <w:rFonts w:ascii="Times New Roman" w:hAnsi="Times New Roman"/>
          <w:sz w:val="24"/>
        </w:rP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DG-PocketXmol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5 | Comparison of PocketXMol-official and density-guided PocketXMol-tuned on 446 small-molecule docking tasks. Eligible small molecules are single-residue organic small molecules with no atoms missing relative to their template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0FrHDcU_itiTyl4Pbu2N663aSBdO6VgB-OkUOgWo515uyM8IwlJs7tOU8illB56SimUlp576g9ooD30nwSa5Gf0e9Ls2ql9CC05BGJYj6T39L2n7z09SV92rAxlZyg6L75_-vdPf2Q-yBltv3j65PkvP29aG5adDdFx5E01p4L1RsPx-FNPzo_H_cFef2883id_Fowdj1_-9vvzH755-d23L379czxOgOPxtYha1sRoSdg106nKlay6odEwA4Vc2qCMPq2lO2ssVD_v3FoMrVjWlfbDxYfjThmCHWaZz0uqpd80ljSEU-NqGdB1s2xhXGGdycl7pWd1lW31ejezWio97txmtGMXP_fDeUViMZzLCrif1HBplMyzXrbSYN0zInuoNPk4fqm3GHorc5gBToUhAG3t9MadtnvSVDwkm2BazFadZypdQG2qnA-HaWqvVYIkOZA8Tf_a9l2jg8c86XOlMOeBqsmLe7QQJ6aWOpou72h_rSyiJggGm8T-JDZHaW3xCzcfronZ2lm5_jBNT44EjklcDntukSvk5gTVu2q2KQbikRiZ2kqnvNHCTMWxyc8ofHZkqnXYhQQDBcHXcN6dNaqg4rJaTAqB2Ts7N4WvZVV1a1NRDk5FATVmPUh_5jfZrZCce6N8_Q9WxFvg40GlZmoCdiPZYkW2F9JhDHRX1IW2KhoS2GhSq_yK6kKFUmgjZDC1F7WKe1A4qmRQcxLBiFCSciJQbTFG74L3xjekfAsY3hD7ygenJg3XX64XOFq6fXFydH9_Q8g8R02P-90IknmJhCuoevb4Ry_MQgsPMb1LpDedSJO3gOGriTQhH9o88oQyFXCoSM9lSFRmAWGXhcIaT0LWBkk26IkcR5MqYn0SJ-SbCmvDHUPkpIOjbkFTxYdTfyD--lp4W5JTOQ40G08vL26Mol7bf09Ia0k6PsuiWZqGV2FX81a4k3MhRb_H4KTnVOGWgyJsGpyXqNF8bKb6euNgJb3eklOzEqY-MijKSSOZUExOqusEnhvJpMTSXRCIUJEjWBm5c3MHlrZQ93PMCK6J_KFHNhgHdg54O1qjdMBoDATngdG08lRhmtQ5sRtL8huJQ5DFFyQfzSxK5c9wt4RuAR4DRee3BqF89vjJ7oCdJ8fTVMUANRVK6jgzqexdUYEfFqHGkVOdb4oHQJuTCzFGcqlgyCP4M9xOQlmr_ANhmlAp9kBODI6pQaS-5ZKTxcHgLB6FIfqG6pRg13eZWJHEVMJ-EWPKFATOvRUByMRcNj4tbp2KbVjAbpAx9jg8ERIFiTOBlE6hZmvs9wprAa9omVcNX5qmztRCgXYIA9Jf5f86VvkuebvzBS7Y64t1Z7C7vb3THyx3drb6u7vvP7plVT7Er71ry9e6axdOLq5cslsEYP0XDEwLjaM1jHstkBgH2jd5UyMJElK6dSBtS2U9lxFeoZ4fq5yLCHfye_Njh5z3OVsZDbP4xMniCydrHzjZ5fdNxvcWLFM3mKJsOJ2qGZz1p6G3nLkm6CwNnPb4b7Bp9QwLUQXQt_lZwA8gtI9Xa0Ro1n5cuJQclMzgIdLDIydGJRKQ7jhnFiXJwgOkz3grQUz3NAjMi6mXDCTU7AoJk0rZu6qq2CK34_zUkENseQp5yc0pdE5gJcpf6ayVslfxuOfxiBGTxRG2x6WXkBwup67mLwInluntI87Xb6A4zmJaYm-wvE1XaOWs1mZtqwyt-F2BWrypPiZsCm5AG_UqJLNyfuiT7kVrpc1ybZLr2UVTDist-Om5N9gaJJRrtTguB_Hldqkth9jW1Wr4crvSLV_eruOC3-3OV_8ApEBz1g" id="29" name="Picture"/>
            <a:graphic>
              <a:graphicData uri="http://schemas.openxmlformats.org/drawingml/2006/picture">
                <pic:pic>
                  <pic:nvPicPr>
                    <pic:cNvPr descr="C:/Users/15919/Desktop/论文草稿/temp/manuscript_figures_t0xgrutn/figure_000005.png" id="30" name="Picture"/>
                    <pic:cNvPicPr>
                      <a:picLocks noChangeArrowheads="1" noChangeAspect="1"/>
                    </pic:cNvPicPr>
                  </pic:nvPicPr>
                  <pic:blipFill>
                    <a:blip r:embed="rId28"/>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Comparison of PocketXMol-official and density-guided PocketXMol-tuned on 446 small-molecule docking tasks.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31"/>
    <w:bookmarkStart w:id="35" w:name="Xf5ab2934b575ce019262194de9f4d310a201cf1"/>
    <w:p>
      <w:pPr>
        <w:pStyle w:val="Heading3"/>
        <w:keepNext/>
        <w:spacing w:line="480" w:lineRule="auto"/>
        <w:ind w:firstLine="0"/>
      </w:pPr>
      <w:r>
        <w:rPr>
          <w:rFonts w:ascii="Times New Roman" w:hAnsi="Times New Roman"/>
          <w:sz w:val="24"/>
        </w:rPr>
        <w:t xml:space="preserve">Stage 3: Fair comparison with Emap2lig-Build</w:t>
      </w:r>
    </w:p>
    <w:p>
      <w:pPr>
        <w:pStyle w:val="FirstParagraph"/>
        <w:spacing w:line="480" w:lineRule="auto" w:after="120"/>
        <w:ind w:firstLine="480"/>
      </w:pPr>
      <w:r>
        <w:rPr>
          <w:rFonts w:ascii="Times New Roman" w:hAnsi="Times New Roman"/>
          <w:sz w:val="24"/>
        </w:rPr>
        <w:t xml:space="preserve">We performed a fair comparison between LigandSeek’s small-molecule docking engine (DG-PocketXmol)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DG-PocketXmol using Centre pockets defined around the centroids of candidate blobs predicted by LigandSeek-Find.</w:t>
      </w:r>
    </w:p>
    <w:p>
      <w:pPr>
        <w:pStyle w:val="BodyText"/>
        <w:spacing w:line="480" w:lineRule="auto" w:after="120"/>
        <w:ind w:firstLine="480"/>
      </w:pPr>
      <w:r>
        <w:rPr>
          <w:rFonts w:ascii="Times New Roman" w:hAnsi="Times New Roman"/>
          <w:sz w:val="24"/>
        </w:rPr>
        <w:t xml:space="preserve">Of the 446 test small-molecule instances, Emap2lig-Find returned qualifying blobs with at least 30% bidirectional coverage for 251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241 pairs under the deposited-receptor condition and 237 pairs under the CryoAtom2 condition. These subsets served as the benchmarks for directly comparing DG-PocketXmol against Emap2lig-Build.</w:t>
      </w:r>
    </w:p>
    <w:p>
      <w:pPr>
        <w:pStyle w:val="CaptionedFigure"/>
        <w:keepNext/>
        <w:spacing w:line="240" w:lineRule="auto" w:before="0" w:after="0"/>
        <w:ind w:firstLine="0"/>
        <w:jc w:val="center"/>
      </w:pPr>
      <w:r>
        <w:rPr>
          <w:rFonts w:ascii="Times New Roman" w:hAnsi="Times New Roman"/>
          <w:sz w:val="24"/>
        </w:rPr>
        <w:drawing>
          <wp:inline>
            <wp:extent cx="5733415" cy="4513219"/>
            <wp:effectExtent b="0" l="0" r="0" t="0"/>
            <wp:docPr descr="Fig. 6 | Docking performance of DG-PocketXmol and Emap2lig-Build using predicted ligand regions. a,b, Deposited receptor (GT) comparison on 241 instances jointly detected by LigandSeek-Find and Emap2lig-Find. c,d, CryoAtom2-reconstructed receptor (CA2) comparison on 237 instances jointly detected by both methods. DG-PocketXmol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VVl9rIzcQ_yrCT3dge_0nTsj2GkidSyj4DpOkUOiWIGvlXdW7kpC0_nO9Ql9K6UOfrvSlpc996gfoQfvQb1Lo5T5GZ6S1Y18CPVqukJBEI83Mb_5Js_N5Q1OXN2LSuP7u5V8__BZZRzPev3754tVPP7a1dstGkzQMt6qY8xTlhnGSfGS5sUnSHRx2D5PkhNuZUzpJXv_y66vvv3797TfXP_-eJAEwSe5ElLTkiBaYLW14KpjjacvwTCjZyjlNW075FeUZ1Q7Or0pqZpUGzU8ajxaxJsuykDZevJ80cud0HEWW5byktq00l8CcKlNSB1uTRQtlUm0U49YKmZVF1Ot09qOSCpk0jhBtbPxy4VYFJ4t4TgvA_bAED4fBPMpFawmUnXGuR0Jy68-3dovYasrADOAUcARAvb1O0qi351WBR7RyqsasxVFTyBTEpsJYNwqqnVoIOMGB4Gn4V9OnSjoLetQyIUDnUpTckqd8Qc5VSaU3nR9LeyfPowYIBJv4_cSTwxCbX8HNZ5vE9PbWrj8L6sERhzXx4aDnUFi4K3MOoqcia5N98pycKDbDzGhufHkk40RNyclZawwc7j4uVUEoJOFxSXWvEFnrg0oUKams11pfFQIclAo3xrbRBxc8eafJ-Q8pIP-Xj--kgPQeZLh5rzM8uQ8ZJidcKyvwBRrOuHbKkAdnlw8JU6WmRlglCfz29rpESOjv8Lwt-UwJ6YoVSbnj_vFOVmTk3-8F57PWKfa8nSePJ23CmmmTDM1KHTtV9uDjwOClO1OxXevD494t8_2DfzA_US4nJXe5Sm37je5TWVByOb_l46RQE8K4dEaJlDgFiFPo0YSS7oD88VVgcaI91Hu3O1gNuxPmVkvz8NQSAZXOKpFiwwv9rU1GfOrIA9pkD5tgWLe65PzJxUmbnIssB8akmQJjwq1rqWlr0Km5Y4zcAogvoXTrrrnJDeioJbgFpZbet97A5X9--eIAFmzRGJEoUK6ODb9fIJ6rBWQvFVRaX7lFLuwMxoIboIBz-AZOm1wCb9WiSwFxWlKoDKrm8lIwqAK1ue_saAK_9aSHWUX8PhC7PR4_hEeNT2E62EwFjcFBv7_XHSz3Bt1-r3v4_JEWLIa_elCgbzUopIYubk0INQJg_RsMUHOV4RsY81YgajoVjMP3siohewHJ8ILiLGJzoS0-XYxQzseC4cPFDXs6Hxu4mJahlWEc-XEt8tNaVA9r0fasFjleaghTVqAitLuaigyctVeus8xM5WQUDq46-LPf1jKDQEQK6H3oHgSHOaDH6xihNBs_blwKDlLM4AiehyVSDXMqM35sjFrgoGcBpIt4a4bV8FrDIWDeqG4ZCKjRrSRMCqFPRVGgRaS9fiBoDC2EO5YjOQWZc7Di-TubjVC0i4c7CxMYmSyeqHR7jKPxcmpKXKFwZBkGN7LaDHD-HNl86QhDfn1dQYqhWH1ra2GQ8usaVMNAeMZVSZAAaeh_Lpil85ENsjfUWhr5UgXXoxuSxoUkODcfDnqDgHKnFNblsR87t2gaOyqK9fE2Xcg6X1Zv6gJ_R40v_gaWu02L" id="33" name="Picture"/>
            <a:graphic>
              <a:graphicData uri="http://schemas.openxmlformats.org/drawingml/2006/picture">
                <pic:pic>
                  <pic:nvPicPr>
                    <pic:cNvPr descr="C:/Users/15919/Desktop/论文草稿/temp/manuscript_figures_t0xgrutn/figure_000006.png" id="34" name="Picture"/>
                    <pic:cNvPicPr>
                      <a:picLocks noChangeArrowheads="1" noChangeAspect="1"/>
                    </pic:cNvPicPr>
                  </pic:nvPicPr>
                  <pic:blipFill>
                    <a:blip r:embed="rId32"/>
                    <a:stretch>
                      <a:fillRect/>
                    </a:stretch>
                  </pic:blipFill>
                  <pic:spPr bwMode="auto">
                    <a:xfrm>
                      <a:off x="0" y="0"/>
                      <a:ext cx="5733415" cy="451321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Docking performance of DG-PocketXmol and Emap2lig-Build using predicted ligand regions.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Deposited receptor (GT) comparison on 241 instances jointly detected by LigandSeek-Find and Emap2lig-Find. c,d, CryoAtom2-reconstructed receptor (CA2) comparison on 237 instances jointly detected by both methods. DG-PocketXmol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6</w:t>
      </w:r>
      <w:r>
        <w:rPr>
          <w:rFonts w:ascii="Times New Roman" w:hAnsi="Times New Roman"/>
          <w:sz w:val="24"/>
        </w:rPr>
        <w:t xml:space="preserve"> </w:t>
      </w:r>
      <w:r>
        <w:rPr>
          <w:rFonts w:ascii="Times New Roman" w:hAnsi="Times New Roman"/>
          <w:sz w:val="24"/>
        </w:rPr>
        <w:t xml:space="preserve">compares the LigandSeek and Emap2lig docking modules. Our model maintained higher accuracy across all tested conditions. Among the shared GT instances, median top-1 RMSD was 0.87 Å for DG-PocketXmol and 1.80 Å for Emap2lig-Build. Median best RMSD was 0.64 Å and 1.34 Å, respectively. This advantage was maintained with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MqLklMTzXWLShKTclMLklN0S1KTc_Mz9PNSE1M0S3JB9O1tQC1BBIF"/>
          <w:rFonts w:ascii="Times New Roman" w:hAnsi="Times New Roman"/>
          <w:sz w:val="24"/>
        </w:rPr>
        <w:t xml:space="preserve">Fig. 6</w:t>
      </w:r>
      <w:r>
        <w:rPr>
          <w:rFonts w:ascii="Times New Roman" w:hAnsi="Times New Roman"/>
          <w:sz w:val="24"/>
        </w:rPr>
        <w:t xml:space="preserve">).</w:t>
      </w:r>
    </w:p>
    <w:bookmarkEnd w:id="35"/>
    <w:bookmarkStart w:id="39" w:name="stage-3-representative-cases"/>
    <w:p>
      <w:pPr>
        <w:pStyle w:val="Heading3"/>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KutBQCftQrz"/>
          <w:rFonts w:ascii="Times New Roman" w:hAnsi="Times New Roman"/>
          <w:sz w:val="24"/>
        </w:rPr>
        <w:t xml:space="preserve">Fig. 7</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KtJfNQwObm2FgDtUw4o"/>
          <w:rFonts w:ascii="Times New Roman" w:hAnsi="Times New Roman"/>
          <w:sz w:val="24"/>
        </w:rPr>
        <w:t xml:space="preserve">Fig. 7a–c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DG-PocketXmol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KtJedQwOa22FgDtcQ4u"/>
          <w:rFonts w:ascii="Times New Roman" w:hAnsi="Times New Roman"/>
          <w:sz w:val="24"/>
        </w:rPr>
        <w:t xml:space="preserve">Fig. 7d–f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9PXT, 9WUP and 9WQ3, Emap2lig-Build’s top-1 poses produced 39, 14 and 12 clashing pairs with surrounding receptor atoms, respectively. Its pose in 9PXT also deviated markedly from the deposited position, with an RMSD of 10.89 Å. By combining receptor geometry with density information, DG-PocketXmol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DG-PocketXmol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7 | Complementary constraints from receptor pockets and experimental density. a–c, Three instances in which PocketXMol-official top-1 poses deviate from experimental density: 9Q16–XG4, 9UB7–Y01 and 9R3D–IHP. d–f, Three instances in which Emap2lig-Build top-1 poses clash with the receptor: 9PXT–MGD, 9WUP–FAD and 9WQ3–1SY. Both PocketXMol models use deposited receptors and centre-defined pockets. Each row shows PocketXMol-official (orange), DG-PocketXmol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opu7PZJE2zKpXSbFMqpdU2bdVWDIqcGe-OFc_Ysj37U4rEDSAkEBeg3vAAcAX3IMEFb4JU2sfgO_bsZtOmqAIVqRJRkjm2j7_z9_nvo5bhvmj1Wev5t788--7XxHk-FhvPvv7pxfefPfvyaccYP2utsZYVTquJyEl1r5-m952wLk3Xt3bWd9J0INyJ1yZNX_z4859PP3_x1RfPf_gtTSNmmr4OtOKlIMA43s64E65dclnRYMaNl7o6Krk9qQ3UPmhdmfYNm5Wqcv3pe2mr8N70k8RlhSi562gjKgyOtC25R9OOk6m2ubE6E87JalyqpNftXkrIQtq6SmhDGz53_VwJNu1PuALuzRLu7EXzpJcsNEj3RAhzICvhQv9Ka9p3hmcwAxyFLgD1Nrtpq2ke1oq6eO11g9mo00xZ5VAbSev8QZzabZQwEh2InsZ_jbyvK-8wj7tMSsy5J0vh2G0xZYe65FUwXexW7tyxgBohCOw4tI-DuBdjC1-4-XiZmN7mwvXHcXp0xFNNQjjkuQFVhJ0IqO7LcYdtsydsT5dGiVJUnts5y3TlvEUR4P3I6pJZkQnjtWVGZycCvRz5EDMjrAxzFMsFwvDzDln10fZbTce_CJr9Vz6-lZLxPz75JnsHsrzG7hVWCCZBJV5hgUNi00JmBRsGEj28pVVbj0Yyk-APNqf2OuiFDQZcmkjuRaTeeSzrs50765eQiIc3NtfYzv1r25AfddcDLXcONwZo3nx_-D8Z3zYZcyR69A5k-W_IeL3kpqfkuH2tlio_w8NMcVewqfQF84VYboJg3_DhPUR-68YA7Htwfwh5f3cQ2ffgzgaa63cfddg17VfJzkqdC-VY7QSIDBPSi3yJGvfUDDy3op2LEU6ZfLHddth1DletnjJX6Kk7dwVd0JZXY3FxjQ1utBuFElYvHKtaXAzoL8V6wdQWuz5mxBhXQndCiYzcO55Ht5nLtBUdNlg6Dhxgwm0rmBdcra2Ggj6t5ESwMdJevfa4YNwYwWkCfkkX1oQrOuwQBnJkP9jB6R0QlqcQ97p0jO4dsUZ0puPM8jyjXA0IXXtMoqqNLHpxT2B6xMCIXIawCsEn8wZnWiBk5q0kS9yqOcjhhTVacVJduGoFatCAwhNdIpQc49JpV9sROIchUK7QKu-wvcCdTNfE_5gq0ILYl3Obt5ehBEfa5AgzHNcLZN5wy5vU4xSGv_BI4YIEeF6xbmd7i_mwVMgTV5cUGURp2QTjubDsAefgmeW5lB0wX4SkNtShSSsuU-WxFnrs908JJ3-pvKuJ6rBdpUKMBOgLjeK7IpSfHMFVkeXSGcXngdZjJH2NTaSYUnlATVzgCNFlXIFId-nDjlH8NbYF66g56A1zOdQBbEQmR7iKFLiGNNV3Mq_hPAri5Ujient2g6dL2NXWh7iZLm-krc2tXm-ztzPbuty73N3oPrliZNbHX3NJ5W90Sc0tn75yO20QgPVPMDDN11YsYewbgYS1LgY6q2kZRSQrQFOkGqvAONoVKcJqMpQZ7YnUyG5PhhaVdRlZ2esn4WmQhJdB0jwMktV3QeJFaRBmVWOKNP5oJMdw1h357mxsa18lseOoSz_bHVONEYjMgb5xGRK9GiAPFzGiNEs_Tl2KDnLK4AF2K8cqvVfQDrZrsdERERxA1glvMUCk8LETmKdTVwxE1OSVJBwrafalUmSR5DA_CryPZSZ8VpA4gs4hrITxM42lUnIWj1oOt392PL2FnXLlCcH7s5Et6YvCsVl8NLD58vEQ-mlYzDzLaLyhK7QyUmtY2yhDK3wXoAaPkRuCNg4I0Mae4qNZPjlwUfdUWmjTeKWj68mpyPsKJyJQdrZ6WxHlXC2qy_Xw5FmRed9zqRbdq7Kqmnw5s6wL_q62Pv4L6gQ3xA" id="37" name="Picture"/>
            <a:graphic>
              <a:graphicData uri="http://schemas.openxmlformats.org/drawingml/2006/picture">
                <pic:pic>
                  <pic:nvPicPr>
                    <pic:cNvPr descr="C:/Users/15919/Desktop/论文草稿/temp/manuscript_figures_t0xgrutn/figure_000007.png" id="38" name="Picture"/>
                    <pic:cNvPicPr>
                      <a:picLocks noChangeArrowheads="1" noChangeAspect="1"/>
                    </pic:cNvPicPr>
                  </pic:nvPicPr>
                  <pic:blipFill>
                    <a:blip r:embed="rId36"/>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9PXT–MGD, 9WUP–FAD and 9WQ3–1SY. Both PocketXMol models use deposited receptors and centre-defined pockets. Each row shows PocketXMol-official (orange), DG-PocketXmol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39"/>
    <w:bookmarkEnd w:id="40"/>
    <w:bookmarkStart w:id="61" w:name="end-to-end"/>
    <w:p>
      <w:pPr>
        <w:pStyle w:val="Heading2"/>
        <w:keepNext/>
        <w:spacing w:line="480" w:lineRule="auto"/>
        <w:ind w:firstLine="0"/>
      </w:pPr>
      <w:r>
        <w:rPr>
          <w:rFonts w:ascii="Times New Roman" w:hAnsi="Times New Roman"/>
          <w:sz w:val="24"/>
        </w:rPr>
        <w:t xml:space="preserve">End-to-end</w:t>
      </w:r>
    </w:p>
    <w:bookmarkStart w:id="41" w:name="evaluation-protocol"/>
    <w:p>
      <w:pPr>
        <w:pStyle w:val="Heading3"/>
        <w:keepNext/>
        <w:spacing w:line="480" w:lineRule="auto"/>
        <w:ind w:firstLine="0"/>
      </w:pPr>
      <w:r>
        <w:rPr>
          <w:rFonts w:ascii="Times New Roman" w:hAnsi="Times New Roman"/>
          <w:sz w:val="24"/>
        </w:rPr>
        <w:t xml:space="preserve">Evaluation protocol</w:t>
      </w:r>
    </w:p>
    <w:p>
      <w:pPr>
        <w:pStyle w:val="FirstParagraph"/>
        <w:spacing w:line="480" w:lineRule="auto" w:after="120"/>
        <w:ind w:firstLine="480"/>
      </w:pPr>
      <w:r>
        <w:rPr>
          <w:rFonts w:ascii="Times New Roman" w:hAnsi="Times New Roman"/>
          <w:sz w:val="24"/>
        </w:rP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eligible small molecules.</w:t>
      </w:r>
    </w:p>
    <w:p>
      <w:pPr>
        <w:pStyle w:val="BodyText"/>
        <w:spacing w:line="480" w:lineRule="auto" w:after="120"/>
        <w:ind w:firstLine="480"/>
      </w:pPr>
      <w:r>
        <w:rPr>
          <w:rFonts w:ascii="Times New Roman" w:hAnsi="Times New Roman"/>
          <w:sz w:val="24"/>
        </w:rPr>
        <w:t xml:space="preserve">LigandSeek-Find ranks candidate ligand regions by descending mean probability, yielding Rank 1, Rank 2 and subsequent candidates. End-to-end region detection and identity matching across all ligand categories require both Find and Match to succeed. Full pose reconstruction for eligible small molecules requires Find, Match and Build to succeed.</w:t>
      </w:r>
    </w:p>
    <w:p>
      <w:pPr>
        <w:pStyle w:val="BodyText"/>
        <w:spacing w:line="480" w:lineRule="auto" w:after="120"/>
        <w:ind w:firstLine="480"/>
      </w:pPr>
      <w:r>
        <w:rPr>
          <w:rFonts w:ascii="Times New Roman" w:hAnsi="Times New Roman"/>
          <w:sz w:val="24"/>
        </w:rPr>
        <w:t xml:space="preserve">For each PDB entry, the pipeline examines these candidates in order within a specified relative attempt budget. Unsupported ligand types are skipped, whereas model prediction errors, including false positives, remain counted. For a PDB entry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ligands, a relative attempt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attempts. We report the fraction of qualified ground-truth ligand instances successfully processed within this budget, termed the completion ratio, which is a function of</w:t>
      </w:r>
      <w:r>
        <w:rPr>
          <w:rFonts w:ascii="Times New Roman" w:hAnsi="Times New Roman"/>
          <w:sz w:val="24"/>
        </w:rPr>
        <w:t xml:space="preserve"> </w:t>
      </w:r>
      <m:oMath>
        <m:r>
          <m:t>ρ</m:t>
        </m:r>
      </m:oMath>
      <w:r>
        <w:rPr>
          <w:rFonts w:ascii="Times New Roman" w:hAnsi="Times New Roman"/>
          <w:sz w:val="24"/>
        </w:rPr>
        <w:t xml:space="preserve">. The detailed evaluation protocol is described in Methods</w:t>
      </w:r>
      <w:r>
        <w:rPr>
          <w:rFonts w:ascii="Times New Roman" w:hAnsi="Times New Roman"/>
          <w:sz w:val="24"/>
        </w:rPr>
        <w:t xml:space="preserve"> </w:t>
      </w:r>
      <w:r>
        <w:rPr>
          <w:rFonts w:ascii="Times New Roman" w:hAnsi="Times New Roman"/>
          <w:sz w:val="24"/>
        </w:rPr>
        <w:t xml:space="preserve">(</w:t>
      </w:r>
      <w:r>
        <w:rPr>
          <w:rStyle w:val="MDFIGREF_eJyrrk7LTC9KTbNKNUrVTUxOzi_NK8nMS9ctKs1JLdZNKUpMK6mtBQAQ2w6I"/>
          <w:rFonts w:ascii="Times New Roman" w:hAnsi="Times New Roman"/>
          <w:sz w:val="24"/>
        </w:rPr>
        <w:t xml:space="preserve">Fig. 14</w:t>
      </w:r>
      <w:r>
        <w:rPr>
          <w:rFonts w:ascii="Times New Roman" w:hAnsi="Times New Roman"/>
          <w:sz w:val="24"/>
        </w:rPr>
        <w:t xml:space="preserve">).</w:t>
      </w:r>
    </w:p>
    <w:bookmarkEnd w:id="41"/>
    <w:bookmarkStart w:id="45" w:name="X8b9bf2ea799954d7a0607b96c625e6fec49216c"/>
    <w:p>
      <w:pPr>
        <w:pStyle w:val="Heading3"/>
        <w:keepNext/>
        <w:spacing w:line="480" w:lineRule="auto"/>
        <w:ind w:firstLine="0"/>
      </w:pPr>
      <w:r>
        <w:rPr>
          <w:rFonts w:ascii="Times New Roman" w:hAnsi="Times New Roman"/>
          <w:sz w:val="24"/>
        </w:rPr>
        <w:t xml:space="preserve">Detection and identity matching across all ligand classes</w:t>
      </w:r>
    </w:p>
    <w:p>
      <w:pPr>
        <w:pStyle w:val="FirstParagraph"/>
        <w:spacing w:line="480" w:lineRule="auto" w:after="120"/>
        <w:ind w:firstLine="480"/>
      </w:pPr>
      <w:r>
        <w:rPr>
          <w:rFonts w:ascii="Times New Roman" w:hAnsi="Times New Roman"/>
          <w:sz w:val="24"/>
        </w:rPr>
        <w:t xml:space="preserve">For detection and identity matching across all ligand classes, increasing the relative attempt budget from 100% to 300% raised mean instance completion. Completion increased from 51.1% to 58.8% for CA2 and from 62.1% to 67.5% for GT</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8</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8</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8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N1qHDcUfhWxUGhhd2d37U3iITU4aycUHGPS9KpTjFZzdkdYI6mSZn_S9KJX_UkKvSi9KfSy9CoPkEL6CH2HUid5jB5JM-t1kpY0aUINNqzn6OjTp6NzzmiO9FlLU1e0UtJ68v2vJz8-SvYGeycPfvrz0b2TB_cff_XdycOfu1q7RatNWgasEjPIPXqUZtlHFozNsv5wq7-VZbtgj53SWfb0wcPHP3z59Nuvn_zyW5ZF2iz7B15JS_CcttK6AwPoMFVqAY4r2aFCeAij2jePSmqOK43gj1tX56kmi1JIm87fz1qFczpNEssKKKntKg0SOyfKlNRh00yTuTK5NoqBtVxOS5EMer1LSUm5zFrbnu3QhMeHbimAzNMZFcj7QUmnMIrTe1zSIDz2GEDvcwk26Nda89RqynAa5BGoQqLBZi9r1c1blfAqWjlVc9ZwP5LLHGETbqzbj0N7NQh7ogHR0vivlq8r6SyOo5ZxjmNu8xIsOYA5uaVKKsPUxY60L-wLrJHCk41DexzEUVxbeKKZd1aOGWw2pt-Jw6MhzsckLMdbrjFnwMwAodf5tEuukLtkT-YdpzqAyzwNNFETIviUojIHByzofIvnIB13S4JxZIX3KGVGWUswM5oRTFBrwXa9GS4a80b98xpeIG_LxjcSQ3oOPNwmu6CV5Q5yYoCBdspY8u6N2-91ybhNRmapdpwqBx3sVNI6U7FnoKOdAWKvKVdggsqc-1y0hEsmqhxI__IWOdy9RjAtDcdF-AQctIe9QZONHEmpxG2mS3YcGVf5FNw58NvZzCxTdRM_DPUGW77UBqsmE85gV7GqROc026srvB1lJHXbv39xNSnDPEGV1BP9X73SJkBZEQLOw56j5pBfRDOSBiPK1PrdubZTBzODLob4sI77H_e_ORP4v0uIlf7gRep_N-O9c5Vqb-3T8Bo2soKaKe6W1DkotbNtMi_AwDmw_C1tbwcXKfcf24jbriuAyKocg_FlIuB3lo-xRH_2e4sSQqnzu3WX3C4aRKdBrNebhuKD1OQTQ1lThWLbXiT0RUK_uYRe5WtIVmqA2Ir5Y-mkEmJZn3_8JhtOSAYrUyfq8w_kXXLDAEjij5E2YdwwURehY1FBrc45LbFytcQWah4yHF-JDnxaUUFKoPFkVQLCZBsrX6v9gWsGYhnYl0Qr7l3lUTOukLNm8mVQzrFm5uMqVsW4gGHvnTbp9_x_TKF3wqgNL8TS95ljmT--brc-wTP96izfGl7e2NjsDxeDrY1LVy73717VnKX4q7OZvlQ254bOnzvX1wzI9SocOMxVBlY05pVfKwOCBocVXFufLn6FcnbImU8W32AHs0ODsbfMzzJKk3C7koTLlaS-W0nWr1YS_wXGZcoKh3DtjiZ8isbaI9dbTE3lZBIVRz3_d6Wr5RQXwnNk38SMJf7WBeXDZo0YmpUdpyZFA6n34L5ix5ZINSqonMKOMQq__TS3SNL3fE1HyKaoRM7ToWsTRNbkOSeMBdfXuRB-Ri-H8VGgWOAZwFfAixPE3MJZQv-ZxgqUnOXzLavRw-P5TZWvX77QdDExpX9i4MgiXreQ5eraJeh9NywcYb6_TldEMQ-rs7YGIyo8G1JtrLsBqiReQLR_m-O0dLZvI_ZUatC-X6poenIq0lRI4m-7toaDYWR5IcrHZS9cFq3JNHWUi0a9LgtZ-8vqVVzwt936_C-RSOrM" id="43" name="Picture"/>
            <a:graphic>
              <a:graphicData uri="http://schemas.openxmlformats.org/drawingml/2006/picture">
                <pic:pic>
                  <pic:nvPicPr>
                    <pic:cNvPr descr="C:/Users/15919/Desktop/论文草稿/temp/manuscript_figures_t0xgrutn/figure_000008.png" id="44" name="Picture"/>
                    <pic:cNvPicPr>
                      <a:picLocks noChangeArrowheads="1" noChangeAspect="1"/>
                    </pic:cNvPicPr>
                  </pic:nvPicPr>
                  <pic:blipFill>
                    <a:blip r:embed="rId42"/>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End-to-end completion of ligand detection and identity matching across all ligand classes.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Deposited receptors (GT). b, CryoAtom2-reconstructed receptors (CA2). Both conditions include 179 PDB entries and 2,502 ligand instances. At budget</w:t>
      </w:r>
      <w:r>
        <w:rPr>
          <w:rFonts w:ascii="Times New Roman" w:hAnsi="Times New Roman"/>
          <w:sz w:val="24"/>
        </w:rPr>
        <w:t xml:space="preserve"> </w:t>
      </w:r>
      <m:oMath>
        <m:r>
          <m:t>ρ</m:t>
        </m:r>
      </m:oMath>
      <w:r>
        <w:rPr>
          <w:rFonts w:ascii="Times New Roman" w:hAnsi="Times New Roman"/>
          <w:sz w:val="24"/>
        </w:rPr>
        <w:t xml:space="preserve">, each PDB is allowed</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where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eligible ligand instances in that PDB. The ligand-instance completion ratio is the fraction of these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instances that are successfully detected and correctly matched. Green lines/circles and blue lines/diamonds show the PDB-equal mean and median, respectively. Grey points and violins show PDB distributions at 50%, 100%, 200% and 300% budgets.</w:t>
      </w:r>
    </w:p>
    <w:bookmarkEnd w:id="45"/>
    <w:bookmarkStart w:id="49" w:name="end-to-end-modelling-of-small-molecules"/>
    <w:p>
      <w:pPr>
        <w:pStyle w:val="Heading3"/>
        <w:keepNext/>
        <w:spacing w:line="480" w:lineRule="auto"/>
        <w:ind w:firstLine="0"/>
      </w:pPr>
      <w:r>
        <w:rPr>
          <w:rFonts w:ascii="Times New Roman" w:hAnsi="Times New Roman"/>
          <w:sz w:val="24"/>
        </w:rPr>
        <w:t xml:space="preserve">End-to-end modelling of small molecules</w:t>
      </w:r>
    </w:p>
    <w:p>
      <w:pPr>
        <w:pStyle w:val="FirstParagraph"/>
        <w:spacing w:line="480" w:lineRule="auto" w:after="120"/>
        <w:ind w:firstLine="480"/>
      </w:pPr>
      <w:r>
        <w:rPr>
          <w:rFonts w:ascii="Times New Roman" w:hAnsi="Times New Roman"/>
          <w:sz w:val="24"/>
        </w:rPr>
        <w:t xml:space="preserve">Successful processing of a small-molecule instance requires successful detection by Find, correct identity assignment by Match and a DG-PocketXmol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480" w:lineRule="auto" w:after="120"/>
        <w:ind w:firstLine="480"/>
      </w:pPr>
      <w:r>
        <w:rPr>
          <w:rFonts w:ascii="Times New Roman" w:hAnsi="Times New Roman"/>
          <w:sz w:val="24"/>
        </w:rPr>
        <w:t xml:space="preserve">For top-1 poses with RMSD &lt;3 Å, mean completion for CA2 was 47.7% and 53.0% at 100% and 300% budgets, respectively. The corresponding GT values were 60.1% and 61.1%</w:t>
      </w:r>
      <w:r>
        <w:rPr>
          <w:rFonts w:ascii="Times New Roman" w:hAnsi="Times New Roman"/>
          <w:sz w:val="24"/>
        </w:rPr>
        <w:t xml:space="preserve"> </w:t>
      </w:r>
      <w:r>
        <w:rPr>
          <w:rFonts w:ascii="Times New Roman" w:hAnsi="Times New Roman"/>
          <w:sz w:val="24"/>
        </w:rPr>
        <w:t xml:space="preserve">(</w:t>
      </w:r>
      <w:r>
        <w:rPr>
          <w:rStyle w:val="MDFIGREF_eJyrrk7LTC9KTbMqLi0o0E01StVNzs8tyEktyczP0y3OTczJqa0FAAWgDjw"/>
          <w:rFonts w:ascii="Times New Roman" w:hAnsi="Times New Roman"/>
          <w:sz w:val="24"/>
        </w:rPr>
        <w:t xml:space="preserve">Fig. 9</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9 | End-to-end completion of small molecules. 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N2KGzcUfpWDIaUB22N77SQ7SRc23t1Q2A1mk0KhUxZ55tgjdkZSJY1_0hTai9KfpFBo6U2hl6VXeYAU0os-QN8hdJM8Ro80Y683m5SQpiELMdhzRvr06fxJPtKnNcVsWguh9vjH349-fhBsd7aP7v3y94M7R_fuPvr6-6P7vzaVsrNaHWoajcwmmDh0P4yiDwxqE0Xt3np7PYq20BxaqaLoyb37j3766sl33zz-7Y8oKmmj6F94BcvRcZpCqQZ2sBHLXGVouRQNk7Msc6CYKddwkDN9WCiCf1S7Mg0VzPJMmHD6XlRLrVVhEJg4xZyZplQoqHMkdc4svepxMJU6UVrGaAwX4zwLOq3WhSBnXES1Dcc20P5xw84zhGk4YRnxvp-zMfbL6R0uWCAc9hBR7XKBxrevvE1Do1hM0xBPRk1E1Om2olr1ul9krokVVlacFdyN5CIh2IhrY3fLoa0KRD2lAqWm5U8l70hhDY1jJuacxtzkORq4jlPYlzkTfup0U5hn9nnWksKRDf370Iv90jb_JDVvLR3T6S5Uv1UOLxWxLibeHKe5oqxBPUGC7vBxE9bhNmyLpGFlA8nM41CDHIGPNuQyw5j8Y5qO1Zbc_6u5_8EoOAM6bmd8zIeU0k_5F5imNkq6DBuE5kmBQOuECR6fgk65TUFIYFbmBnLulxBozJjlEwQrwabINVikgDJLwYNrN-uQoJKGW0wIGqOyUht4N8ORPX8Z-pudOvT1XG4SZ4c0iKUwVhfxU3DNx6k93wRWH9ZpItVow_7ejS14J7OXoQN_fnkZ4npyumvNd2F9VIchGtuQo0avdWrouJ4-p9-Nb8IuJ4ckNxAPYYeW38PPf9hjNk7pebXgWQKKK3QrGqbMAFKACub0p4S-eBEGW1cBhdWcPOhSXXPvtm73AmSeFziZzARtSXUofN9AxodoP9yTWcMWgphoBwNyIsKKg2i9NGFH6jOQfCcXSB5Kcl9abdv5C23bcjTiMW7JuMjJl4tN26ZOj7wktRvXrwS5n8a3BNU8Z8Mpb6aOuNg1lilKEiCL02Vaz2nlFMkY7Rkw5zXl4V9fvE3EV6wj_RHJqTkDir6WFPNK5KGxc8grPZVX07eVeTeokvHh3W9PZOPzsvQ5u-hLzXjnbf6_Yh3jlOkxFQLMuuKKMgVuprhaOWuqwSRw40owEEU-RO2r6SJ2R51Rka1s4Qmf8ITIhvMzYPnb2uEZTqHCWiMKcEWnCWKuY1_KUy05zKiAL5sTznIpEgMmlVOfF_Sf3cBPCkZFPTLh8TkSTNSpsDQKY1fHZ3MqiDXOqeDkzliHmnBJnCtMCacilA8Ll3sEsdBrnatDu-V-ycHn_Kg1J5TFwVPnOHd83ah9TGf65Vm-1ru4ttZt92bd9daldq91-4ricUjfKtbshWKdaDY9da6vGIjrZThomC00Lmn0SyddeVIih6VcGRdwZ6GYDHjswu1e4uuTgaYDk4ndLP0w8Pcrgb9eCarblWD1ciVw2wGZKQoawpU9GPExKWsObGs21oUVQdlw0HKf9aYSYzKEJ8TevUSSu3chebCwkUKz1ONYpVJB5jy4S0cTQ4fAfsrEGDe1ltMUWWKIpO34Fh0-m8pG4jweujJByRqccsIw42qHZ5mb0cl-fCkw-rfRSEcvJ44Is0-z-P4TL0tQcJLPvRlFHh5O92SyevnCwtlI5-5JgYNZed0C8-W1i2933TizELv-Kl0JFTtYlbUVmFD-uSBV2thrKHNwAqHpGGfLadlk15TYY2mBdv1ClqoHxyILMwHutmu91-mVLM9Eubhs-8uiFZmFlvFs0bwqZ6Lyl1HLuNB3o_bZPwOB7vk" id="47" name="Picture"/>
            <a:graphic>
              <a:graphicData uri="http://schemas.openxmlformats.org/drawingml/2006/picture">
                <pic:pic>
                  <pic:nvPicPr>
                    <pic:cNvPr descr="C:/Users/15919/Desktop/论文草稿/temp/manuscript_figures_t0xgrutn/figure_000009.png" id="48" name="Picture"/>
                    <pic:cNvPicPr>
                      <a:picLocks noChangeArrowheads="1" noChangeAspect="1"/>
                    </pic:cNvPicPr>
                  </pic:nvPicPr>
                  <pic:blipFill>
                    <a:blip r:embed="rId46"/>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End-to-end completion of small molecules.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instances in each PDB entry,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The completion ratio is the number of successful instances divided by</w:t>
      </w:r>
      <w:r>
        <w:rPr>
          <w:rFonts w:ascii="Times New Roman" w:hAnsi="Times New Roman"/>
          <w:sz w:val="24"/>
        </w:rPr>
        <w:t xml:space="preserve"> </w:t>
      </w:r>
      <m:oMath>
        <m:r>
          <m:t>N</m:t>
        </m:r>
      </m:oMath>
      <w:r>
        <w:rPr>
          <w:rFonts w:ascii="Times New Roman" w:hAnsi="Times New Roman"/>
          <w:sz w:val="24"/>
        </w:rPr>
        <w:t xml:space="preserve">. Green lines/circles and blue lines/diamonds show the PDB-equal mean and median, respectively; grey points and violins show the distributions at 50%, 100%, 200% and 300% budgets.</w:t>
      </w:r>
    </w:p>
    <w:bookmarkEnd w:id="49"/>
    <w:bookmarkStart w:id="53" w:name="fair-comparison-with-emap2lig"/>
    <w:p>
      <w:pPr>
        <w:pStyle w:val="Heading3"/>
        <w:keepNext/>
        <w:spacing w:line="480" w:lineRule="auto"/>
        <w:ind w:firstLine="0"/>
      </w:pPr>
      <w:r>
        <w:rPr>
          <w:rFonts w:ascii="Times New Roman" w:hAnsi="Times New Roman"/>
          <w:sz w:val="24"/>
        </w:rPr>
        <w:t xml:space="preserve">Fair comparison with Emap2lig</w:t>
      </w:r>
    </w:p>
    <w:p>
      <w:pPr>
        <w:pStyle w:val="CaptionedFigure"/>
        <w:keepNext/>
        <w:spacing w:line="240" w:lineRule="auto" w:before="0" w:after="0"/>
        <w:ind w:firstLine="0"/>
        <w:jc w:val="center"/>
      </w:pPr>
      <w:r>
        <w:rPr>
          <w:rFonts w:ascii="Times New Roman" w:hAnsi="Times New Roman"/>
          <w:sz w:val="24"/>
        </w:rPr>
        <w:drawing>
          <wp:inline>
            <wp:extent cx="5733415" cy="3830556"/>
            <wp:effectExtent b="0" l="0" r="0" t="0"/>
            <wp:docPr descr="Fig. 10 | Find–Build completion by LigandSeek and Emap2lig with correct ligand identities. 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WN1uG0UUfpWRJRBIttd24pZsS6TUSSqkpIrSIi5YFI1nx96RZ2eGmVn_lCLBBUL8XRVxA-KaKx6ASnDBA_AOlWj7GJwzs3acJpWqUioi9cLe-TnnO7-ze8580jDUF42UNB5__-DvH39P9np7jx_cf_TzT21j_LzRJA3LnZZTniPRIM2y9x23Lsu6_a3uVpbtcjfx2mTZk19_e_TDl0----rxL39kWUTLsvNwipYcoXiPt0ZC5a1hJWTeyoXlzLeYLg21wmmFtIwaL7Q6KamdVAa4Pmxcn6WGzEupXDp7N2sU3ps0SRwreEldWxuuYHOkbUk9TO04mWmbG6sZd06ocSmTXqdzJSmpUFljG9GObHjc9gvJySydUgm475V0zAdRPNIlSwqknXBuDoTiLqyvzWapM5SBGMCRsARAvc1O1qinx5XEJVp5XWPW5MgJrgCykbDOH0TWTk0EO1GBqGn8q8f7WnkHfNQxIYDnjii5I7f4jBzrkqoguthR7sK9gBohEGwY5sMwHETbwhPUvLtyTG9zqfrdyB4V8RiTYA5qbiBnuJ1yIN0X4zbpdsg9sg92PPzs_g0MN8E4S47eJcMFORBjqvLbnE8IPMleSU1PCvCi8AWQWkwNIgMRETlXXnjBXRvl-6jFf-qYf2E-uQQ67gFbRUMshGKyykHQ5uYVwsHjYgiHwpVUylapJWeQwUDkPFVwoAhlVjtHrl4lR7s3CMTFYljI3hlGsmQEegtrkO-St0C8yCtO4IhSJdg50hB6pQn1unSkFOH0EsslKDrlxGviCy4s8RwSiXoUS5vDJmyYVpcY7XCFNfMmGXLnlwsHfORDilkxLjyklqxK5QD24wreP6TgdLpooUhyfHh7lzgwiHm5IG9Kf61H_vwi8OJkAyZN4HMGUhMUkos2-QBUFopwygoyrPIx9yCcWkdcoWerpG6uZ3uwcmAXegdk9sApTINzbcU8Bx0548ZrAHhrsNN7uxmEP82cczBNPEV-8w5QjyyYIdFgcFawt01urNQB72HQWmA5Bb9zqtbO5DXCrdV2TXvDLcNzB0Hd6r8BKeAheah0UUq30-x0OmSotQftqUHHUARzRI-CqJgiEIF9gKUhXcBUD29hCOslOCNnz3GZ6kP4bNbfofK5vkN6NBKM72pWleDI5VfIF6hHGUH99q3rSRnEhJWklnM5nPL_1NFTCwfx9J3VPH2HxDN6CWx4Rcn31-evs-8l6wjfND1zl0DRV5JiQYkydX5BylpPE9QMazHvjupkfPjt12ey8VlZ-oxX5wtJ_OZ1_r9kHVmBr98cqjis0yBTyOC08BculAaqKofcYqHgKoZt2qiSazVmLqZQ8ufQJlwCe1-XCRc4BctONhlbXUH9yqB6FTkW7KEbqBMk1ra68i09ajkGfiHgFH4xj5sIY3h-tv3D_ni78VGTNFaXBY3-1Y2NzW5_vvHORqffv3LvuhEshV8dEPpcAcktnZ27OKgRAOtFMIDNV5avYOwLZ0asZaBnKIRxGBW0UE2PBMOY4ITdmh5Z6BIcQymDNAnXN0m4vUnqy5tk_e4mwZMKZqoKWITxJyMxBmXdie_Mx7byKokLJ1Dxd7qdtlFjMETkgN7vwQjvd2B8tLQRQrPS41SlqCBFDx5oNnHQ6g0KqsZ8BxqPGfRhuQOQLuItN0KrFRcB85R1TUBETc45YSiF2RdSokQcB_44oPAhsNyzAocjoDkGKWH_zGRFlJzFw5kz4OHh7FDn67c7NJ2PbIlPCByZx_scsljd64R13OZzaERxv05XoGJIVmdtTQxU4bkENdb5mxx6LxwANV6RRLF0euAi7eloSY37SkfVk9MhTaUieJ221e_1I8qFVBiXvXAbtTamKbRxcrm8Ppaq9pczq7jAb7vx6T9DRg6x" id="51" name="Picture"/>
            <a:graphic>
              <a:graphicData uri="http://schemas.openxmlformats.org/drawingml/2006/picture">
                <pic:pic>
                  <pic:nvPicPr>
                    <pic:cNvPr descr="C:/Users/15919/Desktop/论文草稿/temp/manuscript_figures_t0xgrutn/figure_000010.png" id="52" name="Picture"/>
                    <pic:cNvPicPr>
                      <a:picLocks noChangeArrowheads="1" noChangeAspect="1"/>
                    </pic:cNvPicPr>
                  </pic:nvPicPr>
                  <pic:blipFill>
                    <a:blip r:embed="rId50"/>
                    <a:stretch>
                      <a:fillRect/>
                    </a:stretch>
                  </pic:blipFill>
                  <pic:spPr bwMode="auto">
                    <a:xfrm>
                      <a:off x="0" y="0"/>
                      <a:ext cx="5733415" cy="3830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Find–Build completion by LigandSeek and Emap2lig with correct ligand identities.</w:t>
      </w:r>
      <w:r>
        <w:rPr>
          <w:rFonts w:ascii="Times New Roman" w:hAnsi="Times New Roman"/>
          <w:sz w:val="24"/>
        </w:rPr>
        <w:t xml:space="preserve"> </w:t>
      </w:r>
      <w:r>
        <w:rPr>
          <w:rFonts w:ascii="Times New Roman" w:hAnsi="Times New Roman"/>
          <w:sz w:val="24"/>
        </w:rPr>
        <w:t xml:space="preserve">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successful instances divided by</w:t>
      </w:r>
      <w:r>
        <w:rPr>
          <w:rFonts w:ascii="Times New Roman" w:hAnsi="Times New Roman"/>
          <w:sz w:val="24"/>
        </w:rPr>
        <w:t xml:space="preserve"> </w:t>
      </w:r>
      <m:oMath>
        <m:r>
          <m:t>N</m:t>
        </m:r>
      </m:oMath>
      <w:r>
        <w:rPr>
          <w:rFonts w:ascii="Times New Roman" w:hAnsi="Times New Roman"/>
          <w:sz w:val="24"/>
        </w:rPr>
        <w:t xml:space="preserve">. Background candidates are charged, and out-of-scope foreground candidates are skipped.</w:t>
      </w:r>
    </w:p>
    <w:p>
      <w:pPr>
        <w:pStyle w:val="BodyText"/>
        <w:spacing w:line="480" w:lineRule="auto" w:after="120"/>
        <w:ind w:firstLine="480"/>
      </w:pPr>
      <w:r>
        <w:rPr>
          <w:rFonts w:ascii="Times New Roman" w:hAnsi="Times New Roman"/>
          <w:sz w:val="24"/>
        </w:rP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rPr>
          <w:rFonts w:ascii="Times New Roman" w:hAnsi="Times New Roman"/>
          <w:sz w:val="24"/>
        </w:rPr>
        <w:t xml:space="preserve"> </w:t>
      </w:r>
      <w:r>
        <w:rPr>
          <w:rFonts w:ascii="Times New Roman" w:hAnsi="Times New Roman"/>
          <w:sz w:val="24"/>
        </w:rPr>
        <w:t xml:space="preserve">(</w:t>
      </w:r>
      <w:r>
        <w:rPr>
          <w:rStyle w:val="MDFIGREF_eJyrrk7LTC9KTbNKNUrVTcvMS9FNKs3MSdFNySxKTS7RTc7PLUgsyizOz6utBQBnQxC1"/>
          <w:rFonts w:ascii="Times New Roman" w:hAnsi="Times New Roman"/>
          <w:sz w:val="24"/>
        </w:rPr>
        <w:t xml:space="preserve">Fig. 10</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assuming an ideal, always-successful Match stage for both methods. We then evaluated both pipelines on the same 77 PDBs containing 446 eligible small-molecule instances. LigandSeek used DG-PocketXmol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480" w:lineRule="auto" w:after="120"/>
        <w:ind w:firstLine="480"/>
      </w:pPr>
      <w:r>
        <w:rPr>
          <w:rFonts w:ascii="Times New Roman" w:hAnsi="Times New Roman"/>
          <w:sz w:val="24"/>
        </w:rPr>
        <w:t xml:space="preserve">For top-1 poses with RMSD &lt;3 Å, mean completion at a 100% budget was 63.2% for GT, 49.6% for CA2 and 39.9% for Emap2lig. Increasing the budget to 300% raised these values to 64.2%, 55.0% and 43.7%, respectively. Using best-of-50 poses at the same threshold, completion at a 100% budget reached 70.5%, 58.0% and 45.3%, respectively. At a 300% budget, the corresponding completion values were 71.5%, 66.3% and 51.2%, respectively. With correct identities supplied to both pipelines, LigandSeek completed more instances, demonstrating its combined advantage in localisation and pose reconstruction.</w:t>
      </w:r>
    </w:p>
    <w:p>
      <w:pPr>
        <w:pStyle w:val="BodyText"/>
        <w:spacing w:line="480" w:lineRule="auto" w:after="120"/>
        <w:ind w:firstLine="480"/>
      </w:pPr>
      <w:r>
        <w:rPr>
          <w:rFonts w:ascii="Times New Roman" w:hAnsi="Times New Roman"/>
          <w:sz w:val="24"/>
        </w:rP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10</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9</w:t>
      </w:r>
      <w:r>
        <w:rPr>
          <w:rFonts w:ascii="Times New Roman" w:hAnsi="Times New Roman"/>
          <w:sz w:val="24"/>
        </w:rPr>
        <w:t xml:space="preserve"> </w:t>
      </w:r>
      <w:r>
        <w:rPr>
          <w:rFonts w:ascii="Times New Roman" w:hAnsi="Times New Roman"/>
          <w:sz w:val="24"/>
        </w:rPr>
        <w:t xml:space="preserve">shows that the full LigandSeek pipeline still outperforms it.</w:t>
      </w:r>
    </w:p>
    <w:p>
      <w:pPr>
        <w:pStyle w:val="BodyText"/>
        <w:spacing w:line="480" w:lineRule="auto" w:after="120"/>
        <w:ind w:firstLine="480"/>
      </w:pPr>
      <w:r>
        <w:rPr>
          <w:rFonts w:ascii="Times New Roman" w:hAnsi="Times New Roman"/>
          <w:sz w:val="24"/>
        </w:rPr>
        <w:t xml:space="preserve">Full completion curves and per-PDB distributions are shown in Supplementary Fig. 5.</w:t>
      </w:r>
    </w:p>
    <w:bookmarkEnd w:id="53"/>
    <w:bookmarkStart w:id="60" w:name="representative-cases"/>
    <w:p>
      <w:pPr>
        <w:pStyle w:val="Heading3"/>
        <w:keepNext/>
        <w:spacing w:line="480" w:lineRule="auto"/>
        <w:ind w:firstLine="0"/>
      </w:pPr>
      <w:r>
        <w:rPr>
          <w:rFonts w:ascii="Times New Roman" w:hAnsi="Times New Roman"/>
          <w:sz w:val="24"/>
        </w:rPr>
        <w:t xml:space="preserve">Representative cases</w:t>
      </w:r>
    </w:p>
    <w:p>
      <w:pPr>
        <w:pStyle w:val="FirstParagraph"/>
        <w:spacing w:line="480" w:lineRule="auto" w:after="120"/>
        <w:ind w:firstLine="480"/>
      </w:pPr>
      <w:r>
        <w:rPr>
          <w:rFonts w:ascii="Times New Roman" w:hAnsi="Times New Roman"/>
          <w:sz w:val="24"/>
        </w:rPr>
        <w:t xml:space="preserve">We selected two representative cases to illustrate the end-to-end pipeline for all-atom small-molecule pose reconstruction, using CryoAtom2-reconstructed rather than deposited receptor structures as input</w:t>
      </w:r>
      <w:r>
        <w:rPr>
          <w:rFonts w:ascii="Times New Roman" w:hAnsi="Times New Roman"/>
          <w:sz w:val="24"/>
        </w:rPr>
        <w:t xml:space="preserve"> </w:t>
      </w:r>
      <w:r>
        <w:rPr>
          <w:rFonts w:ascii="Times New Roman" w:hAnsi="Times New Roman"/>
          <w:sz w:val="24"/>
        </w:rPr>
        <w:t xml:space="preserve">(</w:t>
      </w:r>
      <w:r>
        <w:rPr>
          <w:rStyle w:val="MDFIGREF_eJyrrk7LTC9KTbNKNUrVTcvJL9e1zMlJ14HzjA3SE2trAQ6KDYk"/>
          <w:rFonts w:ascii="Times New Roman" w:hAnsi="Times New Roman"/>
          <w:sz w:val="24"/>
        </w:rPr>
        <w:t xml:space="preserve">Figs. 11–12</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9LLG</w:t>
      </w:r>
      <w:r>
        <w:rPr>
          <w:rFonts w:ascii="Times New Roman" w:hAnsi="Times New Roman"/>
          <w:sz w:val="24"/>
        </w:rPr>
        <w:t xml:space="preserve"> </w:t>
      </w:r>
      <w:r>
        <w:rPr>
          <w:rFonts w:ascii="Times New Roman" w:hAnsi="Times New Roman"/>
          <w:sz w:val="24"/>
        </w:rPr>
        <w:t xml:space="preserve">(</w:t>
      </w:r>
      <w:r>
        <w:rPr>
          <w:rStyle w:val="MDFIGREF_eJyrrk7LTC9KTbNKNUrVTcvJL9e1zMlJr60FAHM2CSQ"/>
          <w:rFonts w:ascii="Times New Roman" w:hAnsi="Times New Roman"/>
          <w:sz w:val="24"/>
        </w:rPr>
        <w:t xml:space="preserve">Fig. 11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A1EKL (R:602). Match correctly identified A1EKL among the three candidate identities PLM, A1EKL and CLR. DG-PocketXmol then generated a top-1 pose with a heavy-atom RMSD of 0.88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1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LY895dYlMfacC52Kb0HIyTlkKvGHl3dk-1VhKS9v6kKaQvbUJa-tASKH3qUwOFpi99aSH9LqGO8zE6s9r7k8QPaYsfDmw4rzQz-s1oNJJG81nDcD9sdFnj9Ps_T358Fm93tl_89ODvZ49Ovn368ucvT75-3Dz95enJg9_w_4vfvzh98uj04YPD0ZU1Y_ykEbGGBaflCFLC6HUHgw8cWDcYtNc325uDwU1wx16bweDlr3-8ePzVy28enj75azAIygaDf61N8QJIE3SgmUk9bm5KmRMj4cYLrQ4Lbo9LgyIfN66Nu4ZNCqlcd_zuoDH03nTj2CVDKLhb0wYUMjNtC-6xa_N4rG1qrE7AOaHyQsadVmsjLrhQg8Z1Qtu31ee2n0pg4-6IS8R9r-A59IJ6kotnEiR7DGD6QoGr6Eu9cdcZnqAaxJFIQqDO1dagUXcPSkkkXnpdY9biNFKoFMUyYZ3vh6GtWgg5wYBgafhXt3e08g7HcZcIgWPuiAIcuwVjdqALrirVwy3lzuRVqAGCwI6q_lHV7IW5VV808-7cMZ2rM9PvhuHBEE9rUk2HLDcYP2BHgKI7Il9j7Ta7x7ZV2vS6CThPox0wC4lWztsyIScznbGt9vb7fXbpoLvR6lxmQrHNfn93jbT4oOtcp_8_JslWwMYdDKOI7XGfDBnHNbhRCpmyFJT2wPoiR9ptgONmkFsiLIYsEavREa6hM4DrNwI5vVio895L_Pn975IV8HLEticGLCpQnkuKMSf8NGJ-CKxnp3rL66LTXNr_kNJpAMZryy71tnDzU7iReAp4VohXBXbvXL6ItfOOtXQFPByxHsaJSLmn2yTHW8QxZKeiiqijKQtn2Vj4ITvSEzQDb-Fjup69rqJL6gTjcyRg7BheQUSyIh_6i_A67_CCFfBwtAI2rnYUZCvg4YjtWl1S7mpLH_KgxRkjq4xodvhEzA31WDHuq6PE4bOGaSvoFqxSXBJ1eOLAxfly3pGVr4CHI7YlJaOXq6BrSGCe5IUXqC6zuliE0P7NGwxZdlpfZcSok3J80-aK0iymS09PzJSeTUeyvAixcw-xIWbjn66AlyP2YUhwsipy9nVyDP6jPS2bvqSA8do02-FJznMuMCUPidAs33alzRA0YnBGUl-daYsknVBeexWyOwi2pEM4Zrk6RuGq1kFpGqkrdAry-f0f0E48QV2iLayxg9oGx7gFllsAFc01IxBS6meF5zYHXx_ExNKoJEdbFmc1aQ9AtD_OMDwwPXAZjD7j7YHApUOCVnLKMiRYyMCCSlBaOCN5cEgmFLoIcL3K6uSPKioOVjAC8qgxUiAMd2HeuGlN-VrWSQWf641PItaYV78a6532Zutqa7JxZf3KO-32vWtGJF381QUx_lYFsdTy8RuVsBoBsf4LBg7zpYU5jH0rEJ1lIoGbOikppgKSBVl5zA2FcRTnNEM12hcJRTl1klujfYtr4xLS0uvGVW0yrkqTcV2ZjJcLk7GHwuA0VYlDhPGHmcjRWHfoW5Mc73QVB8JhC__a7TWjcpyISBF9fQNbVJ3E9v5sjrg0czsWJgUDOXmwjzsMl1r3hhSCW9bq8RB46hCkTXgzRrVJAhExF0OXFATU-A0nHElhdoSUpJHa1fjQ4F18UwPeDtTMUAY3ka_4r3TmQvGreNRzBj18NN7D0FwqV_LuJLMFfXHh2CQUKNl0Xqis6MSGiWcJ8etwRamExOqorYVRqvrOQA0eBruA9x41UBr3nA9q-ajvguyiNZMmvtLB9HjR5F2pGNWHN9c76wHlTClal-2qvLrU5l3PhZyRl9tS1f5yZr4u-Lve-PwfgwYXug" id="55" name="Picture"/>
            <a:graphic>
              <a:graphicData uri="http://schemas.openxmlformats.org/drawingml/2006/picture">
                <pic:pic>
                  <pic:nvPicPr>
                    <pic:cNvPr descr="C:/Users/15919/Desktop/论文草稿/temp/manuscript_figures_t0xgrutn/figure_000011.png" id="56" name="Picture"/>
                    <pic:cNvPicPr>
                      <a:picLocks noChangeArrowheads="1" noChangeAspect="1"/>
                    </pic:cNvPicPr>
                  </pic:nvPicPr>
                  <pic:blipFill>
                    <a:blip r:embed="rId54"/>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End-to-end pose reconstruction of A1EKL (R:602) in 9LLG.</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30GA</w:t>
      </w:r>
      <w:r>
        <w:rPr>
          <w:rFonts w:ascii="Times New Roman" w:hAnsi="Times New Roman"/>
          <w:sz w:val="24"/>
        </w:rPr>
        <w:t xml:space="preserve"> </w:t>
      </w:r>
      <w:r>
        <w:rPr>
          <w:rFonts w:ascii="Times New Roman" w:hAnsi="Times New Roman"/>
          <w:sz w:val="24"/>
        </w:rPr>
        <w:t xml:space="preserve">(</w:t>
      </w:r>
      <w:r>
        <w:rPr>
          <w:rStyle w:val="MDFIGREF_eJyrrk7LTC9KTbNKNUrVTcvJL9c1NkhPrK0FAHHACNc"/>
          <w:rFonts w:ascii="Times New Roman" w:hAnsi="Times New Roman"/>
          <w:sz w:val="24"/>
        </w:rPr>
        <w:t xml:space="preserve">Fig.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was a background false positive and consumed one search attempt. The Rank 2 candidate then hit ATP (N:401), and Match correctly identified ATP. DG-PocketXmol subsequently generated a pose with a heavy-atom RMSD of 1.04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2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rHDcQ_yrinhrY896d7VAfacC52KHgBJO4pdAtRt6d3VOtlYSkvT9pCulLm5CWPrQESp_61ECh6UtfWki_S6jjfIzOrPb-JPFD2uKHAxvOK82MfjMajaTRfNYy3A9bfdY6_f7Pkx-fxTu9nRc_Pfj72aOTb5--_PnLk68ft09_eXry4Df8_-L3L06fPDp9-OBwtL5mjJ-0Itay4LQcQUYYg36SfODAuiTpbm51t5LkOrhjr02SvPz1jxePv3r5zcPTJ38lSVCWJP9am-IlkCboQTuXetxe7xScGCk3Xmh1WHJ7XBkU-bh1Zdw3bFJK5frj95LW0HvTj2OXDqHkbk0bUMjMtS25x64t4rG2mbE6BeeEKkoZ9zqdy3HJhUpaVwlt39afO34qgY37Iy4R9_2SFzAI6kkunkmQ7DGA2RMKXE1f6o37zvAU1SCORBIC9TY6Savp3q4kkXjldYPZiNNIoTIUy4V1fi8M7TRCyAkGBEvDv6a9q5V3OI67VAgccyBKcOwWjNltXXJVqx5uK3cmr0YNEAR2VPeP6uYgzK3-opl3547pbcxMvxuGB0M8rUk9HbLcYPyAHQGK7opijXV77B7bUVnb6zbgPI12wCykWjlvq5SczHTOtg_22Tu3-hud7iUmFFvv3NheIx0-aDrXyf-PKbIVsHEXgyhiN7lPh4zjClyrhMxYBkp7YHuiQNodgON2kFsiLIYsEevREa6gM4CrNwI5vVio895J_Pn979IV8HLEdiYGLCpQnkuKMSf8NGJ-CGxgp3rb67LXXtr9kNFZAMZry94ZbPcu1eFG4hngSSFeFbhxcOki1s471rIV8HDEBhgnIuOe7pIC7xDHkJ2JOqKOpiycZWPhh-xIT9AMvIOP6XL2uo4uqVOMz5GAsWN4ARHJimLoL8LrvMMLVsDD0QrYuNpRkK-AhyN2w-qKMldb-ZAHLc4YWWdEs8MnYm6ox4pxXx8lDh81TFtBt2Cd4JKowxMHLs6X846sYgU8HLFtKRm9WwVdQwLzJC-8QHW51eUihPavX2PIstPmKiNGk5Tji7ZQlGYxXXl6YGb0bDqS1UWInXuIDTEb_3QFvByxD0OCk9eRs6_TY_Af3dSy7SsKGK9Nuxse5LzgAlPykAjN8m1X2RxBIwZnJPX1mbZI0gnltVchO0CwJR3CMcvVMQrXlQ5K00hdqTOQz-__gHbiCepSbWGN3W5scIxbYIUFUNFcMwIhpXlWeG4L8M1BTCyNSgq0ZXFWk_YARPvjDMMD0wOXwegz3h4IXDkkaCWnLEeChRwsqBSlhTOSB4fkQqGLANerqk_-qKbiYAUjII8aIwXCcBfmjZvWVK9lnVTuudr6JGKtee2rtdnrbnU2OpPL65vr73a7964Ykfbx15TD-FuVwzLLx2_UwRoExPovGDjMVxbmMPatQHSeixSu67SimApIFmTtMTcUxlGc0wzVaF-kFOXUSW-N9i2ujUtJy6Af15XJuC5Mxk1dMl4uS8YeSoPTVBUOEcYf5qJAY92h70wKvNNVHAiHHfzr9taMKnAiIkP0zS1sUW0S2_uzOeLSzO1YmBQM5OTBPdxhuNR6MKQQ3LZWj4fAM4cgXcKbMepNEoiIuRi6pCCgxm844UgKsyukJI3UrseHBu_jmxrwdqBmjjK4iXzNf6UzF4pfxaOeM-jho_FNDM2lYiXvT3Jb0hcXjk1CeZJN52XKmk5smHiWEr8JV5RKSayJ2kYYpervDNTgYXAD8N6jBkrjnvNBLR_tuSC7aM2kia90MD1eNHlfKkbV4a3N3mZAOVOK1mWnLq4utXnfcyFn5OW2VI2_nJmvC_6utj7_BwDjFtU" id="58" name="Picture"/>
            <a:graphic>
              <a:graphicData uri="http://schemas.openxmlformats.org/drawingml/2006/picture">
                <pic:pic>
                  <pic:nvPicPr>
                    <pic:cNvPr descr="C:/Users/15919/Desktop/论文草稿/temp/manuscript_figures_t0xgrutn/figure_000012.png" id="59" name="Picture"/>
                    <pic:cNvPicPr>
                      <a:picLocks noChangeArrowheads="1" noChangeAspect="1"/>
                    </pic:cNvPicPr>
                  </pic:nvPicPr>
                  <pic:blipFill>
                    <a:blip r:embed="rId57"/>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End-to-end pose reconstruction of ATP (N:401) in 30GA.</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60"/>
    <w:bookmarkEnd w:id="61"/>
    <w:bookmarkEnd w:id="62"/>
    <w:bookmarkStart w:id="63" w:name="discussion"/>
    <w:p>
      <w:pPr>
        <w:pStyle w:val="Heading1"/>
        <w:keepNext/>
        <w:spacing w:line="480" w:lineRule="auto"/>
        <w:ind w:firstLine="0"/>
      </w:pPr>
      <w:r>
        <w:rPr>
          <w:rFonts w:ascii="Times New Roman" w:hAnsi="Times New Roman"/>
          <w:sz w:val="24"/>
        </w:rPr>
        <w:t xml:space="preserve">Discussion</w:t>
      </w:r>
    </w:p>
    <w:p>
      <w:pPr>
        <w:pStyle w:val="FirstParagraph"/>
        <w:spacing w:line="480" w:lineRule="auto" w:after="120"/>
        <w:ind w:firstLine="480"/>
      </w:pPr>
      <w:r>
        <w:rPr>
          <w:rFonts w:ascii="Times New Roman" w:hAnsi="Times New Roman"/>
          <w:sz w:val="24"/>
        </w:rPr>
        <w:t xml:space="preserve">Experimental cryo-EM density and macromolecular receptors provide complementary constraints for ligand modelling. Density maps delineate the ligand’s spatial position and shape, whereas receptors provide the pocket’s geometric and chemical environment. By jointly encoding both sources across region localisation, identity matching and pose reconstruction, LigandSeek generates ligand poses consistent with experimental density and the receptor environment. This advantage persists with CryoAtom2-reconstructed receptors, showing that automatically reconstructed receptor structures provide effective structural information for ligand modelling.</w:t>
      </w:r>
    </w:p>
    <w:p>
      <w:pPr>
        <w:pStyle w:val="BodyText"/>
        <w:spacing w:line="480" w:lineRule="auto" w:after="120"/>
        <w:ind w:firstLine="480"/>
      </w:pPr>
      <w:r>
        <w:rPr>
          <w:rFonts w:ascii="Times New Roman" w:hAnsi="Times New Roman"/>
          <w:sz w:val="24"/>
        </w:rPr>
        <w:t xml:space="preserve">Find and Match were evaluated across all ligand classes, whereas end-to-end pose reconstruction was benchmarked on single-residue organic small molecules with complete heavy-atom coordinates. Restricting the benchmark to single-residue organic small molecules defines a consistent evaluation scope for DG-PocketXmol, the default Build engine. Excluding structures with missing atoms serves as a quality filter and provides complete reference coordinates for heavy-atom RMSD evaluation. Other small molecules and ligand classes can likewise be modelled by integrating suitable downstream docking tools. Given the diversity of ligands, these tools differ in their supported ligand classes and input requirements. By separating upstream localisation and identity matching from downstream pose generation, LigandSeek allows users to select appropriate tools through its modular Build interface.</w:t>
      </w:r>
    </w:p>
    <w:p>
      <w:pPr>
        <w:pStyle w:val="BodyText"/>
        <w:spacing w:line="480" w:lineRule="auto" w:after="120"/>
        <w:ind w:firstLine="480"/>
      </w:pPr>
      <w:r>
        <w:rPr>
          <w:rFonts w:ascii="Times New Roman" w:hAnsi="Times New Roman"/>
          <w:sz w:val="24"/>
        </w:rPr>
        <w:t xml:space="preserve">In conclusion, given the candidate ligand identities present in a complex, LigandSeek unifies region localisation, chemical identity matching and pose reconstruction into an automated end-to-end workflow. The workflow can operate with or without deposited receptor structures as input. By bridging automated macromolecular structure reconstruction and all-atom ligand modelling, LigandSeek provides a practical foundation for the complete structural interpretation of cryo-EM complexes.</w:t>
      </w:r>
    </w:p>
    <w:bookmarkEnd w:id="63"/>
    <w:bookmarkStart w:id="122" w:name="methods"/>
    <w:p>
      <w:pPr>
        <w:pStyle w:val="Heading1"/>
        <w:keepNext/>
        <w:spacing w:line="480" w:lineRule="auto"/>
        <w:ind w:firstLine="0"/>
      </w:pPr>
      <w:r>
        <w:rPr>
          <w:rFonts w:ascii="Times New Roman" w:hAnsi="Times New Roman"/>
          <w:sz w:val="24"/>
        </w:rPr>
        <w:t xml:space="preserve">Methods</w:t>
      </w:r>
    </w:p>
    <w:bookmarkStart w:id="67" w:name="framework-formulation"/>
    <w:p>
      <w:pPr>
        <w:pStyle w:val="Heading2"/>
        <w:keepNext/>
        <w:spacing w:line="480" w:lineRule="auto"/>
        <w:ind w:firstLine="0"/>
      </w:pPr>
      <w:r>
        <w:rPr>
          <w:rFonts w:ascii="Times New Roman" w:hAnsi="Times New Roman"/>
          <w:sz w:val="24"/>
        </w:rPr>
        <w:t xml:space="preserve">Framework formulation</w:t>
      </w:r>
    </w:p>
    <w:p>
      <w:pPr>
        <w:pStyle w:val="FirstParagraph"/>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50-dimensional receptor-atom features and the multi-view density bank are the main inputs shared by Find, Match and Build.</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w:t>
      </w:r>
      <w:r>
        <w:rPr>
          <w:rFonts w:ascii="Times New Roman" w:hAnsi="Times New Roman"/>
          <w:sz w:val="24"/>
        </w:rPr>
        <w:t xml:space="preserve">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CaptionedFigure"/>
        <w:keepNext/>
        <w:spacing w:line="240" w:lineRule="auto" w:before="0" w:after="0"/>
        <w:ind w:firstLine="0"/>
        <w:jc w:val="center"/>
      </w:pPr>
      <w:r>
        <w:rPr>
          <w:rFonts w:ascii="Times New Roman" w:hAnsi="Times New Roman"/>
          <w:sz w:val="24"/>
        </w:rPr>
        <w:drawing>
          <wp:inline>
            <wp:extent cx="5733415" cy="4325915"/>
            <wp:effectExtent b="0" l="0" r="0" t="0"/>
            <wp:docPr descr="Fig. 13 | Network architecture and information flow of LigandSeek. The framework comprises LigandSeek-Find (Find), LigandSeek-Match (Match) and LigandSeek-Build (Build). a, Find jointly encodes density and receptor atoms within local 80³ voxel crops. Four base density fields, two normalisations and seven spatial transforms form a 56-channel density bank. A receptor embedding head supplies atom features. A 3D U-Net and Point Transformer V3 are connected through multiscale fusion and recycling. Corresponding blob shapes link the global map to local candidates, and auxiliary features pass to Match. b, The candidate encoder combines a 48³ voxel crop, pocket atoms, blob features and auxiliary features. Pooling, cross-attention and feature-wise linear modulation (FiLM) integrate auxiliary inputs. The identity encoder integrates SMI-TED representations, molecular graphs encoded by a graph neural network (GNN), and other identities in the same complex. A foreground head and cosine scoring yield foreground probabilities and identity-matching scores, respectively. c, Build receives the site, matched SMILES, pocket and density. The default engine is density-guided PocketXMol (DG-PocketXMol), with interfaces to other docking tools. Pocket views show local receptor folds and atoms with the ligand hidden. The output illustrates the model-ranked top-1 ATP pose in 9BJJ (B:901). Highlighted Cc1ccccc1 illustrates identity selection; the identity list and global blobs are architectural schematics." title="MDPPTFIG_eJzVV8tuJDUU_RWrVxOpH-k8BtIMI4VkMgxKRtFMBiHRKHK73F2mXbZlu_oxDBI7xIIdYsMPsGLDDiSQ-Bcen8G5dnV1R8wCgVgQKSk_7j33da7tfNJxPJadEev8_tWPv37z0-BKxtIWv31Gk75zcdXpso6XweqFLEjubDQevwjSh_F4eHwyPBmPz2WYR-vG4z----G3rz__48svfv_25_E4A47Hr0U0vJKENlWzXpUEeosT2hDcRWXNbcX9vHYQ-bDzYDlybFVpE0bLt8edMkY3GgyCKGXFQ986abA5tb7iEVM_GyytL5y3QoagzKzSg4P9_fuDiisz7jwktGufPs_jWku2HC24Bu6Tis_kWTZPcoONBMnOpXSXysiQ1ndmy1FwXMAMcDSWAHRwtD_uNNNntaYlXkfbYDbipKlMAbGp8iFeZtX9Rgg72YHsaf7TjC-siQF6PAiloHOjKhnYU7lkz2zFTTJdnprw2r2EmiEIbJLmkzQ8y7GlL9x82Sbm4Gjj-susnh2JVJMUDnnuwBHpFxKiF2rWZ8ND9gqGI2oxZ9yLUkUpYu0l44hamVwvpJpNtV0yO2WXaoat51LO-2QlZlv_afj_Ikj2P_DxppRs6tFpqQjCVs6rAGPbTPcuiIP36O9ed3f9ikdRsnvps5dKtrP5Tq00tNJnr894lyWYj60yUa-ZNMIWMFNIRBjXSdtLIV20nvFoK6RGxVIZpq3gmr25_8v3bGFXUjPhrQt9dmFrzyY8yBZjqqQuQpeBT8wQdbQKiT4hwQe5kIYhBVEBMHpuAhEsMPrLODu-3xMlNwYmNogTbuZ9drr1TFYTWRTUyaXkgKyd0wphkMdsKjmRN5DG4Tl70QO1k-VrCprdbCxKz94_BN8l0g1zIsqCxdLbelayqtZRBUSMqtSBqN9kZi1wVKBnzqyHCWdN8mKi7YSFkjv4gP05cCSbYRERVtyxaJv8CcCogkeJ_BAir1dKK-7XrdfM8RBIIdWzzyZdRtxoFZuSeeLIhM41pOzozTtV6TJnxZyCpgJ2s3ct_uvN9pEdS6F1CSKEHo9RmriJvBHrLUFKilByzypb1DqfC2Dl5dUejoooZ56c3BpQxtU461MQqiDIuG5jaBUCe371pHfz6Bw5Tl1hYqZMF2a0FDDkGSRdGRrlgk1A17zGjKw9smuaM-ze46dP93KCLSrhN4aJIqAyFSeg1VKbabkiooAQ8MTWUEmUIl1hcSdBVFhPRV4Tr3cFcW9N-ARxJuB0VjYB9ioqHimRMhWbyAKKqYXU6z4TXZYbkxiNtZB9wrmLeEkV4SEhl4-eb2sJ-KYfcjILOeVgKdIxIy9V28S9Wa0oP9dJ8YMrq9m988e97RSpoaZO2fdTHEWJbzlTBaTI7wg2JFIk4wsllwEEx-mfedx24tSi1zOn2tMiBaPTGcRKVcCt7LGtI7jAlNZ1iLnqJAkeSd1DV86pAa3rDdnpzTXiBtVQrZN33nsPB9joZH-IA-xdNSsBXVKznomhoJ_hHciWZEFqyrg1byUz7TqOo5zOpkGpPUI6B3buPqznV0tUIty95Oiuf9j5CA-g9uHTOX7j8PBoeLw6OjzAQ-v41QOnxAi_zVuI_623UOH58i-PoAYBWP8EA2rUty2M_1sgdjpVQp5bUVfIWUbyMvd6KJULdLdRhGZxrQTdbDQRTxfXIJAMgqycjQbp6TlIL89B8_Ac7L47B1FWDmGaGirKxVu8MOksuo37q5mvoxnkhdt9_AwP-87MEIgqgH7_Pkb0MMX4ehMjStP6sXUpO8gpg5dgc8CddIb7ZSZPvbdLavYAkCHhbTZSq-ZFYG5Vdwxk1MFfkjDRyl2AjmSRxkk_D_gIFJVobhpOIfMMVtL-nUkrNLiLR7OARyabLK_QMTsvVT5aTX1FXxSOrfLblK3bN2pap225ikzQfkNXSAkSa1jbCEMqfTegDm_exxIXKw0gjd6P2SxfXIYsux1tpGnf2Oz6YDvkI20Y_WtwcnxwnFFeK0V1eZRe1jtjPopc6c3y7libJl_BtXXB78POp38CLp-tyQ" id="65" name="Picture"/>
            <a:graphic>
              <a:graphicData uri="http://schemas.openxmlformats.org/drawingml/2006/picture">
                <pic:pic>
                  <pic:nvPicPr>
                    <pic:cNvPr descr="C:/Users/15919/Desktop/论文草稿/temp/manuscript_figures_t0xgrutn/figure_000013.png" id="66" name="Picture"/>
                    <pic:cNvPicPr>
                      <a:picLocks noChangeArrowheads="1" noChangeAspect="1"/>
                    </pic:cNvPicPr>
                  </pic:nvPicPr>
                  <pic:blipFill>
                    <a:blip r:embed="rId64"/>
                    <a:stretch>
                      <a:fillRect/>
                    </a:stretch>
                  </pic:blipFill>
                  <pic:spPr bwMode="auto">
                    <a:xfrm>
                      <a:off x="0" y="0"/>
                      <a:ext cx="5733415" cy="432591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Network architecture and information flow of LigandSeek.</w:t>
      </w:r>
      <w:r>
        <w:rPr>
          <w:rFonts w:ascii="Times New Roman" w:hAnsi="Times New Roman"/>
          <w:sz w:val="24"/>
        </w:rPr>
        <w:t xml:space="preserve"> </w:t>
      </w:r>
      <w:r>
        <w:rPr>
          <w:rFonts w:ascii="Times New Roman" w:hAnsi="Times New Roman"/>
          <w:sz w:val="24"/>
        </w:rPr>
        <w:t xml:space="preserve">The framework comprises LigandSeek-Find (Find), LigandSeek-Match (Match) and LigandSeek-Build (Build). a, Find jointly encodes density and receptor atoms within local 80³ voxel crops. Four base density fields, two normalisations and seven spatial transforms form a 56-channel density bank. A receptor embedding head supplies atom features. A 3D U-Net and Point Transformer V3 are connected through multiscale fusion and recycling. Corresponding blob shapes link the global map to local candidates, and auxiliary features pass to Match. b, The candidate encoder combines a 48³ voxel crop, pocket atoms, blob features and auxiliary features. Pooling, cross-attention and feature-wise linear modulation (FiLM) integrate auxiliary inputs. The identity encoder integrates SMI-TED representations, molecular graphs encoded by a graph neural network (GNN), and other identities in the same complex. A foreground head and cosine scoring yield foreground probabilities and identity-matching scores, respectively. c, Build receives the site, matched SMILES, pocket and density. The default engine is density-guided PocketXMol (DG-PocketXMol), with interfaces to other docking tools. Pocket views show local receptor folds and atoms with the ligand hidden. The output illustrates the model-ranked top-1 ATP pose in 9BJJ (B:901). Highlighted Cc1ccccc1 illustrates identity selection; the identity list and global blobs are architectural schematics.</w:t>
      </w:r>
    </w:p>
    <w:p>
      <w:pPr>
        <w:pStyle w:val="BodyText"/>
        <w:spacing w:line="480" w:lineRule="auto" w:after="120"/>
        <w:ind w:firstLine="480"/>
      </w:pPr>
      <w:r>
        <w:rPr>
          <w:rStyle w:val="MDFIGREF_eJyrrk7LTC9KTbMCUrq5qSUZ-Sm6ZZa1tQB3UAle"/>
          <w:rFonts w:ascii="Times New Roman" w:hAnsi="Times New Roman"/>
          <w:sz w:val="24"/>
        </w:rPr>
        <w:t xml:space="preserve">Fig. 13</w:t>
      </w:r>
      <w:r>
        <w:rPr>
          <w:rFonts w:ascii="Times New Roman" w:hAnsi="Times New Roman"/>
          <w:sz w:val="24"/>
        </w:rPr>
        <w:t xml:space="preserve"> </w:t>
      </w:r>
      <w:r>
        <w:rPr>
          <w:rFonts w:ascii="Times New Roman" w:hAnsi="Times New Roman"/>
          <w:sz w:val="24"/>
        </w:rPr>
        <w:t xml:space="preserve">shows the network architecture and information flow of the Find–Match–Build framework. The three stages share density and receptor-atom input representations. They sequentially localise ligand regions</w:t>
      </w:r>
      <w:r>
        <w:rPr>
          <w:rFonts w:ascii="Times New Roman" w:hAnsi="Times New Roman"/>
          <w:sz w:val="24"/>
        </w:rPr>
        <w:t xml:space="preserve"> </w:t>
      </w:r>
      <w:r>
        <w:rPr>
          <w:rFonts w:ascii="Times New Roman" w:hAnsi="Times New Roman"/>
          <w:sz w:val="24"/>
        </w:rPr>
        <w:t xml:space="preserve">(</w:t>
      </w:r>
      <w:r>
        <w:rPr>
          <w:rStyle w:val="MDFIGREF_eJyrrk7LTC9KTbMCUrq5qSUZ-Sm6ZZY1ibW1AIsrCjs"/>
          <w:rFonts w:ascii="Times New Roman" w:hAnsi="Times New Roman"/>
          <w:sz w:val="24"/>
        </w:rPr>
        <w:t xml:space="preserve">Fig. 13a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candidate regions to ligand identities</w:t>
      </w:r>
      <w:r>
        <w:rPr>
          <w:rFonts w:ascii="Times New Roman" w:hAnsi="Times New Roman"/>
          <w:sz w:val="24"/>
        </w:rPr>
        <w:t xml:space="preserve"> </w:t>
      </w:r>
      <w:r>
        <w:rPr>
          <w:rFonts w:ascii="Times New Roman" w:hAnsi="Times New Roman"/>
          <w:sz w:val="24"/>
        </w:rPr>
        <w:t xml:space="preserve">(</w:t>
      </w:r>
      <w:r>
        <w:rPr>
          <w:rStyle w:val="MDFIGREF_eJyrrk7LTC9KTbMCUrq5qSUZ-Sm6ZZY1SbW1AIsuCjw"/>
          <w:rFonts w:ascii="Times New Roman" w:hAnsi="Times New Roman"/>
          <w:sz w:val="24"/>
        </w:rPr>
        <w:t xml:space="preserve">Fig. 13b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reconstruct all-atom ligand poses</w:t>
      </w:r>
      <w:r>
        <w:rPr>
          <w:rFonts w:ascii="Times New Roman" w:hAnsi="Times New Roman"/>
          <w:sz w:val="24"/>
        </w:rPr>
        <w:t xml:space="preserve"> </w:t>
      </w:r>
      <w:r>
        <w:rPr>
          <w:rFonts w:ascii="Times New Roman" w:hAnsi="Times New Roman"/>
          <w:sz w:val="24"/>
        </w:rPr>
        <w:t xml:space="preserve">(</w:t>
      </w:r>
      <w:r>
        <w:rPr>
          <w:rStyle w:val="MDFIGREF_eJyrrk7LTC9KTbMCUrq5qSUZ-Sm6ZZY1ybW1AIsxCj0"/>
          <w:rFonts w:ascii="Times New Roman" w:hAnsi="Times New Roman"/>
          <w:sz w:val="24"/>
        </w:rPr>
        <w:t xml:space="preserve">Fig. 13c</w:t>
      </w:r>
      <w:r>
        <w:rPr>
          <w:rFonts w:ascii="Times New Roman" w:hAnsi="Times New Roman"/>
          <w:sz w:val="24"/>
        </w:rPr>
        <w:t xml:space="preserve">).</w:t>
      </w:r>
    </w:p>
    <w:bookmarkEnd w:id="67"/>
    <w:bookmarkStart w:id="68" w:name="data-sources-and-sample-partitioning"/>
    <w:p>
      <w:pPr>
        <w:pStyle w:val="Heading2"/>
        <w:keepNext/>
        <w:spacing w:line="480" w:lineRule="auto"/>
        <w:ind w:firstLine="0"/>
      </w:pPr>
      <w:r>
        <w:rPr>
          <w:rFonts w:ascii="Times New Roman" w:hAnsi="Times New Roman"/>
          <w:sz w:val="24"/>
        </w:rPr>
        <w:t xml:space="preserve">Data sources and sample partitioning</w:t>
      </w:r>
    </w:p>
    <w:p>
      <w:pPr>
        <w:pStyle w:val="FirstParagraph"/>
        <w:spacing w:line="480" w:lineRule="auto" w:after="120"/>
        <w:ind w:firstLine="480"/>
      </w:pPr>
      <w:r>
        <w:rPr>
          <w:rFonts w:ascii="Times New Roman" w:hAnsi="Times New Roman"/>
          <w:sz w:val="24"/>
        </w:rPr>
        <w:t xml:space="preserve">We downloaded cryo-EM density maps from EMDB</w:t>
      </w:r>
      <w:r>
        <w:rPr>
          <w:rStyle w:val="MDCITE_eJyLdigvL0hJMjIwMknNTUmKBQAvPwV9"/>
          <w:rFonts w:ascii="Times New Roman" w:hAnsi="Times New Roman"/>
          <w:sz w:val="24"/>
          <w:vertAlign w:val="superscript"/>
        </w:rPr>
        <w:t xml:space="preserve">21</w:t>
      </w:r>
      <w:r>
        <w:rPr>
          <w:rFonts w:ascii="Times New Roman" w:hAnsi="Times New Roman"/>
          <w:sz w:val="24"/>
        </w:rPr>
        <w:t xml:space="preserve"> </w:t>
      </w:r>
      <w:r>
        <w:rPr>
          <w:rFonts w:ascii="Times New Roman" w:hAnsi="Times New Roman"/>
          <w:sz w:val="24"/>
        </w:rPr>
        <w:t xml:space="preserve">and their corresponding PDB structures from the RCSB database</w:t>
      </w:r>
      <w:r>
        <w:rPr>
          <w:rStyle w:val="MDCITE_eJyLdkhKLcpNzDMyMDAoSEmKBQAuqQVm"/>
          <w:rFonts w:ascii="Times New Roman" w:hAnsi="Times New Roman"/>
          <w:sz w:val="24"/>
          <w:vertAlign w:val="superscript"/>
        </w:rPr>
        <w:t xml:space="preserve">22</w:t>
      </w:r>
      <w:r>
        <w:rPr>
          <w:rFonts w:ascii="Times New Roman" w:hAnsi="Times New Roman"/>
          <w:sz w:val="24"/>
        </w:rPr>
        <w:t xml:space="preserve">. We selected samples containing at least one ligand,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480" w:lineRule="auto" w:after="120"/>
        <w:ind w:firstLine="480"/>
      </w:pPr>
      <w:r>
        <w:rPr>
          <w:rFonts w:ascii="Times New Roman" w:hAnsi="Times New Roman"/>
          <w:sz w:val="24"/>
        </w:rPr>
        <w:t xml:space="preserve">We used sequence comparisons performed by MMseqs2</w:t>
      </w:r>
      <w:r>
        <w:rPr>
          <w:rStyle w:val="MDCITE_eJyLdiguSc3MS01PTy0yMjA0z80tTi0sNooFAG7cCLg"/>
          <w:rFonts w:ascii="Times New Roman" w:hAnsi="Times New Roman"/>
          <w:sz w:val="24"/>
          <w:vertAlign w:val="superscript"/>
        </w:rPr>
        <w:t xml:space="preserve">23</w:t>
      </w:r>
      <w:r>
        <w:rPr>
          <w:rFonts w:ascii="Times New Roman" w:hAnsi="Times New Roman"/>
          <w:sz w:val="24"/>
        </w:rPr>
        <w:t xml:space="preserve"> </w:t>
      </w:r>
      <w:r>
        <w:rPr>
          <w:rFonts w:ascii="Times New Roman" w:hAnsi="Times New Roman"/>
          <w:sz w:val="24"/>
        </w:rPr>
        <w:t xml:space="preserve">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480" w:lineRule="auto" w:after="120"/>
        <w:ind w:firstLine="480"/>
      </w:pPr>
      <w:r>
        <w:rPr>
          <w:rFonts w:ascii="Times New Roman" w:hAnsi="Times New Roman"/>
          <w:sz w:val="24"/>
        </w:rP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480" w:lineRule="auto" w:after="120"/>
        <w:ind w:firstLine="480"/>
      </w:pPr>
      <w:r>
        <w:rPr>
          <w:rFonts w:ascii="Times New Roman" w:hAnsi="Times New Roman"/>
          <w:sz w:val="24"/>
        </w:rP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480" w:lineRule="auto" w:after="120"/>
        <w:ind w:firstLine="480"/>
      </w:pPr>
      <w:r>
        <w:rPr>
          <w:rFonts w:ascii="Times New Roman" w:hAnsi="Times New Roman"/>
          <w:sz w:val="24"/>
        </w:rPr>
        <w:t xml:space="preserve">For Find, the training set supplied training metadata, including local</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480" w:lineRule="auto" w:after="120"/>
        <w:ind w:firstLine="480"/>
      </w:pPr>
      <w:r>
        <w:rPr>
          <w:rFonts w:ascii="Times New Roman" w:hAnsi="Times New Roman"/>
          <w:sz w:val="24"/>
        </w:rP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480" w:lineRule="auto" w:after="120"/>
        <w:ind w:firstLine="480"/>
      </w:pPr>
      <w:r>
        <w:rPr>
          <w:rFonts w:ascii="Times New Roman" w:hAnsi="Times New Roman"/>
          <w:sz w:val="24"/>
        </w:rPr>
        <w:t xml:space="preserve">Build used individual ligand instances as its basic training and testing unit. For PocketXMol fine-tuning, each training, validation and test split comprised all eligible small molecules from its corresponding original partition. End-to-end testing was restricted to the original 179 PDB entries, as were Find, Match and Build testing. This shared test scope prevented data leakage between training and testing.</w:t>
      </w:r>
    </w:p>
    <w:bookmarkEnd w:id="68"/>
    <w:bookmarkStart w:id="71" w:name="unified-input-representation"/>
    <w:p>
      <w:pPr>
        <w:pStyle w:val="Heading2"/>
        <w:keepNext/>
        <w:spacing w:line="480" w:lineRule="auto"/>
        <w:ind w:firstLine="0"/>
      </w:pPr>
      <w:r>
        <w:rPr>
          <w:rFonts w:ascii="Times New Roman" w:hAnsi="Times New Roman"/>
          <w:sz w:val="24"/>
        </w:rPr>
        <w:t xml:space="preserve">Unified input representation</w:t>
      </w:r>
    </w:p>
    <w:p>
      <w:pPr>
        <w:pStyle w:val="FirstParagraph"/>
        <w:spacing w:line="480" w:lineRule="auto" w:after="120"/>
        <w:ind w:firstLine="480"/>
      </w:pPr>
      <w:r>
        <w:rPr>
          <w:rFonts w:ascii="Times New Roman" w:hAnsi="Times New Roman"/>
          <w:sz w:val="24"/>
        </w:rP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69" w:name="multi-view-density-bank"/>
    <w:p>
      <w:pPr>
        <w:pStyle w:val="Heading3"/>
        <w:keepNext/>
        <w:spacing w:line="480" w:lineRule="auto"/>
        <w:ind w:firstLine="0"/>
      </w:pPr>
      <w:r>
        <w:rPr>
          <w:rFonts w:ascii="Times New Roman" w:hAnsi="Times New Roman"/>
          <w:sz w:val="24"/>
        </w:rPr>
        <w:t xml:space="preserve">Multi-view density bank</w:t>
      </w:r>
    </w:p>
    <w:p>
      <w:pPr>
        <w:pStyle w:val="FirstParagraph"/>
        <w:spacing w:line="480" w:lineRule="auto" w:after="120"/>
        <w:ind w:firstLine="480"/>
      </w:pPr>
      <w:r>
        <w:rPr>
          <w:rFonts w:ascii="Times New Roman" w:hAnsi="Times New Roman"/>
          <w:sz w:val="24"/>
        </w:rPr>
        <w:t xml:space="preserve">The multi-view density bank organises complementary views of density into a local representation shared by Find, Match and Build.</w:t>
      </w:r>
    </w:p>
    <w:p>
      <w:pPr>
        <w:pStyle w:val="BodyText"/>
        <w:spacing w:line="480" w:lineRule="auto" w:after="120"/>
        <w:ind w:firstLine="480"/>
      </w:pPr>
      <w:r>
        <w:rPr>
          <w:rFonts w:ascii="Times New Roman" w:hAnsi="Times New Roman"/>
          <w:sz w:val="24"/>
        </w:rPr>
        <w:t xml:space="preserve">Using Chimera</w:t>
      </w:r>
      <w:r>
        <w:rPr>
          <w:rStyle w:val="MDCITE_eJyLdihILSlJLSpOzTMyMDBJzsjMTS1KjAUAZfYIcg"/>
          <w:rFonts w:ascii="Times New Roman" w:hAnsi="Times New Roman"/>
          <w:sz w:val="24"/>
          <w:vertAlign w:val="superscript"/>
        </w:rPr>
        <w:t xml:space="preserve">24</w:t>
      </w:r>
      <w:r>
        <w:rPr>
          <w:rFonts w:ascii="Times New Roman" w:hAnsi="Times New Roman"/>
          <w:sz w:val="24"/>
        </w:rPr>
        <w:t xml:space="preserve">, we generated a simulated receptor density map</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ascii="Times New Roman" w:hAnsi="Times New Roman"/>
          <w:sz w:val="24"/>
        </w:rPr>
        <w:t xml:space="preserve">from the input receptor structure on the same grid as the experimental cryo-EM density map</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480" w:lineRule="auto" w:after="120"/>
        <w:ind w:firstLine="480"/>
      </w:pPr>
      <w:r>
        <w:rPr>
          <w:rFonts w:ascii="Times New Roman" w:hAnsi="Times New Roman"/>
          <w:sz w:val="24"/>
        </w:rPr>
        <w:t xml:space="preserve">On the set of voxels containing receptor atoms,</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we fitted a scale coefficient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offset</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ascii="Times New Roman" w:hAnsi="Times New Roman"/>
          <w:sz w:val="24"/>
        </w:rP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ascii="Times New Roman" w:hAnsi="Times New Roman"/>
          <w:sz w:val="24"/>
        </w:rPr>
        <w:t xml:space="preserve">We also constructed a positive difference density map from the residual,</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ascii="Times New Roman" w:hAnsi="Times New Roman"/>
          <w:sz w:val="24"/>
        </w:rP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480" w:lineRule="auto" w:after="120"/>
        <w:ind w:firstLine="480"/>
      </w:pPr>
      <w:r>
        <w:rPr>
          <w:rFonts w:ascii="Times New Roman" w:hAnsi="Times New Roman"/>
          <w:sz w:val="24"/>
        </w:rPr>
        <w:t xml:space="preserve">For each base density field</w:t>
      </w:r>
      <w:r>
        <w:rPr>
          <w:rFonts w:ascii="Times New Roman" w:hAnsi="Times New Roman"/>
          <w:sz w:val="24"/>
        </w:rPr>
        <w:t xml:space="preserve"> </w:t>
      </w:r>
      <m:oMath>
        <m:r>
          <m:t>M</m:t>
        </m:r>
      </m:oMath>
      <w:r>
        <w:rPr>
          <w:rFonts w:ascii="Times New Roman" w:hAnsi="Times New Roman"/>
          <w:sz w:val="24"/>
        </w:rPr>
        <w:t xml:space="preserve">, we retained both unnormalised and z-score-normalised representations. For the latter, we first clipped</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to its 0.1st and 99.9th percentiles before applying z-score normalisation, reducing the influence of extreme density values on the numerical scale.</w:t>
      </w:r>
    </w:p>
    <w:p>
      <w:pPr>
        <w:pStyle w:val="BodyText"/>
        <w:spacing w:line="480" w:lineRule="auto" w:after="120"/>
        <w:ind w:firstLine="480"/>
      </w:pPr>
      <w:r>
        <w:rPr>
          <w:rFonts w:ascii="Times New Roman" w:hAnsi="Times New Roman"/>
          <w:sz w:val="24"/>
        </w:rP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ascii="Times New Roman" w:hAnsi="Times New Roman"/>
          <w:sz w:val="24"/>
        </w:rPr>
        <w:t xml:space="preserve">denote a three-dimensional Gaussian kernel with standard deviation</w:t>
      </w:r>
      <w:r>
        <w:rPr>
          <w:rFonts w:ascii="Times New Roman" w:hAnsi="Times New Roman"/>
          <w:sz w:val="24"/>
        </w:rPr>
        <w:t xml:space="preserve"> </w:t>
      </w:r>
      <m:oMath>
        <m:r>
          <m:t>σ</m:t>
        </m:r>
      </m:oMath>
      <w:r>
        <w:rPr>
          <w:rFonts w:ascii="Times New Roman" w:hAnsi="Times New Roman"/>
          <w:sz w:val="24"/>
        </w:rPr>
        <w:t xml:space="preserve">, and let</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denote three-dimensional convolution. Let</w:t>
      </w:r>
      <w:r>
        <w:rPr>
          <w:rFonts w:ascii="Times New Roman" w:hAnsi="Times New Roman"/>
          <w:sz w:val="24"/>
        </w:rPr>
        <w:t xml:space="preserve"> </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ascii="Times New Roman" w:hAnsi="Times New Roman"/>
          <w:sz w:val="24"/>
        </w:rPr>
        <w:t xml:space="preserve">denote the distance from voxel</w:t>
      </w:r>
      <w:r>
        <w:rPr>
          <w:rFonts w:ascii="Times New Roman" w:hAnsi="Times New Roman"/>
          <w:sz w:val="24"/>
        </w:rPr>
        <w:t xml:space="preserve"> </w:t>
      </w:r>
      <m:oMath>
        <m:r>
          <m:t>x</m:t>
        </m:r>
      </m:oMath>
      <w:r>
        <w:rPr>
          <w:rFonts w:ascii="Times New Roman" w:hAnsi="Times New Roman"/>
          <w:sz w:val="24"/>
        </w:rPr>
        <w:t xml:space="preserve"> </w:t>
      </w:r>
      <w:r>
        <w:rPr>
          <w:rFonts w:ascii="Times New Roman" w:hAnsi="Times New Roman"/>
          <w:sz w:val="24"/>
        </w:rPr>
        <w:t xml:space="preserve">to the nearest receptor-occupied voxel. With</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ascii="Times New Roman" w:hAnsi="Times New Roman"/>
          <w:sz w:val="24"/>
        </w:rPr>
        <w:t xml:space="preserve"> </w:t>
      </w:r>
      <w:r>
        <w:rPr>
          <w:rFonts w:ascii="Times New Roman" w:hAnsi="Times New Roman"/>
          <w:sz w:val="24"/>
        </w:rP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Each local region therefore yields a total of</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ascii="Times New Roman" w:hAnsi="Times New Roman"/>
          <w:sz w:val="24"/>
        </w:rPr>
        <w:t xml:space="preserve">density channels. These form a 56-channel tensor in the fixed order of base density field, normalisation scheme and spatial transformation.</w:t>
      </w:r>
    </w:p>
    <w:p>
      <w:pPr>
        <w:pStyle w:val="BodyText"/>
        <w:spacing w:line="480" w:lineRule="auto" w:after="120"/>
        <w:ind w:firstLine="480"/>
      </w:pPr>
      <w:r>
        <w:rPr>
          <w:rFonts w:ascii="Times New Roman" w:hAnsi="Times New Roman"/>
          <w:sz w:val="24"/>
        </w:rP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480" w:lineRule="auto" w:after="120"/>
        <w:ind w:firstLine="480"/>
      </w:pPr>
      <w:r>
        <w:rPr>
          <w:rFonts w:ascii="Times New Roman" w:hAnsi="Times New Roman"/>
          <w:sz w:val="24"/>
        </w:rPr>
        <w:t xml:space="preserve">All models were trained on local</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voxel blocks rather than entire density maps. The multi-view density bank was constructed within each block, producing a tensor</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ascii="Times New Roman" w:hAnsi="Times New Roman"/>
          <w:sz w:val="24"/>
        </w:rPr>
        <w:t xml:space="preserve">as the neural-network input. The local block size was</w:t>
      </w:r>
      <w:r>
        <w:rPr>
          <w:rFonts w:ascii="Times New Roman" w:hAnsi="Times New Roman"/>
          <w:sz w:val="24"/>
        </w:rPr>
        <w:t xml:space="preserve"> </w:t>
      </w:r>
      <m:oMath>
        <m:r>
          <m:t>L</m:t>
        </m:r>
        <m:r>
          <m:rPr>
            <m:sty m:val="p"/>
          </m:rPr>
          <m:t>=</m:t>
        </m:r>
        <m:r>
          <m:t>80</m:t>
        </m:r>
      </m:oMath>
      <w:r>
        <w:rPr>
          <w:rFonts w:ascii="Times New Roman" w:hAnsi="Times New Roman"/>
          <w:sz w:val="24"/>
        </w:rPr>
        <w:t xml:space="preserve"> </w:t>
      </w:r>
      <w:r>
        <w:rPr>
          <w:rFonts w:ascii="Times New Roman" w:hAnsi="Times New Roman"/>
          <w:sz w:val="24"/>
        </w:rPr>
        <w:t xml:space="preserve">for Find and Build and</w:t>
      </w:r>
      <w:r>
        <w:rPr>
          <w:rFonts w:ascii="Times New Roman" w:hAnsi="Times New Roman"/>
          <w:sz w:val="24"/>
        </w:rPr>
        <w:t xml:space="preserve"> </w:t>
      </w:r>
      <m:oMath>
        <m:r>
          <m:t>L</m:t>
        </m:r>
        <m:r>
          <m:rPr>
            <m:sty m:val="p"/>
          </m:rPr>
          <m:t>=</m:t>
        </m:r>
        <m:r>
          <m:t>48</m:t>
        </m:r>
      </m:oMath>
      <w:r>
        <w:rPr>
          <w:rFonts w:ascii="Times New Roman" w:hAnsi="Times New Roman"/>
          <w:sz w:val="24"/>
        </w:rPr>
        <w:t xml:space="preserve"> </w:t>
      </w:r>
      <w:r>
        <w:rPr>
          <w:rFonts w:ascii="Times New Roman" w:hAnsi="Times New Roman"/>
          <w:sz w:val="24"/>
        </w:rPr>
        <w:t xml:space="preserve">for Match.</w:t>
      </w:r>
    </w:p>
    <w:bookmarkEnd w:id="69"/>
    <w:bookmarkStart w:id="70" w:name="receptor-atom-features"/>
    <w:p>
      <w:pPr>
        <w:pStyle w:val="Heading3"/>
        <w:keepNext/>
        <w:spacing w:line="480" w:lineRule="auto"/>
        <w:ind w:firstLine="0"/>
      </w:pPr>
      <w:r>
        <w:rPr>
          <w:rFonts w:ascii="Times New Roman" w:hAnsi="Times New Roman"/>
          <w:sz w:val="24"/>
        </w:rPr>
        <w:t xml:space="preserve">Receptor-atom features</w:t>
      </w:r>
    </w:p>
    <w:p>
      <w:pPr>
        <w:pStyle w:val="FirstParagraph"/>
        <w:spacing w:line="480" w:lineRule="auto" w:after="120"/>
        <w:ind w:firstLine="480"/>
      </w:pPr>
      <w:r>
        <w:rPr>
          <w:rFonts w:ascii="Times New Roman" w:hAnsi="Times New Roman"/>
          <w:sz w:val="24"/>
        </w:rPr>
        <w:t xml:space="preserve">We represent receptor atoms uniformly across all three stages as</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receptor heavy atom</w:t>
      </w:r>
      <w:r>
        <w:rPr>
          <w:rFonts w:ascii="Times New Roman" w:hAnsi="Times New Roman"/>
          <w:sz w:val="24"/>
        </w:rPr>
        <w:t xml:space="preserve"> </w:t>
      </w:r>
      <m:oMath>
        <m:r>
          <m:t>i</m:t>
        </m:r>
      </m:oMath>
      <w:r>
        <w:rPr>
          <w:rFonts w:ascii="Times New Roman" w:hAnsi="Times New Roman"/>
          <w:sz w:val="24"/>
        </w:rPr>
        <w:t xml:space="preserve">. The corresponding feature vector</w:t>
      </w:r>
      <w:r>
        <w:rPr>
          <w:rFonts w:ascii="Times New Roman" w:hAnsi="Times New Roman"/>
          <w:sz w:val="24"/>
        </w:rPr>
        <w:t xml:space="preserve"> </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ascii="Times New Roman" w:hAnsi="Times New Roman"/>
          <w:sz w:val="24"/>
        </w:rPr>
        <w:t xml:space="preserve">describes its chemical properties, residue environment and local packing.</w:t>
      </w:r>
    </w:p>
    <w:p>
      <w:pPr>
        <w:pStyle w:val="BodyText"/>
        <w:spacing w:line="480" w:lineRule="auto" w:after="120"/>
        <w:ind w:firstLine="480"/>
      </w:pPr>
      <w:r>
        <w:rPr>
          <w:rFonts w:ascii="Times New Roman" w:hAnsi="Times New Roman"/>
          <w:sz w:val="24"/>
        </w:rP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ascii="Times New Roman" w:hAnsi="Times New Roman"/>
          <w:sz w:val="24"/>
        </w:rPr>
        <w:t xml:space="preserve">The element one-hot encoding</w:t>
      </w:r>
      <w:r>
        <w:rPr>
          <w:rFonts w:ascii="Times New Roman" w:hAnsi="Times New Roman"/>
          <w:sz w:val="24"/>
        </w:rPr>
        <w:t xml:space="preserve"> </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ascii="Times New Roman" w:hAnsi="Times New Roman"/>
          <w:sz w:val="24"/>
        </w:rPr>
        <w:t xml:space="preserve">represents C, N, O, S, P and other elements, in that order. The residue one-hot encoding</w:t>
      </w:r>
      <w:r>
        <w:rPr>
          <w:rFonts w:ascii="Times New Roman" w:hAnsi="Times New Roman"/>
          <w:sz w:val="24"/>
        </w:rPr>
        <w:t xml:space="preserve"> </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ascii="Times New Roman" w:hAnsi="Times New Roman"/>
          <w:sz w:val="24"/>
        </w:rP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480" w:lineRule="auto" w:after="120"/>
        <w:ind w:firstLine="480"/>
      </w:pPr>
      <w:r>
        <w:rPr>
          <w:rFonts w:ascii="Times New Roman" w:hAnsi="Times New Roman"/>
          <w:sz w:val="24"/>
        </w:rPr>
        <w:t xml:space="preserve">The eight features in</w:t>
      </w:r>
      <w:r>
        <w:rPr>
          <w:rFonts w:ascii="Times New Roman" w:hAnsi="Times New Roman"/>
          <w:sz w:val="24"/>
        </w:rPr>
        <w:t xml:space="preserve"> </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ascii="Times New Roman" w:hAnsi="Times New Roman"/>
          <w:sz w:val="24"/>
        </w:rPr>
        <w:t xml:space="preserve">describe the physicochemical categories of the atom’s residue. In order, they encode polar, non-polar, acidic, basic, neutral, positively charged, negatively charged and uncharged properties. The relative atomic mass</w:t>
      </w:r>
      <w:r>
        <w:rPr>
          <w:rFonts w:ascii="Times New Roman" w:hAnsi="Times New Roman"/>
          <w:sz w:val="24"/>
        </w:rPr>
        <w:t xml:space="preserve"> </w:t>
      </w:r>
      <m:oMath>
        <m:sSub>
          <m:e>
            <m:r>
              <m:t>m</m:t>
            </m:r>
          </m:e>
          <m:sub>
            <m:r>
              <m:t>i</m:t>
            </m:r>
          </m:sub>
        </m:sSub>
      </m:oMath>
      <w:r>
        <w:rPr>
          <w:rFonts w:ascii="Times New Roman" w:hAnsi="Times New Roman"/>
          <w:sz w:val="24"/>
        </w:rPr>
        <w:t xml:space="preserve"> </w:t>
      </w:r>
      <w:r>
        <w:rPr>
          <w:rFonts w:ascii="Times New Roman" w:hAnsi="Times New Roman"/>
          <w:sz w:val="24"/>
        </w:rPr>
        <w:t xml:space="preserve">is normalised by dividing by 32.</w:t>
      </w:r>
    </w:p>
    <w:p>
      <w:pPr>
        <w:pStyle w:val="BodyText"/>
        <w:spacing w:line="480" w:lineRule="auto" w:after="120"/>
        <w:ind w:firstLine="480"/>
      </w:pPr>
      <w:r>
        <w:rPr>
          <w:rFonts w:ascii="Times New Roman" w:hAnsi="Times New Roman"/>
          <w:sz w:val="24"/>
        </w:rPr>
        <w:t xml:space="preserve">The nine-dimensional component</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ascii="Times New Roman" w:hAnsi="Times New Roman"/>
          <w:sz w:val="24"/>
        </w:rPr>
        <w:t xml:space="preserve">describes the local packing environment around the atom. We partitioned its 0–18 Å neighbourhood into nine concentric shells:</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We counted the other receptor atoms in each shell,</w:t>
      </w:r>
      <w:r>
        <w:rPr>
          <w:rFonts w:ascii="Times New Roman" w:hAnsi="Times New Roman"/>
          <w:sz w:val="24"/>
        </w:rPr>
        <w:t xml:space="preserve"> </w:t>
      </w:r>
      <m:oMath>
        <m:sSub>
          <m:e>
            <m:r>
              <m:t>n</m:t>
            </m:r>
          </m:e>
          <m:sub>
            <m:r>
              <m:t>i</m:t>
            </m:r>
            <m:r>
              <m:rPr>
                <m:sty m:val="p"/>
              </m:rPr>
              <m:t>,</m:t>
            </m:r>
            <m:r>
              <m:t>k</m:t>
            </m:r>
          </m:sub>
        </m:sSub>
      </m:oMath>
      <w:r>
        <w:rPr>
          <w:rFonts w:ascii="Times New Roman" w:hAnsi="Times New Roman"/>
          <w:sz w:val="24"/>
        </w:rP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ascii="Times New Roman" w:hAnsi="Times New Roman"/>
          <w:sz w:val="24"/>
        </w:rPr>
        <w:t xml:space="preserve">The final feature</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480" w:lineRule="auto" w:after="120"/>
        <w:ind w:firstLine="480"/>
      </w:pPr>
      <w:r>
        <w:rPr>
          <w:rFonts w:ascii="Times New Roman" w:hAnsi="Times New Roman"/>
          <w:sz w:val="24"/>
        </w:rP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70"/>
    <w:bookmarkEnd w:id="71"/>
    <w:bookmarkStart w:id="78" w:name="stage-1-find"/>
    <w:p>
      <w:pPr>
        <w:pStyle w:val="Heading2"/>
        <w:keepNext/>
        <w:spacing w:line="480" w:lineRule="auto"/>
        <w:ind w:firstLine="0"/>
      </w:pPr>
      <w:r>
        <w:rPr>
          <w:rFonts w:ascii="Times New Roman" w:hAnsi="Times New Roman"/>
          <w:sz w:val="24"/>
        </w:rPr>
        <w:t xml:space="preserve">Stage 1: Find</w:t>
      </w:r>
    </w:p>
    <w:bookmarkStart w:id="72" w:name="task-definition"/>
    <w:p>
      <w:pPr>
        <w:pStyle w:val="Heading3"/>
        <w:keepNext/>
        <w:spacing w:line="480" w:lineRule="auto"/>
        <w:ind w:firstLine="0"/>
      </w:pPr>
      <w:r>
        <w:rPr>
          <w:rFonts w:ascii="Times New Roman" w:hAnsi="Times New Roman"/>
          <w:sz w:val="24"/>
        </w:rPr>
        <w:t xml:space="preserve">Task definition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ascii="Times New Roman" w:hAnsi="Times New Roman"/>
          <w:sz w:val="24"/>
        </w:rPr>
        <w:t xml:space="preserve"> </w:t>
      </w:r>
      <w:r>
        <w:rPr>
          <w:rFonts w:ascii="Times New Roman" w:hAnsi="Times New Roman"/>
          <w:sz w:val="24"/>
        </w:rPr>
        <w:t xml:space="preserve">denote the set of non-hydrogen atoms from all ligands in a sample. Here,</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ligand atom</w:t>
      </w:r>
      <w:r>
        <w:rPr>
          <w:rFonts w:ascii="Times New Roman" w:hAnsi="Times New Roman"/>
          <w:sz w:val="24"/>
        </w:rPr>
        <w:t xml:space="preserve"> </w:t>
      </w:r>
      <m:oMath>
        <m:r>
          <m:t>m</m:t>
        </m:r>
      </m:oMath>
      <w:r>
        <w:rPr>
          <w:rFonts w:ascii="Times New Roman" w:hAnsi="Times New Roman"/>
          <w:sz w:val="24"/>
        </w:rPr>
        <w:t xml:space="preserve">, and</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ascii="Times New Roman" w:hAnsi="Times New Roman"/>
          <w:sz w:val="24"/>
        </w:rPr>
        <w:t xml:space="preserve">denotes its element type. Let</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denote the physical coordinates of the centre of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Let</w:t>
      </w:r>
      <w:r>
        <w:rPr>
          <w:rFonts w:ascii="Times New Roman" w:hAnsi="Times New Roman"/>
          <w:sz w:val="24"/>
        </w:rP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ascii="Times New Roman" w:hAnsi="Times New Roman"/>
          <w:sz w:val="24"/>
        </w:rPr>
        <w:t xml:space="preserve">denote the van der Waals radius of element</w:t>
      </w:r>
      <w:r>
        <w:rPr>
          <w:rFonts w:ascii="Times New Roman" w:hAnsi="Times New Roman"/>
          <w:sz w:val="24"/>
        </w:rPr>
        <w:t xml:space="preserve"> </w:t>
      </w:r>
      <m:oMath>
        <m:sSub>
          <m:e>
            <m:r>
              <m:t>e</m:t>
            </m:r>
          </m:e>
          <m:sub>
            <m:r>
              <m:t>m</m:t>
            </m:r>
          </m:sub>
        </m:sSub>
      </m:oMath>
      <w:r>
        <w:rPr>
          <w:rFonts w:ascii="Times New Roman" w:hAnsi="Times New Roman"/>
          <w:sz w:val="24"/>
        </w:rPr>
        <w:t xml:space="preserve">. We define the ground-truth semantic label</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ascii="Times New Roman" w:hAnsi="Times New Roman"/>
          <w:sz w:val="24"/>
        </w:rP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Given the receptor-atom set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defined above and the experimental cryo-EM density map</w:t>
      </w:r>
      <w:r>
        <w:rPr>
          <w:rFonts w:ascii="Times New Roman" w:hAnsi="Times New Roman"/>
          <w:sz w:val="24"/>
        </w:rPr>
        <w:t xml:space="preserve"> </w:t>
      </w:r>
      <m:oMath>
        <m:r>
          <m:t>M</m:t>
        </m:r>
      </m:oMath>
      <w:r>
        <w:rPr>
          <w:rFonts w:ascii="Times New Roman" w:hAnsi="Times New Roman"/>
          <w:sz w:val="24"/>
        </w:rPr>
        <w:t xml:space="preserve">, Find predicts ligand-region probabilities</w:t>
      </w:r>
      <w:r>
        <w:rPr>
          <w:rFonts w:ascii="Times New Roman" w:hAnsi="Times New Roman"/>
          <w:sz w:val="24"/>
        </w:rP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rPr>
          <w:rFonts w:ascii="Times New Roman" w:hAnsi="Times New Roman"/>
          <w:sz w:val="24"/>
        </w:rPr>
        <w:t xml:space="preserve">, and corresponding to</w:t>
      </w:r>
      <w:r>
        <w:rPr>
          <w:rFonts w:ascii="Times New Roman" w:hAnsi="Times New Roman"/>
          <w:sz w:val="24"/>
        </w:rPr>
        <w:t xml:space="preserve"> </w:t>
      </w:r>
      <m:oMath>
        <m:sSubSup>
          <m:e>
            <m:r>
              <m:t>Y</m:t>
            </m:r>
          </m:e>
          <m:sub>
            <m:r>
              <m:t>u</m:t>
            </m:r>
            <m:r>
              <m:rPr>
                <m:sty m:val="p"/>
              </m:rPr>
              <m:t>,</m:t>
            </m:r>
            <m:r>
              <m:t>v</m:t>
            </m:r>
            <m:r>
              <m:rPr>
                <m:sty m:val="p"/>
              </m:rPr>
              <m:t>,</m:t>
            </m:r>
            <m:r>
              <m:t>w</m:t>
            </m:r>
          </m:sub>
          <m:sup>
            <m:r>
              <m:rPr>
                <m:sty m:val="p"/>
              </m:rPr>
              <m:t>*</m:t>
            </m:r>
          </m:sup>
        </m:sSubSup>
      </m:oMath>
      <w:r>
        <w:rPr>
          <w:rFonts w:ascii="Times New Roman" w:hAnsi="Times New Roman"/>
          <w:sz w:val="24"/>
        </w:rPr>
        <w:t xml:space="preserve">, the value</w:t>
      </w:r>
      <w:r>
        <w:rPr>
          <w:rFonts w:ascii="Times New Roman" w:hAnsi="Times New Roman"/>
          <w:sz w:val="24"/>
        </w:rPr>
        <w:t xml:space="preserve"> </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ascii="Times New Roman" w:hAnsi="Times New Roman"/>
          <w:sz w:val="24"/>
        </w:rPr>
        <w:t xml:space="preserve">is the predicted probability that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ascii="Times New Roman" w:hAnsi="Times New Roman"/>
          <w:sz w:val="24"/>
        </w:rPr>
        <w:t xml:space="preserve">belongs to a ligand region. These probabilities are the primary supervised output during Find training.</w:t>
      </w:r>
    </w:p>
    <w:bookmarkEnd w:id="72"/>
    <w:bookmarkStart w:id="73" w:name="network-architecture"/>
    <w:p>
      <w:pPr>
        <w:pStyle w:val="Heading3"/>
        <w:keepNext/>
        <w:spacing w:line="480" w:lineRule="auto"/>
        <w:ind w:firstLine="0"/>
      </w:pPr>
      <w:r>
        <w:rPr>
          <w:rFonts w:ascii="Times New Roman" w:hAnsi="Times New Roman"/>
          <w:sz w:val="24"/>
        </w:rPr>
        <w:t xml:space="preserve">Network architecture</w:t>
      </w:r>
    </w:p>
    <w:p>
      <w:pPr>
        <w:pStyle w:val="FirstParagraph"/>
        <w:spacing w:line="480" w:lineRule="auto" w:after="120"/>
        <w:ind w:firstLine="480"/>
      </w:pPr>
      <w:r>
        <w:rPr>
          <w:rFonts w:ascii="Times New Roman" w:hAnsi="Times New Roman"/>
          <w:sz w:val="24"/>
        </w:rP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480" w:lineRule="auto" w:after="120"/>
        <w:ind w:firstLine="480"/>
      </w:pPr>
      <w:r>
        <w:rPr>
          <w:rFonts w:ascii="Times New Roman" w:hAnsi="Times New Roman"/>
          <w:sz w:val="24"/>
        </w:rPr>
        <w:t xml:space="preserve">The receptor embedding head supplies processed atom representations to both the voxel branch and point-cloud branch. Before the voxel branch, it embeds receptor atoms, encodes their centre positions</w:t>
      </w:r>
      <w:r>
        <w:rPr>
          <w:rStyle w:val="MDCITE_eJyLdihILMo2MjAySkssLinIz8wrKSlKzCtOyy_KTS2KBQC1agv4"/>
          <w:rFonts w:ascii="Times New Roman" w:hAnsi="Times New Roman"/>
          <w:sz w:val="24"/>
          <w:vertAlign w:val="superscript"/>
        </w:rPr>
        <w:t xml:space="preserve">25</w:t>
      </w:r>
      <w:r>
        <w:rPr>
          <w:rFonts w:ascii="Times New Roman" w:hAnsi="Times New Roman"/>
          <w:sz w:val="24"/>
        </w:rPr>
        <w:t xml:space="preserve"> </w:t>
      </w:r>
      <w:r>
        <w:rPr>
          <w:rFonts w:ascii="Times New Roman" w:hAnsi="Times New Roman"/>
          <w:sz w:val="24"/>
        </w:rPr>
        <w:t xml:space="preserve">and softly scatters the encoded features onto the voxel grid. The projected features are concatenated with the 56 density channels as input to a 3D U-Net</w:t>
      </w:r>
      <w:r>
        <w:rPr>
          <w:rStyle w:val="MDCITE_eJyLdkjOTE7NNjIwNDNOKc1LLYkFADg_BhQ"/>
          <w:rFonts w:ascii="Times New Roman" w:hAnsi="Times New Roman"/>
          <w:sz w:val="24"/>
          <w:vertAlign w:val="superscript"/>
        </w:rPr>
        <w:t xml:space="preserve">15</w:t>
      </w:r>
      <w:r>
        <w:rPr>
          <w:rFonts w:ascii="Times New Roman" w:hAnsi="Times New Roman"/>
          <w:sz w:val="24"/>
        </w:rPr>
        <w:t xml:space="preserve">. Before the point-cloud branch,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w:t>
      </w:r>
      <w:r>
        <w:rPr>
          <w:rFonts w:ascii="Times New Roman" w:hAnsi="Times New Roman"/>
          <w:sz w:val="24"/>
        </w:rPr>
        <w:t xml:space="preserve">attention modules and progressive cropping process the initial atom features to provide the point-cloud input.</w:t>
      </w:r>
    </w:p>
    <w:p>
      <w:pPr>
        <w:pStyle w:val="BodyText"/>
        <w:spacing w:line="480" w:lineRule="auto" w:after="120"/>
        <w:ind w:firstLine="480"/>
      </w:pPr>
      <w:r>
        <w:rPr>
          <w:rFonts w:ascii="Times New Roman" w:hAnsi="Times New Roman"/>
          <w:sz w:val="24"/>
        </w:rP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from regions with high predicted ligand-region probabilities. Convolutional layers extract surrounding density information to initialise their features. These pseudo atoms enter the point-cloud branch together with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encoded by the receptor embedding head.</w:t>
      </w:r>
    </w:p>
    <w:p>
      <w:pPr>
        <w:pStyle w:val="BodyText"/>
        <w:spacing w:line="480" w:lineRule="auto" w:after="120"/>
        <w:ind w:firstLine="480"/>
      </w:pPr>
      <w:r>
        <w:rPr>
          <w:rFonts w:ascii="Times New Roman" w:hAnsi="Times New Roman"/>
          <w:sz w:val="24"/>
        </w:rPr>
        <w:t xml:space="preserve">The point-cloud branch uses the U-Net-style encoder–decoder architecture of Point Transformer V3</w:t>
      </w:r>
      <w:r>
        <w:rPr>
          <w:rStyle w:val="MDCITE_eJyLdigvNTIwMikoKTOOBQAdWAQ6"/>
          <w:rFonts w:ascii="Times New Roman" w:hAnsi="Times New Roman"/>
          <w:sz w:val="24"/>
          <w:vertAlign w:val="superscript"/>
        </w:rPr>
        <w:t xml:space="preserve">16</w:t>
      </w:r>
      <w:r>
        <w:rPr>
          <w:rFonts w:ascii="Times New Roman" w:hAnsi="Times New Roman"/>
          <w:sz w:val="24"/>
        </w:rPr>
        <w:t xml:space="preserve">. Space-filling curves jointly serialise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pseudo atoms</w:t>
      </w:r>
      <w:r>
        <w:rPr>
          <w:rFonts w:ascii="Times New Roman" w:hAnsi="Times New Roman"/>
          <w:sz w:val="24"/>
        </w:rPr>
        <w:t xml:space="preserve"> </w:t>
      </w:r>
      <m:oMath>
        <m:r>
          <m:t>P</m:t>
        </m:r>
      </m:oMath>
      <w:r>
        <w:rPr>
          <w:rFonts w:ascii="Times New Roman" w:hAnsi="Times New Roman"/>
          <w:sz w:val="24"/>
        </w:rPr>
        <w:t xml:space="preserve">, while point-cloud convolutions provide conditional positional encoding. At multiple resolutions, the network performs learnable weighted sampling over the</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ascii="Times New Roman" w:hAnsi="Times New Roman"/>
          <w:sz w:val="24"/>
        </w:rPr>
        <w:t xml:space="preserve">neighbourhoods of</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480" w:lineRule="auto" w:after="120"/>
        <w:ind w:firstLine="480"/>
      </w:pPr>
      <w:r>
        <w:rPr>
          <w:rFonts w:ascii="Times New Roman" w:hAnsi="Times New Roman"/>
          <w:sz w:val="24"/>
        </w:rPr>
        <w:t xml:space="preserve">Following AlphaFold3</w:t>
      </w:r>
      <w:r>
        <w:rPr>
          <w:rStyle w:val="MDCITE_eJyLdkhMKkrMLc7PMzIwMknMKchITMvPSTGOBQB0aQjy"/>
          <w:rFonts w:ascii="Times New Roman" w:hAnsi="Times New Roman"/>
          <w:sz w:val="24"/>
          <w:vertAlign w:val="superscript"/>
        </w:rPr>
        <w:t xml:space="preserve">17</w:t>
      </w:r>
      <w:r>
        <w:rPr>
          <w:rFonts w:ascii="Times New Roman" w:hAnsi="Times New Roman"/>
          <w:sz w:val="24"/>
        </w:rPr>
        <w:t xml:space="preserve">,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73"/>
    <w:bookmarkStart w:id="74" w:name="losses-and-supervision"/>
    <w:p>
      <w:pPr>
        <w:pStyle w:val="Heading3"/>
        <w:keepNext/>
        <w:spacing w:line="480" w:lineRule="auto"/>
        <w:ind w:firstLine="0"/>
      </w:pPr>
      <w:r>
        <w:rPr>
          <w:rFonts w:ascii="Times New Roman" w:hAnsi="Times New Roman"/>
          <w:sz w:val="24"/>
        </w:rPr>
        <w:t xml:space="preserve">Losses and supervision</w:t>
      </w:r>
    </w:p>
    <w:p>
      <w:pPr>
        <w:pStyle w:val="FirstParagraph"/>
        <w:spacing w:line="480" w:lineRule="auto" w:after="120"/>
        <w:ind w:firstLine="480"/>
      </w:pPr>
      <w:r>
        <w:rPr>
          <w:rFonts w:ascii="Times New Roman" w:hAnsi="Times New Roman"/>
          <w:sz w:val="24"/>
        </w:rP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voxel branch</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point-cloud branch</m:t>
                  </m:r>
                </m:lim>
              </m:limLow>
              <m:r>
                <w:rPr>
                  <w:sz w:val="20"/>
                </w:rPr>
                <m:rPr>
                  <m:sty m:val="p"/>
                </m:rPr>
                <m:t>.</m:t>
              </m:r>
            </m:e>
          </m:eqArr>
        </m:oMath>
      </m:oMathPara>
    </w:p>
    <w:p>
      <w:pPr>
        <w:pStyle w:val="FirstParagraph"/>
        <w:spacing w:line="480" w:lineRule="auto" w:after="120"/>
        <w:ind w:firstLine="480"/>
      </w:pPr>
      <w:r>
        <w:rPr>
          <w:rFonts w:ascii="Times New Roman" w:hAnsi="Times New Roman"/>
          <w:sz w:val="24"/>
        </w:rPr>
        <w:t xml:space="preserve">For the voxel branch,</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is the primary supervision term. It compares ligand-region probabilities</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ascii="Times New Roman" w:hAnsi="Times New Roman"/>
          <w:sz w:val="24"/>
        </w:rPr>
        <w:t xml:space="preserve">from the main output head with the ground-truth binary labels</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Receptor-binding regions comprise voxels containing receptor atoms with a ligand atom within 4 Å.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provides supervision for the corresponding receptor-binding-region output head. The ligand-distance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ascii="Times New Roman" w:hAnsi="Times New Roman"/>
          <w:sz w:val="24"/>
        </w:rPr>
        <w:t xml:space="preserve">supervises the predicted inverse distance to the nearest ligand atom.</w:t>
      </w:r>
    </w:p>
    <w:p>
      <w:pPr>
        <w:pStyle w:val="BodyText"/>
        <w:spacing w:line="480" w:lineRule="auto" w:after="120"/>
        <w:ind w:firstLine="480"/>
      </w:pPr>
      <w:r>
        <w:rPr>
          <w:rFonts w:ascii="Times New Roman" w:hAnsi="Times New Roman"/>
          <w:sz w:val="24"/>
        </w:rPr>
        <w:t xml:space="preserve">The protein backbone head predicts probabilities over five channels: background, N, CA, C and O. The nucleic acid backbone head predicts probabilities over seven channels: background, P, O5′, C5′, C4′, C3′ and O3′. The corresponding heads are supervised by</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respectively.</w:t>
      </w:r>
    </w:p>
    <w:p>
      <w:pPr>
        <w:pStyle w:val="BodyText"/>
        <w:spacing w:line="480" w:lineRule="auto" w:after="120"/>
        <w:ind w:firstLine="480"/>
      </w:pPr>
      <w:r>
        <w:rPr>
          <w:rFonts w:ascii="Times New Roman" w:hAnsi="Times New Roman"/>
          <w:sz w:val="24"/>
        </w:rP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receptor atoms, whereas</w:t>
      </w:r>
      <w:r>
        <w:rPr>
          <w:rFonts w:ascii="Times New Roman" w:hAnsi="Times New Roman"/>
          <w:sz w:val="24"/>
        </w:rP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pseudo atoms.</w:t>
      </w:r>
    </w:p>
    <w:p>
      <w:pPr>
        <w:pStyle w:val="BodyText"/>
        <w:spacing w:line="480" w:lineRule="auto" w:after="120"/>
        <w:ind w:firstLine="480"/>
      </w:pPr>
      <w:r>
        <w:rPr>
          <w:rFonts w:ascii="Times New Roman" w:hAnsi="Times New Roman"/>
          <w:sz w:val="24"/>
        </w:rPr>
        <w:t xml:space="preserve">The ligand-distance loss uses mean squared error (MSE) for the distance prediction. All other losses combine focal loss (</w:t>
      </w:r>
      <m:oMath>
        <m:r>
          <m:t>γ</m:t>
        </m:r>
        <m:r>
          <m:rPr>
            <m:sty m:val="p"/>
          </m:rPr>
          <m:t>=</m:t>
        </m:r>
        <m:r>
          <m:t>2</m:t>
        </m:r>
      </m:oMath>
      <w:r>
        <w:rPr>
          <w:rFonts w:ascii="Times New Roman" w:hAnsi="Times New Roman"/>
          <w:sz w:val="24"/>
        </w:rPr>
        <w:t xml:space="preserve">)</w:t>
      </w:r>
      <w:r>
        <w:rPr>
          <w:rStyle w:val="MDCITE_eJyLdsjJzDMyMDRPy09OzIkFACcmBQs"/>
          <w:rFonts w:ascii="Times New Roman" w:hAnsi="Times New Roman"/>
          <w:sz w:val="24"/>
          <w:vertAlign w:val="superscript"/>
        </w:rPr>
        <w:t xml:space="preserve">26</w:t>
      </w:r>
      <w:r>
        <w:rPr>
          <w:rFonts w:ascii="Times New Roman" w:hAnsi="Times New Roman"/>
          <w:sz w:val="24"/>
        </w:rPr>
        <w:t xml:space="preserve"> </w:t>
      </w:r>
      <w:r>
        <w:rPr>
          <w:rFonts w:ascii="Times New Roman" w:hAnsi="Times New Roman"/>
          <w:sz w:val="24"/>
        </w:rPr>
        <w:t xml:space="preserve">and Dice loss</w:t>
      </w:r>
      <w:r>
        <w:rPr>
          <w:rStyle w:val="MDCITE_eJyLdsjNzMlJLUksyjQyMDQry0stiQUATPQHQg"/>
          <w:rFonts w:ascii="Times New Roman" w:hAnsi="Times New Roman"/>
          <w:sz w:val="24"/>
          <w:vertAlign w:val="superscript"/>
        </w:rPr>
        <w:t xml:space="preserve">27</w:t>
      </w:r>
      <w:r>
        <w:rPr>
          <w:rFonts w:ascii="Times New Roman" w:hAnsi="Times New Roman"/>
          <w:sz w:val="24"/>
        </w:rPr>
        <w:t xml:space="preserve"> </w:t>
      </w:r>
      <w:r>
        <w:rPr>
          <w:rFonts w:ascii="Times New Roman" w:hAnsi="Times New Roman"/>
          <w:sz w:val="24"/>
        </w:rPr>
        <w:t xml:space="preserve">with weights of 0.7 and 0.3, respectively.</w:t>
      </w:r>
    </w:p>
    <w:bookmarkEnd w:id="74"/>
    <w:bookmarkStart w:id="75" w:name="inference-and-post-processing"/>
    <w:p>
      <w:pPr>
        <w:pStyle w:val="Heading3"/>
        <w:keepNext/>
        <w:spacing w:line="480" w:lineRule="auto"/>
        <w:ind w:firstLine="0"/>
      </w:pPr>
      <w:r>
        <w:rPr>
          <w:rFonts w:ascii="Times New Roman" w:hAnsi="Times New Roman"/>
          <w:sz w:val="24"/>
        </w:rPr>
        <w:t xml:space="preserve">Inference and post-processing</w:t>
      </w:r>
    </w:p>
    <w:p>
      <w:pPr>
        <w:pStyle w:val="FirstParagraph"/>
        <w:spacing w:line="480" w:lineRule="auto" w:after="120"/>
        <w:ind w:firstLine="480"/>
      </w:pPr>
      <w:r>
        <w:rPr>
          <w:rFonts w:ascii="Times New Roman" w:hAnsi="Times New Roman"/>
          <w:sz w:val="24"/>
        </w:rPr>
        <w:t xml:space="preserve">As in training, Find uses</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blocks as its basic input during inference. Sliding-window inference with a stride of 30 and a Gaussian kernel with</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ascii="Times New Roman" w:hAnsi="Times New Roman"/>
          <w:sz w:val="24"/>
        </w:rPr>
        <w:t xml:space="preserve">produces the full ligand-region probability map</w:t>
      </w:r>
      <w:r>
        <w:rPr>
          <w:rFonts w:ascii="Times New Roman" w:hAnsi="Times New Roman"/>
          <w:sz w:val="24"/>
        </w:rPr>
        <w:t xml:space="preserve"> </w:t>
      </w:r>
      <m:oMath>
        <m:acc>
          <m:accPr>
            <m:chr m:val="̂"/>
          </m:accPr>
          <m:e>
            <m:r>
              <m:t>Y</m:t>
            </m:r>
          </m:e>
        </m:acc>
      </m:oMath>
      <w:r>
        <w:rPr>
          <w:rStyle w:val="MDCITE_eJyLdsgsTs0rTk01MjAyzMsrzUstiQUASzkHQg"/>
          <w:rFonts w:ascii="Times New Roman" w:hAnsi="Times New Roman"/>
          <w:sz w:val="24"/>
          <w:vertAlign w:val="superscript"/>
        </w:rPr>
        <w:t xml:space="preserve">28</w:t>
      </w:r>
      <w:r>
        <w:rPr>
          <w:rFonts w:ascii="Times New Roman" w:hAnsi="Times New Roman"/>
          <w:sz w:val="24"/>
        </w:rPr>
        <w:t xml:space="preserve">. We threshold this map at a fixed probability</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obtain candidate blobs, which are then filtered by Gaussian scoring. We selected</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maximise the semantic F1 score on the calibration set. Gaussian-scoring parameters were also searched on the calibration set, then fixed together with the probability threshold for testing.</w:t>
      </w:r>
    </w:p>
    <w:p>
      <w:pPr>
        <w:pStyle w:val="BodyText"/>
        <w:spacing w:line="480" w:lineRule="auto" w:after="120"/>
        <w:ind w:firstLine="480"/>
      </w:pPr>
      <w:r>
        <w:rPr>
          <w:rFonts w:ascii="Times New Roman" w:hAnsi="Times New Roman"/>
          <w:sz w:val="24"/>
        </w:rPr>
        <w:t xml:space="preserve">During inference, we apply 26-connected-component analysis to voxels satisfying</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yielding candidate ligand regions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We then compute a Gaussian score for each of these candidate regions as follows.</w:t>
      </w:r>
    </w:p>
    <w:p>
      <w:pPr>
        <w:pStyle w:val="BodyText"/>
        <w:spacing w:line="480" w:lineRule="auto" w:after="120"/>
        <w:ind w:firstLine="480"/>
      </w:pPr>
      <w:r>
        <w:rPr>
          <w:rFonts w:ascii="Times New Roman" w:hAnsi="Times New Roman"/>
          <w:sz w:val="24"/>
        </w:rPr>
        <w:t xml:space="preserve">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let</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ascii="Times New Roman" w:hAnsi="Times New Roman"/>
          <w:sz w:val="24"/>
        </w:rPr>
        <w:t xml:space="preserve">denote the mean ligand-region probability within the candidate region. Let</w:t>
      </w:r>
      <w:r>
        <w:rPr>
          <w:rFonts w:ascii="Times New Roman" w:hAnsi="Times New Roman"/>
          <w:sz w:val="24"/>
        </w:rPr>
        <w:t xml:space="preserve"> </w:t>
      </w:r>
      <m:oMath>
        <m:sSub>
          <m:e>
            <m:r>
              <m:t>q</m:t>
            </m:r>
          </m:e>
          <m:sub>
            <m:r>
              <m:t>i</m:t>
            </m:r>
          </m:sub>
        </m:sSub>
      </m:oMath>
      <w:r>
        <w:rPr>
          <w:rFonts w:ascii="Times New Roman" w:hAnsi="Times New Roman"/>
          <w:sz w:val="24"/>
        </w:rPr>
        <w:t xml:space="preserve"> </w:t>
      </w:r>
      <w:r>
        <w:rPr>
          <w:rFonts w:ascii="Times New Roman" w:hAnsi="Times New Roman"/>
          <w:sz w:val="24"/>
        </w:rPr>
        <w:t xml:space="preserve">denote the binding probability of receptor atom</w:t>
      </w:r>
      <w:r>
        <w:rPr>
          <w:rFonts w:ascii="Times New Roman" w:hAnsi="Times New Roman"/>
          <w:sz w:val="24"/>
        </w:rPr>
        <w:t xml:space="preserve"> </w:t>
      </w:r>
      <m:oMath>
        <m:r>
          <m:t>i</m:t>
        </m:r>
      </m:oMath>
      <w:r>
        <w:rPr>
          <w:rFonts w:ascii="Times New Roman" w:hAnsi="Times New Roman"/>
          <w:sz w:val="24"/>
        </w:rPr>
        <w:t xml:space="preserve">. Let</w:t>
      </w:r>
      <w:r>
        <w:rPr>
          <w:rFonts w:ascii="Times New Roman" w:hAnsi="Times New Roman"/>
          <w:sz w:val="24"/>
        </w:rPr>
        <w:t xml:space="preserve"> </w:t>
      </w:r>
      <m:oMath>
        <m:sSub>
          <m:e>
            <m:r>
              <m:t>d</m:t>
            </m:r>
          </m:e>
          <m:sub>
            <m:r>
              <m:t>i</m:t>
            </m:r>
            <m:r>
              <m:t>j</m:t>
            </m:r>
          </m:sub>
        </m:sSub>
      </m:oMath>
      <w:r>
        <w:rPr>
          <w:rFonts w:ascii="Times New Roman" w:hAnsi="Times New Roman"/>
          <w:sz w:val="24"/>
        </w:rPr>
        <w:t xml:space="preserve"> </w:t>
      </w:r>
      <w:r>
        <w:rPr>
          <w:rFonts w:ascii="Times New Roman" w:hAnsi="Times New Roman"/>
          <w:sz w:val="24"/>
        </w:rPr>
        <w:t xml:space="preserve">denote the physical distance from that atom to the nearest voxel centre in</w:t>
      </w:r>
      <w:r>
        <w:rPr>
          <w:rFonts w:ascii="Times New Roman" w:hAnsi="Times New Roman"/>
          <w:sz w:val="24"/>
        </w:rPr>
        <w:t xml:space="preserve"> </w:t>
      </w:r>
      <m:oMath>
        <m:sSub>
          <m:e>
            <m:r>
              <m:t>B</m:t>
            </m:r>
          </m:e>
          <m:sub>
            <m:r>
              <m:t>j</m:t>
            </m:r>
          </m:sub>
        </m:sSub>
      </m:oMath>
      <w:r>
        <w:rPr>
          <w:rFonts w:ascii="Times New Roman" w:hAnsi="Times New Roman"/>
          <w:sz w:val="24"/>
        </w:rPr>
        <w:t xml:space="preserve">. The Gaussian candidate score</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for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ascii="Times New Roman" w:hAnsi="Times New Roman"/>
          <w:sz w:val="24"/>
        </w:rPr>
        <w:t xml:space="preserve">Candidate</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predicted as positive if and only if</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exceeds the fixed Gaussian-score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its voxel count exceeds</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We searched the Gaussian width</w:t>
      </w:r>
      <w:r>
        <w:rPr>
          <w:rFonts w:ascii="Times New Roman" w:hAnsi="Times New Roman"/>
          <w:sz w:val="24"/>
        </w:rPr>
        <w:t xml:space="preserve"> </w:t>
      </w:r>
      <m:oMath>
        <m:r>
          <m:t>τ</m:t>
        </m:r>
      </m:oMath>
      <w:r>
        <w:rPr>
          <w:rFonts w:ascii="Times New Roman" w:hAnsi="Times New Roman"/>
          <w:sz w:val="24"/>
        </w:rPr>
        <w:t xml:space="preserve">, coefficients</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minimum voxel count</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ascii="Times New Roman" w:hAnsi="Times New Roman"/>
          <w:sz w:val="24"/>
        </w:rPr>
        <w:t xml:space="preserve">on the calibration set. After calibration, all selected parameters remained fixed throughout subsequent testing.</w:t>
      </w:r>
    </w:p>
    <w:p>
      <w:pPr>
        <w:pStyle w:val="BodyText"/>
        <w:spacing w:line="480" w:lineRule="auto" w:after="120"/>
        <w:ind w:firstLine="480"/>
      </w:pPr>
      <w:r>
        <w:rPr>
          <w:rFonts w:ascii="Times New Roman" w:hAnsi="Times New Roman"/>
          <w:sz w:val="24"/>
        </w:rPr>
        <w:t xml:space="preserve">The first score term measures the candidate’s own density confidence. The second rewards nearby receptor atoms predicted to be close to a ligand, whereas the third penalises nearby receptor atoms predicted to be distant from ligands.</w:t>
      </w:r>
    </w:p>
    <w:bookmarkEnd w:id="75"/>
    <w:bookmarkStart w:id="76" w:name="stage-1evaluation-metrics"/>
    <w:p>
      <w:pPr>
        <w:pStyle w:val="Heading3"/>
        <w:keepNext/>
        <w:spacing w:line="480" w:lineRule="auto"/>
        <w:ind w:firstLine="0"/>
      </w:pPr>
      <w:r>
        <w:rPr>
          <w:rFonts w:ascii="Times New Roman" w:hAnsi="Times New Roman"/>
          <w:sz w:val="24"/>
        </w:rPr>
        <w:t xml:space="preserve">Stage 1:Evaluation metrics</w:t>
      </w:r>
    </w:p>
    <w:p>
      <w:pPr>
        <w:pStyle w:val="FirstParagraph"/>
        <w:spacing w:line="480" w:lineRule="auto" w:after="120"/>
        <w:ind w:firstLine="480"/>
      </w:pPr>
      <w:r>
        <w:rPr>
          <w:rFonts w:ascii="Times New Roman" w:hAnsi="Times New Roman"/>
          <w:sz w:val="24"/>
        </w:rPr>
        <w:t xml:space="preserve">For each PDB entry, let</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rPr>
          <w:rFonts w:ascii="Times New Roman" w:hAnsi="Times New Roman"/>
          <w:sz w:val="24"/>
        </w:rPr>
        <w:t xml:space="preserve"> </w:t>
      </w:r>
      <w:r>
        <w:rPr>
          <w:rFonts w:ascii="Times New Roman" w:hAnsi="Times New Roman"/>
          <w:sz w:val="24"/>
        </w:rPr>
        <w:t xml:space="preserve">denote the final predicted candidate regions and</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rPr>
          <w:rFonts w:ascii="Times New Roman" w:hAnsi="Times New Roman"/>
          <w:sz w:val="24"/>
        </w:rPr>
        <w:t xml:space="preserve"> </w:t>
      </w:r>
      <w:r>
        <w:rPr>
          <w:rFonts w:ascii="Times New Roman" w:hAnsi="Times New Roman"/>
          <w:sz w:val="24"/>
        </w:rPr>
        <w:t xml:space="preserve">the ground-truth ligand regions. Semantic Dice measures overlap between the unions of predicted and ground-truth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r>
          <m:rPr>
            <m:sty m:val="p"/>
          </m:rPr>
          <m:t>|</m:t>
        </m:r>
        <m:r>
          <m:rPr>
            <m:sty m:val="p"/>
          </m:rPr>
          <m:t>⋅</m:t>
        </m:r>
        <m:r>
          <m:rPr>
            <m:sty m:val="p"/>
          </m:rPr>
          <m:t>|</m:t>
        </m:r>
      </m:oMath>
      <w:r>
        <w:rPr>
          <w:rFonts w:ascii="Times New Roman" w:hAnsi="Times New Roman"/>
          <w:sz w:val="24"/>
        </w:rPr>
        <w:t xml:space="preserve"> </w:t>
      </w:r>
      <w:r>
        <w:rPr>
          <w:rFonts w:ascii="Times New Roman" w:hAnsi="Times New Roman"/>
          <w:sz w:val="24"/>
        </w:rPr>
        <w:t xml:space="preserve">denotes voxel count; Dice does not use the instance-matching threshold.</w:t>
      </w:r>
    </w:p>
    <w:p>
      <w:pPr>
        <w:pStyle w:val="BodyText"/>
        <w:spacing w:line="480" w:lineRule="auto" w:after="120"/>
        <w:ind w:firstLine="480"/>
      </w:pPr>
      <w:r>
        <w:rPr>
          <w:rFonts w:ascii="Times New Roman" w:hAnsi="Times New Roman"/>
          <w:sz w:val="24"/>
        </w:rPr>
        <w:t xml:space="preserve">For instance-level metrics, a candidate and a ground-truth instance are compatible when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evaluated</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 </w:t>
      </w:r>
      <w:r>
        <w:rPr>
          <w:rFonts w:ascii="Times New Roman" w:hAnsi="Times New Roman"/>
          <w:sz w:val="24"/>
        </w:rPr>
        <w:t xml:space="preserve">and used the Hungarian algorithm</w:t>
      </w:r>
      <w:r>
        <w:rPr>
          <w:rStyle w:val="MDCITE_eJyLdsguzcgztDQ1zSjNS08sykzMiwUASXEHQA"/>
          <w:rFonts w:ascii="Times New Roman" w:hAnsi="Times New Roman"/>
          <w:sz w:val="24"/>
          <w:vertAlign w:val="superscript"/>
        </w:rPr>
        <w:t xml:space="preserve">29</w:t>
      </w:r>
      <w:r>
        <w:rPr>
          <w:rFonts w:ascii="Times New Roman" w:hAnsi="Times New Roman"/>
          <w:sz w:val="24"/>
        </w:rPr>
        <w:t xml:space="preserve"> </w:t>
      </w:r>
      <w:r>
        <w:rPr>
          <w:rFonts w:ascii="Times New Roman" w:hAnsi="Times New Roman"/>
          <w:sz w:val="24"/>
        </w:rPr>
        <w:t xml:space="preserve">to obtain a maximum one-to-one matching. If</w:t>
      </w:r>
      <w:r>
        <w:rPr>
          <w:rFonts w:ascii="Times New Roman" w:hAnsi="Times New Roman"/>
          <w:sz w:val="24"/>
        </w:rP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rPr>
          <w:rFonts w:ascii="Times New Roman" w:hAnsi="Times New Roman"/>
          <w:sz w:val="24"/>
        </w:rPr>
        <w:t xml:space="preserve"> </w:t>
      </w:r>
      <w:r>
        <w:rPr>
          <w:rFonts w:ascii="Times New Roman" w:hAnsi="Times New Roman"/>
          <w:sz w:val="24"/>
        </w:rPr>
        <w:t xml:space="preserve">pairs are matched, instance-level precision and recall are:</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Precision is zero for an empty prediction set; a ground-truth instance cannot contribute more than one successful pair. Ranking candidates by confidence and varying the retained candidate set yields the instance-level precision–recall curve and its area,</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Detection completion measures the fraction of distinct ground-truth instances recovered within a relative candidate count. Candidates retain the original ordering, with selected candidates first and remaining candidates afterwards. Within each group, candidates are ordered by descending mean voxel probability, with ties resolved by original blob index. Each candidate is assigned to the ground-truth instance with maximal geometric-mean coverage among pairs meeting the bidirectional threshold of 0.3. Repeated hits occupy candidate positions but increase completion only at the first detection of an instance.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and relative candidate count</w:t>
      </w:r>
      <w:r>
        <w:rPr>
          <w:rFonts w:ascii="Times New Roman" w:hAnsi="Times New Roman"/>
          <w:sz w:val="24"/>
        </w:rPr>
        <w:t xml:space="preserve"> </w:t>
      </w:r>
      <m:oMath>
        <m:r>
          <m:t>ρ</m:t>
        </m:r>
      </m:oMath>
      <w:r>
        <w:rPr>
          <w:rFonts w:ascii="Times New Roman" w:hAnsi="Times New Roman"/>
          <w:sz w:val="24"/>
        </w:rPr>
        <w:t xml:space="preserve">, at most</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candidates are examined.</w:t>
      </w:r>
    </w:p>
    <w:p>
      <w:pPr>
        <w:pStyle w:val="BodyText"/>
        <w:spacing w:line="480" w:lineRule="auto" w:after="120"/>
        <w:ind w:firstLine="480"/>
      </w:pPr>
      <w:r>
        <w:rPr>
          <w:rFonts w:ascii="Times New Roman" w:hAnsi="Times New Roman"/>
          <w:sz w:val="24"/>
        </w:rPr>
        <w:t xml:space="preserve">All-ligand evaluation includes 179 PDB entries and 2,502 instances; small-molecule evaluation includes 94 PDB entries and 821 instances. In the small-molecule evaluation, candidates are first assigned across all ligand classes, and those assigned to non-small-molecule instances are omitted. Unassigned background candidates remain, as do repeated hits in completion analysis. P/R matching uses the retained final candidates; completion follows cumulative first detections along the candidate order. Metrics are averaged equally across PDB entries, retaining zero-detection entries. Confidence intervals for means use 10,000 PDB bootstrap resamples with seed 20260922 and percentile limits of 2.5% and 97.5%. Methods and candidate limits within the same cohort share resampling indices.</w:t>
      </w:r>
    </w:p>
    <w:bookmarkEnd w:id="76"/>
    <w:bookmarkStart w:id="77" w:name="stage-1-evaluation-metrics"/>
    <w:p>
      <w:pPr>
        <w:pStyle w:val="Heading3"/>
        <w:keepNext/>
        <w:spacing w:line="480" w:lineRule="auto"/>
        <w:ind w:firstLine="0"/>
      </w:pPr>
      <w:r>
        <w:rPr>
          <w:rFonts w:ascii="Times New Roman" w:hAnsi="Times New Roman"/>
          <w:sz w:val="24"/>
        </w:rPr>
        <w:t xml:space="preserve">Stage 1: Evaluation metrics</w:t>
      </w:r>
    </w:p>
    <w:p>
      <w:pPr>
        <w:pStyle w:val="FirstParagraph"/>
        <w:spacing w:line="480" w:lineRule="auto" w:after="120"/>
        <w:ind w:firstLine="480"/>
      </w:pPr>
      <w:r>
        <w:rPr>
          <w:rFonts w:ascii="Times New Roman" w:hAnsi="Times New Roman"/>
          <w:sz w:val="24"/>
        </w:rPr>
        <w:t xml:space="preserve">For a given PDB structure, let the model predict</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ascii="Times New Roman" w:hAnsi="Times New Roman"/>
          <w:sz w:val="24"/>
        </w:rPr>
        <w:t xml:space="preserve">three-dimensional candidate blobs,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The structure contains</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ascii="Times New Roman" w:hAnsi="Times New Roman"/>
          <w:sz w:val="24"/>
        </w:rPr>
        <w:t xml:space="preserve">ground-truth ligand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where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denotes the ligand region of instance</w:t>
      </w:r>
      <w:r>
        <w:rPr>
          <w:rFonts w:ascii="Times New Roman" w:hAnsi="Times New Roman"/>
          <w:sz w:val="24"/>
        </w:rPr>
        <w:t xml:space="preserve"> </w:t>
      </w:r>
      <m:oMath>
        <m:r>
          <m:t>j</m:t>
        </m:r>
      </m:oMath>
      <w:r>
        <w:rPr>
          <w:rFonts w:ascii="Times New Roman" w:hAnsi="Times New Roman"/>
          <w:sz w:val="24"/>
        </w:rPr>
        <w:t xml:space="preserve">. We set the bidirectional coverage threshold to</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r>
          <m:rPr>
            <m:sty m:val="p"/>
          </m:rPr>
          <m:t>|</m:t>
        </m:r>
        <m:r>
          <m:t>​</m:t>
        </m:r>
        <m:r>
          <m:rPr>
            <m:sty m:val="p"/>
          </m:rPr>
          <m:t>⋅</m:t>
        </m:r>
        <m:r>
          <m:rPr>
            <m:sty m:val="p"/>
          </m:rPr>
          <m:t>|</m:t>
        </m:r>
        <m:r>
          <m:t>​</m:t>
        </m:r>
      </m:oMath>
      <w:r>
        <w:rPr>
          <w:rFonts w:ascii="Times New Roman" w:hAnsi="Times New Roman"/>
          <w:sz w:val="24"/>
        </w:rPr>
        <w:t xml:space="preserve"> </w:t>
      </w:r>
      <w:r>
        <w:rPr>
          <w:rFonts w:ascii="Times New Roman" w:hAnsi="Times New Roman"/>
          <w:sz w:val="24"/>
        </w:rPr>
        <w:t xml:space="preserve">denotes the number of voxels in a region.</w:t>
      </w:r>
    </w:p>
    <w:p>
      <w:pPr>
        <w:pStyle w:val="BodyText"/>
        <w:spacing w:line="480" w:lineRule="auto" w:after="120"/>
        <w:ind w:firstLine="480"/>
      </w:pPr>
      <w:r>
        <w:rPr>
          <w:rFonts w:ascii="Times New Roman" w:hAnsi="Times New Roman"/>
          <w:sz w:val="24"/>
        </w:rPr>
        <w:t xml:space="preserve">At the instance level, predicted instances</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ascii="Times New Roman" w:hAnsi="Times New Roman"/>
          <w:sz w:val="24"/>
        </w:rPr>
        <w:t xml:space="preserve">and ground-truth instances</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ascii="Times New Roman" w:hAnsi="Times New Roman"/>
          <w:sz w:val="24"/>
        </w:rPr>
        <w:t xml:space="preserve">form the two vertex sets of a bipartite graph. An edge connects</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if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then used the Hungarian algorithm</w:t>
      </w:r>
      <w:r>
        <w:rPr>
          <w:rStyle w:val="MDCITE_eJyLdsguzcgztDQ1zSjNS08sykzMiwUASXEHQA"/>
          <w:rFonts w:ascii="Times New Roman" w:hAnsi="Times New Roman"/>
          <w:sz w:val="24"/>
          <w:vertAlign w:val="superscript"/>
        </w:rPr>
        <w:t xml:space="preserve">29</w:t>
      </w:r>
      <w:r>
        <w:rPr>
          <w:rFonts w:ascii="Times New Roman" w:hAnsi="Times New Roman"/>
          <w:sz w:val="24"/>
        </w:rPr>
        <w:t xml:space="preserve"> </w:t>
      </w:r>
      <w:r>
        <w:rPr>
          <w:rFonts w:ascii="Times New Roman" w:hAnsi="Times New Roman"/>
          <w:sz w:val="24"/>
        </w:rPr>
        <w:t xml:space="preserve">to obtain a maximum matching between the two sets. Let</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ascii="Times New Roman" w:hAnsi="Times New Roman"/>
          <w:sz w:val="24"/>
        </w:rP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These quantities yield the one-to-one F1 score at threshold</w:t>
      </w:r>
      <w:r>
        <w:rPr>
          <w:rFonts w:ascii="Times New Roman" w:hAnsi="Times New Roman"/>
          <w:sz w:val="24"/>
        </w:rPr>
        <w:t xml:space="preserve"> </w:t>
      </w:r>
      <m:oMath>
        <m:r>
          <m:t>τ</m:t>
        </m:r>
      </m:oMath>
      <w:r>
        <w:rPr>
          <w:rFonts w:ascii="Times New Roman" w:hAnsi="Times New Roman"/>
          <w:sz w:val="24"/>
        </w:rPr>
        <w:t xml:space="preserve">,</w:t>
      </w:r>
      <w:r>
        <w:rPr>
          <w:rFonts w:ascii="Times New Roman" w:hAnsi="Times New Roman"/>
          <w:sz w:val="24"/>
        </w:rPr>
        <w:t xml:space="preserve"> </w:t>
      </w:r>
      <m:oMath>
        <m:sSub>
          <m:e>
            <m:r>
              <m:rPr>
                <m:sty m:val="p"/>
              </m:rPr>
              <m:t>1to1F1</m:t>
            </m:r>
          </m:e>
          <m:sub>
            <m:r>
              <m:t>τ</m:t>
            </m:r>
          </m:sub>
        </m:sSub>
      </m:oMath>
      <w:r>
        <w:rPr>
          <w:rFonts w:ascii="Times New Roman" w:hAnsi="Times New Roman"/>
          <w:sz w:val="24"/>
        </w:rPr>
        <w:t xml:space="preserve">. Ranking predicted instances by their mean voxel probability yields the corresponding one-to-one precision–recall area under the curve (PRAUC),</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 We use</w:t>
      </w:r>
      <w:r>
        <w:rPr>
          <w:rFonts w:ascii="Times New Roman" w:hAnsi="Times New Roman"/>
          <w:sz w:val="24"/>
        </w:rPr>
        <w:t xml:space="preserve"> </w:t>
      </w:r>
      <w:r>
        <w:rPr>
          <w:rFonts w:ascii="Times New Roman" w:hAnsi="Times New Roman"/>
          <w:sz w:val="24"/>
        </w:rPr>
        <w:t xml:space="preserve">“1to1”</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Fonts w:ascii="Times New Roman" w:hAnsi="Times New Roman"/>
          <w:sz w:val="24"/>
        </w:rPr>
        <w:t xml:space="preserve">“one-to-one”</w:t>
      </w:r>
      <w:r>
        <w:rPr>
          <w:rFonts w:ascii="Times New Roman" w:hAnsi="Times New Roman"/>
          <w:sz w:val="24"/>
        </w:rPr>
        <w:t xml:space="preserve"> </w:t>
      </w:r>
      <w:r>
        <w:rPr>
          <w:rFonts w:ascii="Times New Roman" w:hAnsi="Times New Roman"/>
          <w:sz w:val="24"/>
        </w:rPr>
        <w:t xml:space="preserve">interchangeably depending on the context.</w:t>
      </w:r>
    </w:p>
    <w:p>
      <w:pPr>
        <w:pStyle w:val="BodyText"/>
        <w:spacing w:line="480" w:lineRule="auto" w:after="120"/>
        <w:ind w:firstLine="480"/>
      </w:pPr>
      <w:r>
        <w:rPr>
          <w:rFonts w:ascii="Times New Roman" w:hAnsi="Times New Roman"/>
          <w:sz w:val="24"/>
        </w:rP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480" w:lineRule="auto" w:after="120"/>
        <w:ind w:firstLine="480"/>
      </w:pPr>
      <w:r>
        <w:rPr>
          <w:rFonts w:ascii="Times New Roman" w:hAnsi="Times New Roman"/>
          <w:sz w:val="24"/>
        </w:rP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rPr>
          <w:rFonts w:ascii="Times New Roman" w:hAnsi="Times New Roman"/>
          <w:sz w:val="24"/>
        </w:rPr>
        <w:t xml:space="preserve"> </w:t>
      </w:r>
      <m:oMath>
        <m:r>
          <m:t>τ</m:t>
        </m:r>
        <m:r>
          <m:rPr>
            <m:sty m:val="p"/>
          </m:rPr>
          <m:t>=</m:t>
        </m:r>
        <m:r>
          <m:t>0.3</m:t>
        </m:r>
      </m:oMath>
      <w:r>
        <w:rPr>
          <w:rFonts w:ascii="Times New Roman" w:hAnsi="Times New Roman"/>
          <w:sz w:val="24"/>
        </w:rPr>
        <w:t xml:space="preserve"> </w:t>
      </w:r>
      <w:r>
        <w:rPr>
          <w:rFonts w:ascii="Times New Roman" w:hAnsi="Times New Roman"/>
          <w:sz w:val="24"/>
        </w:rPr>
        <w:t xml:space="preserve">bidirectional coverage threshold.</w:t>
      </w:r>
    </w:p>
    <w:p>
      <w:pPr>
        <w:pStyle w:val="BodyText"/>
        <w:spacing w:line="480" w:lineRule="auto" w:after="120"/>
        <w:ind w:firstLine="480"/>
      </w:pPr>
      <w:r>
        <w:rPr>
          <w:rFonts w:ascii="Times New Roman" w:hAnsi="Times New Roman"/>
          <w:sz w:val="24"/>
        </w:rP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77"/>
    <w:bookmarkEnd w:id="78"/>
    <w:bookmarkStart w:id="84" w:name="stage-2-match"/>
    <w:p>
      <w:pPr>
        <w:pStyle w:val="Heading2"/>
        <w:keepNext/>
        <w:spacing w:line="480" w:lineRule="auto"/>
        <w:ind w:firstLine="0"/>
      </w:pPr>
      <w:r>
        <w:rPr>
          <w:rFonts w:ascii="Times New Roman" w:hAnsi="Times New Roman"/>
          <w:sz w:val="24"/>
        </w:rPr>
        <w:t xml:space="preserve">Stage 2: Match</w:t>
      </w:r>
    </w:p>
    <w:bookmarkStart w:id="79" w:name="overview"/>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480" w:lineRule="auto" w:after="120"/>
        <w:ind w:firstLine="480"/>
      </w:pPr>
      <w:r>
        <w:rPr>
          <w:rFonts w:ascii="Times New Roman" w:hAnsi="Times New Roman"/>
          <w:sz w:val="24"/>
        </w:rP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79"/>
    <w:bookmarkStart w:id="80" w:name="X181b68a713d2eeaa46c9ea847f44b33b75abd9c"/>
    <w:p>
      <w:pPr>
        <w:pStyle w:val="Heading3"/>
        <w:keepNext/>
        <w:spacing w:line="480" w:lineRule="auto"/>
        <w:ind w:firstLine="0"/>
      </w:pPr>
      <w:r>
        <w:rPr>
          <w:rFonts w:ascii="Times New Roman" w:hAnsi="Times New Roman"/>
          <w:sz w:val="24"/>
        </w:rPr>
        <w:t xml:space="preserve">Ligand-identity representation and encoding</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denote the chemical identities in a PDB entry, represented by SMILES. For each identity, the ligand language model SMI-TED</w:t>
      </w:r>
      <w:r>
        <w:rPr>
          <w:rStyle w:val="MDCITE_eJyLdijOTyxKLTYyMDItzs0sSU2JBQBDqwbV"/>
          <w:rFonts w:ascii="Times New Roman" w:hAnsi="Times New Roman"/>
          <w:sz w:val="24"/>
          <w:vertAlign w:val="superscript"/>
        </w:rPr>
        <w:t xml:space="preserve">19</w:t>
      </w:r>
      <w:r>
        <w:rPr>
          <w:rFonts w:ascii="Times New Roman" w:hAnsi="Times New Roman"/>
          <w:sz w:val="24"/>
        </w:rPr>
        <w:t xml:space="preserve"> </w:t>
      </w:r>
      <w:r>
        <w:rPr>
          <w:rFonts w:ascii="Times New Roman" w:hAnsi="Times New Roman"/>
          <w:sz w:val="24"/>
        </w:rPr>
        <w:t xml:space="preserve">produces a 768-dimensional feature vector. A linear layer embeds this vector into the language representation</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parallel, we use RDKit to generate ideal three-dimensional ligand conformations</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ascii="Times New Roman" w:hAnsi="Times New Roman"/>
          <w:sz w:val="24"/>
        </w:rPr>
        <w:t xml:space="preserve">, which are encoded as three-dimensional molecular graphs. Node features comprise atomic number, formal charge and ring information, whereas edge features comprise bond type and ring information.</w:t>
      </w:r>
    </w:p>
    <w:p>
      <w:pPr>
        <w:pStyle w:val="BodyText"/>
        <w:spacing w:line="480" w:lineRule="auto" w:after="120"/>
        <w:ind w:firstLine="480"/>
      </w:pPr>
      <w:r>
        <w:rPr>
          <w:rFonts w:ascii="Times New Roman" w:hAnsi="Times New Roman"/>
          <w:sz w:val="24"/>
        </w:rPr>
        <w:t xml:space="preserve">For each 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its language representation serves as the query for two attention operations</w:t>
      </w:r>
      <w:r>
        <w:rPr>
          <w:rStyle w:val="MDCITE_eJyLdihLLC5PzMs0MjA0TywpSc0ryczPiwUAZH0Ikg"/>
          <w:rFonts w:ascii="Times New Roman" w:hAnsi="Times New Roman"/>
          <w:sz w:val="24"/>
          <w:vertAlign w:val="superscript"/>
        </w:rPr>
        <w:t xml:space="preserve">30</w:t>
      </w:r>
      <w:r>
        <w:rPr>
          <w:rFonts w:ascii="Times New Roman" w:hAnsi="Times New Roman"/>
          <w:sz w:val="24"/>
        </w:rPr>
        <w:t xml:space="preserve"> </w:t>
      </w:r>
      <w:r>
        <w:rPr>
          <w:rFonts w:ascii="Times New Roman" w:hAnsi="Times New Roman"/>
          <w:sz w:val="24"/>
        </w:rPr>
        <w:t xml:space="preserve">(</w:t>
      </w:r>
      <w:r>
        <w:rPr>
          <w:rStyle w:val="MDFIGREF_eJyrrk7LTC9KTbMCUrq5qSUZ-Sm6ZZY1SbW1AIsuCjw"/>
          <w:rFonts w:ascii="Times New Roman" w:hAnsi="Times New Roman"/>
          <w:sz w:val="24"/>
        </w:rPr>
        <w:t xml:space="preserve">Fig. 13b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w:r>
        <w:rPr>
          <w:rFonts w:ascii="Times New Roman" w:hAnsi="Times New Roman"/>
          <w:sz w:val="24"/>
        </w:rPr>
        <w:t xml:space="preserve">The final representation of ligand identity</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w:t>
      </w:r>
      <w:r>
        <w:rPr>
          <w:rFonts w:ascii="Times New Roman" w:hAnsi="Times New Roman"/>
          <w:sz w:val="24"/>
        </w:rP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combining its language, graph-attention and context-attention representations.</w:t>
      </w:r>
    </w:p>
    <w:bookmarkEnd w:id="80"/>
    <w:bookmarkStart w:id="81" w:name="X3ea166c1d7247fe31bf19592b3130f954c7c4b6"/>
    <w:p>
      <w:pPr>
        <w:pStyle w:val="Heading3"/>
        <w:keepNext/>
        <w:spacing w:line="480" w:lineRule="auto"/>
        <w:ind w:firstLine="0"/>
      </w:pPr>
      <w:r>
        <w:rPr>
          <w:rFonts w:ascii="Times New Roman" w:hAnsi="Times New Roman"/>
          <w:sz w:val="24"/>
        </w:rPr>
        <w:t xml:space="preserve">Candidate encoding and auxiliary-feature injection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denote the candidate regions predicted by Find within the same PDB entry. Match extracts a</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A U-Net encodes this tensor into a base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for the candidate.</w:t>
      </w:r>
    </w:p>
    <w:p>
      <w:pPr>
        <w:pStyle w:val="BodyText"/>
        <w:spacing w:line="480" w:lineRule="auto" w:after="120"/>
        <w:ind w:firstLine="480"/>
      </w:pPr>
      <w:r>
        <w:rPr>
          <w:rFonts w:ascii="Times New Roman" w:hAnsi="Times New Roman"/>
          <w:sz w:val="24"/>
        </w:rP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480" w:lineRule="auto" w:after="120"/>
        <w:ind w:firstLine="480"/>
      </w:pPr>
      <w:r>
        <w:rPr>
          <w:rFonts w:ascii="Times New Roman" w:hAnsi="Times New Roman"/>
          <w:sz w:val="24"/>
        </w:rPr>
        <w:t xml:space="preserve">Pooling and attention encode these auxiliary features to further modulate the base density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For each auxiliary feature type, mean and maximum pooling produce a pooled summary vector. In parallel, cross-attention uses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as the query and the corresponding auxiliary features as keys and values to produce an attention summary vector. The two summary vectors are concatenated and passed through a MLP. A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 </w:t>
      </w:r>
      <w:r>
        <w:rPr>
          <w:rFonts w:ascii="Times New Roman" w:hAnsi="Times New Roman"/>
          <w:sz w:val="24"/>
        </w:rPr>
        <w:t xml:space="preserve">module then uses this output to modulate the base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The modulated representation is used for both foreground classification and ligand-identity matching.</w:t>
      </w:r>
    </w:p>
    <w:bookmarkEnd w:id="81"/>
    <w:bookmarkStart w:id="82" w:name="scoring-and-selection"/>
    <w:p>
      <w:pPr>
        <w:pStyle w:val="Heading3"/>
        <w:keepNext/>
        <w:spacing w:line="480" w:lineRule="auto"/>
        <w:ind w:firstLine="0"/>
      </w:pPr>
      <w:r>
        <w:rPr>
          <w:rFonts w:ascii="Times New Roman" w:hAnsi="Times New Roman"/>
          <w:sz w:val="24"/>
        </w:rPr>
        <w:t xml:space="preserve">Scoring and selection</w:t>
      </w:r>
    </w:p>
    <w:p>
      <w:pPr>
        <w:pStyle w:val="FirstParagraph"/>
        <w:spacing w:line="480" w:lineRule="auto" w:after="120"/>
        <w:ind w:firstLine="480"/>
      </w:pPr>
      <w:r>
        <w:rPr>
          <w:rFonts w:ascii="Times New Roman" w:hAnsi="Times New Roman"/>
          <w:sz w:val="24"/>
        </w:rPr>
        <w:t xml:space="preserve">Suppose a PDB entry contains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valid SMILES identities</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LigandSeek-Match pairs each candidate representation with every ligand-identity representation from the same PDB entry to form a</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matching-score matrix. Its entry in row</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and column</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is the candidate representation, 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is the ligand-identity representation defined above. The function</w:t>
      </w:r>
      <w:r>
        <w:rPr>
          <w:rFonts w:ascii="Times New Roman" w:hAnsi="Times New Roman"/>
          <w:sz w:val="24"/>
        </w:rPr>
        <w:t xml:space="preserve"> </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ascii="Times New Roman" w:hAnsi="Times New Roman"/>
          <w:sz w:val="24"/>
        </w:rPr>
        <w:t xml:space="preserve">applies separate learnable linear projections to</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then computes their cosine similarity to produce the raw score</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 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ascii="Times New Roman" w:hAnsi="Times New Roman"/>
          <w:sz w:val="24"/>
        </w:rPr>
        <w:t xml:space="preserve">An independent foreground head uses</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to predict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of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Thus, Match provides each candidate’s foreground probability and ligand-identity matching scores for downstream pose modelling.</w:t>
      </w:r>
    </w:p>
    <w:bookmarkEnd w:id="82"/>
    <w:bookmarkStart w:id="83" w:name="labels-and-loss-functions"/>
    <w:p>
      <w:pPr>
        <w:pStyle w:val="Heading3"/>
        <w:keepNext/>
        <w:spacing w:line="480" w:lineRule="auto"/>
        <w:ind w:firstLine="0"/>
      </w:pPr>
      <w:r>
        <w:rPr>
          <w:rFonts w:ascii="Times New Roman" w:hAnsi="Times New Roman"/>
          <w:sz w:val="24"/>
        </w:rPr>
        <w:t xml:space="preserve">Labels and loss functions</w:t>
      </w:r>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480" w:lineRule="auto" w:after="120"/>
        <w:ind w:firstLine="480"/>
      </w:pPr>
      <w:r>
        <w:rPr>
          <w:rFonts w:ascii="Times New Roman" w:hAnsi="Times New Roman"/>
          <w:sz w:val="24"/>
        </w:rPr>
        <w:t xml:space="preserve">Match uses cross-entropy losses to supervise both ligand-identity matching and foreground classification. Let</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denote the foreground label, and let</w:t>
      </w:r>
      <w:r>
        <w:rPr>
          <w:rFonts w:ascii="Times New Roman" w:hAnsi="Times New Roman"/>
          <w:sz w:val="24"/>
        </w:rPr>
        <w:t xml:space="preserve"> </w:t>
      </w:r>
      <m:oMath>
        <m:sSubSup>
          <m:e>
            <m:r>
              <m:t>k</m:t>
            </m:r>
          </m:e>
          <m:sub>
            <m:r>
              <m:t>j</m:t>
            </m:r>
          </m:sub>
          <m:sup>
            <m:r>
              <m:rPr>
                <m:sty m:val="p"/>
              </m:rPr>
              <m:t>*</m:t>
            </m:r>
          </m:sup>
        </m:sSubSup>
      </m:oMath>
      <w:r>
        <w:rPr>
          <w:rFonts w:ascii="Times New Roman" w:hAnsi="Times New Roman"/>
          <w:sz w:val="24"/>
        </w:rPr>
        <w:t xml:space="preserve"> </w:t>
      </w:r>
      <w:r>
        <w:rPr>
          <w:rFonts w:ascii="Times New Roman" w:hAnsi="Times New Roman"/>
          <w:sz w:val="24"/>
        </w:rPr>
        <w:t xml:space="preserve">denote the ground-truth identity’s index in</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ascii="Times New Roman" w:hAnsi="Times New Roman"/>
          <w:sz w:val="24"/>
        </w:rP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ascii="Times New Roman" w:hAnsi="Times New Roman"/>
          <w:sz w:val="24"/>
        </w:rPr>
        <w:t xml:space="preserve">We set the foreground and identity loss weights to</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i</m:t>
            </m:r>
            <m:r>
              <m:rPr>
                <m:sty m:val="p"/>
              </m:rPr>
              <m:t>d</m:t>
            </m:r>
          </m:sub>
        </m:sSub>
        <m:r>
          <m:rPr>
            <m:sty m:val="p"/>
          </m:rPr>
          <m:t>=</m:t>
        </m:r>
        <m:r>
          <m:t>1.0</m:t>
        </m:r>
      </m:oMath>
      <w:r>
        <w:rPr>
          <w:rFonts w:ascii="Times New Roman" w:hAnsi="Times New Roman"/>
          <w:sz w:val="24"/>
        </w:rPr>
        <w:t xml:space="preserve">, respectively.</w:t>
      </w:r>
    </w:p>
    <w:bookmarkEnd w:id="83"/>
    <w:bookmarkEnd w:id="84"/>
    <w:bookmarkStart w:id="87" w:name="stage-3-build"/>
    <w:p>
      <w:pPr>
        <w:pStyle w:val="Heading2"/>
        <w:keepNext/>
        <w:spacing w:line="480" w:lineRule="auto"/>
        <w:ind w:firstLine="0"/>
      </w:pPr>
      <w:r>
        <w:rPr>
          <w:rFonts w:ascii="Times New Roman" w:hAnsi="Times New Roman"/>
          <w:sz w:val="24"/>
        </w:rPr>
        <w:t xml:space="preserve">Stage 3: Build</w:t>
      </w:r>
    </w:p>
    <w:bookmarkStart w:id="85" w:name="overview-1"/>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w:t>
      </w:r>
      <w:r>
        <w:rPr>
          <w:rStyle w:val="MDCITE_eJyLdigpyi8pMTIwNCjLzEuMBQAwbgWn"/>
          <w:rFonts w:ascii="Times New Roman" w:hAnsi="Times New Roman"/>
          <w:sz w:val="24"/>
          <w:vertAlign w:val="superscript"/>
        </w:rPr>
        <w:t xml:space="preserve">20</w:t>
      </w:r>
      <w:r>
        <w:rPr>
          <w:rFonts w:ascii="Times New Roman" w:hAnsi="Times New Roman"/>
          <w:sz w:val="24"/>
        </w:rPr>
        <w:t xml:space="preserve">, DiffDock, or Emap2lig-Build) tailored to specific ligand classes.</w:t>
      </w:r>
    </w:p>
    <w:p>
      <w:pPr>
        <w:pStyle w:val="BodyText"/>
        <w:spacing w:line="480" w:lineRule="auto" w:after="120"/>
        <w:ind w:firstLine="480"/>
      </w:pPr>
      <w:r>
        <w:rPr>
          <w:rFonts w:ascii="Times New Roman" w:hAnsi="Times New Roman"/>
          <w:sz w:val="24"/>
        </w:rP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DG-PocketXmol as our default Build engine. Specifically, we extended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a unified generative model for small molecules, to incorporate local cryo-EM density as an explicit conditioning signal, initialising it with official weights and fine-tuning it on eligible small molecules.</w:t>
      </w:r>
    </w:p>
    <w:bookmarkEnd w:id="85"/>
    <w:bookmarkStart w:id="86" w:name="pocketxmol-fine-tuning-experiments"/>
    <w:p>
      <w:pPr>
        <w:pStyle w:val="Heading3"/>
        <w:keepNext/>
        <w:spacing w:line="480" w:lineRule="auto"/>
        <w:ind w:firstLine="0"/>
      </w:pPr>
      <w:r>
        <w:rPr>
          <w:rFonts w:ascii="Times New Roman" w:hAnsi="Times New Roman"/>
          <w:sz w:val="24"/>
        </w:rPr>
        <w:t xml:space="preserve">PocketXMol fine-tuning experiments</w:t>
      </w:r>
    </w:p>
    <w:p>
      <w:pPr>
        <w:pStyle w:val="FirstParagraph"/>
        <w:spacing w:line="480" w:lineRule="auto" w:after="120"/>
        <w:ind w:firstLine="480"/>
      </w:pPr>
      <w:r>
        <w:rPr>
          <w:rFonts w:ascii="Times New Roman" w:hAnsi="Times New Roman"/>
          <w:sz w:val="24"/>
        </w:rPr>
        <w:t xml:space="preserve">PocketXMol fine-tuning used the same training, validation and test partitions described above. From each PDB entry in these partitions, we included all eligible small molecules. The training, validation and test sets contained 65,290, 781 and 446 ligand instances, respectively. No probability or score threshold required calibration at this stage, so a calibration set was unnecessary.</w:t>
      </w:r>
    </w:p>
    <w:p>
      <w:pPr>
        <w:pStyle w:val="BodyText"/>
        <w:spacing w:line="480" w:lineRule="auto" w:after="120"/>
        <w:ind w:firstLine="480"/>
      </w:pPr>
      <w:r>
        <w:rPr>
          <w:rFonts w:ascii="Times New Roman" w:hAnsi="Times New Roman"/>
          <w:sz w:val="24"/>
        </w:rP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r>
        <w:rPr>
          <w:rStyle w:val="MDCITE_eJyLdihILUqtMjIwtEjLzMmNBQAvOgWS"/>
          <w:rFonts w:ascii="Times New Roman" w:hAnsi="Times New Roman"/>
          <w:sz w:val="24"/>
          <w:vertAlign w:val="superscript"/>
        </w:rPr>
        <w:t xml:space="preserve">18</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86"/>
    <w:bookmarkEnd w:id="87"/>
    <w:bookmarkStart w:id="121" w:name="end-to-end-evaluation-process"/>
    <w:p>
      <w:pPr>
        <w:pStyle w:val="Heading2"/>
        <w:keepNext/>
        <w:spacing w:line="480" w:lineRule="auto"/>
        <w:ind w:firstLine="0"/>
      </w:pPr>
      <w:r>
        <w:rPr>
          <w:rFonts w:ascii="Times New Roman" w:hAnsi="Times New Roman"/>
          <w:sz w:val="24"/>
        </w:rPr>
        <w:t xml:space="preserve">End-to-end evaluation process</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4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relative to their templates. A “+1” indicates that the charged attempt increases by one; the algorithm stops once the attempt limit is reached or no further candidates are generated by the LigandSeek-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V19vHDUQ_yrWvpK7vbtcIFlKpChpEFKoohSeWBT5vHN7VnZty_beXUqR-lAJeOANISHggSd4Ki9ICCrBd6kovY_BjL13ubYBVfSPFKmRLus_M78Z2_PzeD5JDPeTJGPJo6_uP_z2j_T64Pri57t_3f91ce-HxS-_LX68-_Dzb7rG-HmywRILTldTKEhhP8vzDx1Yl-f9rZ3-Tp4fgDvz2uT54t7vf3_92eLLLx799GeeR-Q8_29oxWsgWBhAhwuhG-WlKju2qcB1CsvHnqQEN15qdVpze9YYlP8ouTbLDJvXlXLZ7J08mXhvsjR1YgI1d11tQOHkWNuae-zaMp1pWxirBTiHFuoqHfR6b6Y1lypPdgnt2IbPTX9eAZtlU14h7ns1L2E_mie5dClBsmcA5kgqcGF8rTfLnOECzSBOhUMINBj28qTtnuDqcIg3XreYrThpSlWg2Fha54-iaq8VwpnoQPQ0_mvbh1p5h3rcCSlR5wNZg2M3YMZOdM1VMD3ZU-7SuYAaIQhsFPqj0NyPawtfdPPWamMGw6Xrt6J6dMTTmYTlkOcGIwfsFFD0UJZd1h-y22x_wm1JexMOmeEZMT_TDFTR8bqDHwZoouG05cyBp4BwXbLho6WXuvjnWCJ7VT6-lAPiV2CHN9iRLDkGioWSoqMADyLECQ4yWQDeHv6cIefFhCKMC6udY7yqWBUUmai4c-C6bPSvWBuXAaGq0Q6YBaGV87aJZil4AaHlCO8MV5OhWlcgKLI3EHKMDC4Yd4zunArQlpNFAwwvJK6keFKFzaSfMKUZ97p2rJbhrkKjFbJhCsxr5icgkTBQGxyjhexdgXN7Zcx4Dh8f3Pnujf6DO99fAVevwnZispKCIhQjlnsKWybo4ic6eApfz6QSFjiykY3OmVbwdpDiVakt0qBmDl8VDicExIlWrZK1RGWHtOCY7gskE1Fm3FiUskwgV2URLHMLrAQFFnsFGSGYyPqbAGedQ3TydWJ5YfQ5tICX4Jk0r1n0onysgSsX9tRQIggsaqzF9HQR5yFp6CbwCediumK8KCSlKF61vOuyAxDSUdZSukCHpZriq57E29w4kR6TVtvx54YYtJ5WhUbLwuMLN1Jr7ZkmkLFgJWcj5DMyUgVXLYwBfUX-cqW0D6IRk9RxhOGDfIr4RZvZMBMWUFG-lMo0_olXHz19d5OPsR5Y1QHJ1lubm8P-1nxze7C93RvevmakyPDXlgb8mUoDrDNmT9UELQJi_R8MVPONhRWMfSYQPR5LAQdaNDXueUSKyR83biKNo-ihFarpsRQUO9QRN6bHFh8bTpCV_SwN9VkayrO0rc7S9eIspYsUl6kaVJHGn45lic66U9-bl7bxKo0Dpz386w-7RpW4EFkg-g5VMVS0Yft4uUY8mpUfFy5FBznt4JEWZw4PHJ_-qoQ9a_VsArxwCNInvOWEMxhfcRAxL1TXDETU9KlNGFXSHMqqIovUDvqxwTN8sAG-5Kg5RpkTtBLmH-ushNLH8ajnsOZio9n7GJ5rhRvP5mNb0xcPjs1jqcbOVyVbGKdpmCNfab4NV5QSJNZGbSuMUuG7BDVYAr4LumbUQGkiXzTLp0cuyl60ltI0r3R0Pb1o8qxSjCrlna3BVkS5VIrO5XooNNfaPPNcVsvh9Xal2v1yZnUu-NtNPv0Hd-y8Ug" id="89" name="Picture"/>
            <a:graphic>
              <a:graphicData uri="http://schemas.openxmlformats.org/drawingml/2006/picture">
                <pic:pic>
                  <pic:nvPicPr>
                    <pic:cNvPr descr="C:/Users/15919/Desktop/论文草稿/temp/manuscript_figures_t0xgrutn/figure_000014.png" id="90" name="Picture"/>
                    <pic:cNvPicPr>
                      <a:picLocks noChangeArrowheads="1" noChangeAspect="1"/>
                    </pic:cNvPicPr>
                  </pic:nvPicPr>
                  <pic:blipFill>
                    <a:blip r:embed="rId88"/>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Charging rules for two end-to-end evaluation settings.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Ligand-region detection and identity matching across all ligand classes. b, Ligand-region detection, identity matching and pose reconstruction for eligible small molecules, defined as single-residue organic small molecules with no atoms missing relative to their templates. A</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indicates that the charged attempt increases by one; the algorithm stops once the attempt limit is reached or no further candidates are generated by the LigandSeek-Find.</w:t>
      </w:r>
      <w:r>
        <w:rPr>
          <w:rFonts w:ascii="Times New Roman" w:hAnsi="Times New Roman"/>
          <w:sz w:val="24"/>
        </w:rPr>
        <w:t xml:space="preserve"> </w:t>
      </w:r>
      <w:r>
        <w:rPr>
          <w:rFonts w:ascii="Times New Roman" w:hAnsi="Times New Roman"/>
          <w:sz w:val="24"/>
        </w:rPr>
        <w:t xml:space="preserve">“Free skip”</w:t>
      </w:r>
      <w:r>
        <w:rPr>
          <w:rFonts w:ascii="Times New Roman" w:hAnsi="Times New Roman"/>
          <w:sz w:val="24"/>
        </w:rPr>
        <w:t xml:space="preserve"> </w:t>
      </w:r>
      <w:r>
        <w:rPr>
          <w:rFonts w:ascii="Times New Roman" w:hAnsi="Times New Roman"/>
          <w:sz w:val="24"/>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480" w:lineRule="auto" w:after="120"/>
        <w:ind w:firstLine="480"/>
      </w:pPr>
      <w:r>
        <w:rPr>
          <w:rFonts w:ascii="Times New Roman" w:hAnsi="Times New Roman"/>
          <w:sz w:val="24"/>
        </w:rPr>
        <w:t xml:space="preserve">We evaluated two end-to-end tasks: region detection and identity matching across all ligand categories, and full pose reconstruction for eligible small molecules. The attempt-accounting rules are summarised in</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14</w:t>
      </w:r>
      <w:r>
        <w:rPr>
          <w:rFonts w:ascii="Times New Roman" w:hAnsi="Times New Roman"/>
          <w:sz w:val="24"/>
        </w:rPr>
        <w:t xml:space="preserve"> </w:t>
      </w:r>
      <w:r>
        <w:rPr>
          <w:rFonts w:ascii="Times New Roman" w:hAnsi="Times New Roman"/>
          <w:sz w:val="24"/>
        </w:rPr>
        <w:t xml:space="preserve">and detailed below.</w:t>
      </w:r>
    </w:p>
    <w:p>
      <w:pPr>
        <w:pStyle w:val="BodyText"/>
        <w:spacing w:line="480" w:lineRule="auto" w:after="120"/>
        <w:ind w:firstLine="480"/>
      </w:pPr>
      <w:r>
        <w:rPr>
          <w:rFonts w:ascii="Times New Roman" w:hAnsi="Times New Roman"/>
          <w:sz w:val="24"/>
        </w:rP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480" w:lineRule="auto" w:after="120"/>
        <w:ind w:firstLine="480"/>
      </w:pPr>
      <w:r>
        <w:rPr>
          <w:rFonts w:ascii="Times New Roman" w:hAnsi="Times New Roman"/>
          <w:sz w:val="24"/>
        </w:rPr>
        <w:t xml:space="preserve">For end-to-end modelling of eligible small molecules, false-positive candidates likewise consume one attempt before the next candidate is examined.</w:t>
      </w:r>
    </w:p>
    <w:p>
      <w:pPr>
        <w:pStyle w:val="BodyText"/>
        <w:spacing w:line="480" w:lineRule="auto" w:after="120"/>
        <w:ind w:firstLine="480"/>
      </w:pPr>
      <w:r>
        <w:rPr>
          <w:rFonts w:ascii="Times New Roman" w:hAnsi="Times New Roman"/>
          <w:sz w:val="24"/>
        </w:rP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480" w:lineRule="auto" w:after="120"/>
        <w:ind w:firstLine="480"/>
      </w:pPr>
      <w:r>
        <w:rPr>
          <w:rFonts w:ascii="Times New Roman" w:hAnsi="Times New Roman"/>
          <w:sz w:val="24"/>
        </w:rP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DG-PocketXmol performs docking, and success is determined from the top-1 or best-of-50 pose and the corresponding RMSD threshold.</w:t>
      </w:r>
    </w:p>
    <w:p>
      <w:pPr>
        <w:pStyle w:val="BodyText"/>
        <w:spacing w:line="480" w:lineRule="auto" w:after="120"/>
        <w:ind w:firstLine="480"/>
      </w:pPr>
      <w:r>
        <w:rPr>
          <w:rFonts w:ascii="Times New Roman" w:hAnsi="Times New Roman"/>
          <w:sz w:val="24"/>
        </w:rPr>
        <w:t xml:space="preserve">According to the aforementioned rules, when a ligand outside the eligible small-molecule subset is correctly detected and matched, we still skip docking without consuming an attempt. This ensures that all evaluated docking tasks use the same downstream tool, DG-PocketXmol. However, a region corresponding to a true non-small-molecule ligand consumes one attempt if it is misidentified as a small molecule. In this case, it is actually an unmatched distractor and counts as a failed attempt.</w:t>
      </w:r>
    </w:p>
    <w:p>
      <w:pPr>
        <w:pStyle w:val="BodyText"/>
        <w:spacing w:line="480" w:lineRule="auto" w:after="120"/>
        <w:ind w:firstLine="480"/>
      </w:pPr>
      <w:r>
        <w:rPr>
          <w:rFonts w:ascii="Times New Roman" w:hAnsi="Times New Roman"/>
          <w:sz w:val="24"/>
        </w:rPr>
        <w:t xml:space="preserve">These end-to-end evaluation rules are stricter than the requirements of practical use. A Find candidate that fails to meet the 30% bidirectional coverage requirement is classified as a false positive. This applies even if it still provides sufficient shape and position information for Match and Build to complete the subsequent steps correctly. Match can also classify a false-positive Find candidate as background, rejecting it at the second stage, but the candidate still counts as one failed attempt.</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1">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2">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3">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94">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95">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96">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97">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98">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99">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0">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1">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2">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3">
        <w:r>
          <w:rPr>
            <w:rStyle w:val="Hyperlink"/>
          </w:rPr>
          <w:t xml:space="preserve">10.1021/acs.jmedchem.3c01134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14. Weininger, D.</w:t>
      </w:r>
      <w:r>
        <w:rPr>
          <w:rFonts w:ascii="Times New Roman" w:hAnsi="Times New Roman"/>
          <w:sz w:val="24"/>
        </w:rPr>
        <w:t xml:space="preserve"> </w:t>
      </w:r>
      <w:r>
        <w:rPr>
          <w:rFonts w:ascii="Times New Roman" w:hAnsi="Times New Roman"/>
          <w:sz w:val="24"/>
        </w:rPr>
        <w:t xml:space="preserve">SMILES, a chemical language and information system. 1. Introduction to methodology and encoding rules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Chemical Information and Computer Sciences</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31–36 (1988). https://doi.org/</w:t>
      </w:r>
      <w:hyperlink r:id="rId104">
        <w:r>
          <w:rPr>
            <w:rStyle w:val="Hyperlink"/>
          </w:rPr>
          <w:t xml:space="preserve">10.1021/ci00057a005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15. Çiçek, Ö., Abdulkadir, A., Lienkamp, S. S., Brox, T., &amp; Ronneberger, O.</w:t>
      </w:r>
      <w:r>
        <w:rPr>
          <w:rFonts w:ascii="Times New Roman" w:hAnsi="Times New Roman"/>
          <w:sz w:val="24"/>
        </w:rPr>
        <w:t xml:space="preserve"> </w:t>
      </w:r>
      <w:r>
        <w:rPr>
          <w:rFonts w:ascii="Times New Roman" w:hAnsi="Times New Roman"/>
          <w:sz w:val="24"/>
        </w:rPr>
        <w:t xml:space="preserve">3D U-Net: Learning Dense Volumetric Segmentation from Sparse Annotation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Medical image computing and computer-assisted intervention – MICCAI 2016</w:t>
      </w:r>
      <w:r>
        <w:rPr>
          <w:rFonts w:ascii="Times New Roman" w:hAnsi="Times New Roman"/>
          <w:sz w:val="24"/>
        </w:rPr>
        <w:t xml:space="preserve"> </w:t>
      </w:r>
      <w:r>
        <w:rPr>
          <w:rFonts w:ascii="Times New Roman" w:hAnsi="Times New Roman"/>
          <w:sz w:val="24"/>
        </w:rPr>
        <w:t xml:space="preserve">424–432 (2016). https://doi.org/</w:t>
      </w:r>
      <w:hyperlink r:id="rId105">
        <w:r>
          <w:rPr>
            <w:rStyle w:val="Hyperlink"/>
          </w:rPr>
          <w:t xml:space="preserve">10.1007/978-3-319-46723-8_49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16. Wu, X. et al.</w:t>
      </w:r>
      <w:r>
        <w:rPr>
          <w:rFonts w:ascii="Times New Roman" w:hAnsi="Times New Roman"/>
          <w:sz w:val="24"/>
        </w:rPr>
        <w:t xml:space="preserve"> </w:t>
      </w:r>
      <w:r>
        <w:rPr>
          <w:rFonts w:ascii="Times New Roman" w:hAnsi="Times New Roman"/>
          <w:sz w:val="24"/>
        </w:rPr>
        <w:t xml:space="preserve">Point Transformer V3: Simpler, Faster, Stronger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2024 IEEE/CVF conference on computer vision and pattern recognition (CVPR)</w:t>
      </w:r>
      <w:r>
        <w:rPr>
          <w:rFonts w:ascii="Times New Roman" w:hAnsi="Times New Roman"/>
          <w:sz w:val="24"/>
        </w:rPr>
        <w:t xml:space="preserve"> </w:t>
      </w:r>
      <w:r>
        <w:rPr>
          <w:rFonts w:ascii="Times New Roman" w:hAnsi="Times New Roman"/>
          <w:sz w:val="24"/>
        </w:rPr>
        <w:t xml:space="preserve">4840–4851 (2024). https://doi.org/</w:t>
      </w:r>
      <w:hyperlink r:id="rId106">
        <w:r>
          <w:rPr>
            <w:rStyle w:val="Hyperlink"/>
          </w:rPr>
          <w:t xml:space="preserve">10.1109/cvpr52733.2024.00463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17. Abramson, J. et al.</w:t>
      </w:r>
      <w:r>
        <w:rPr>
          <w:rFonts w:ascii="Times New Roman" w:hAnsi="Times New Roman"/>
          <w:sz w:val="24"/>
        </w:rPr>
        <w:t xml:space="preserve"> </w:t>
      </w:r>
      <w:r>
        <w:rPr>
          <w:rFonts w:ascii="Times New Roman" w:hAnsi="Times New Roman"/>
          <w:sz w:val="24"/>
        </w:rPr>
        <w:t xml:space="preserve">Accurate structure prediction of biomolecular interactions with AlphaFold 3</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630</w:t>
      </w:r>
      <w:r>
        <w:rPr>
          <w:rFonts w:ascii="Times New Roman" w:hAnsi="Times New Roman"/>
          <w:sz w:val="24"/>
        </w:rPr>
        <w:t xml:space="preserve">, 493–500 (2024). https://doi.org/</w:t>
      </w:r>
      <w:hyperlink r:id="rId107">
        <w:r>
          <w:rPr>
            <w:rStyle w:val="Hyperlink"/>
          </w:rPr>
          <w:t xml:space="preserve">10.1038/s41586-024-07487-w</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18. Perez, E., Strub, F., Vries, H. de, Dumoulin, V., &amp; Courville, A.</w:t>
      </w:r>
      <w:r>
        <w:rPr>
          <w:rFonts w:ascii="Times New Roman" w:hAnsi="Times New Roman"/>
          <w:sz w:val="24"/>
        </w:rPr>
        <w:t xml:space="preserve"> </w:t>
      </w:r>
      <w:r>
        <w:rPr>
          <w:rFonts w:ascii="Times New Roman" w:hAnsi="Times New Roman"/>
          <w:sz w:val="24"/>
        </w:rPr>
        <w:t xml:space="preserve">FiLM: Visual Reasoning with a General Conditioning Layer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Proceedings of the AAAI conference on artificial intelligence</w:t>
      </w:r>
      <w:r>
        <w:rPr>
          <w:rFonts w:ascii="Times New Roman" w:hAnsi="Times New Roman"/>
          <w:sz w:val="24"/>
        </w:rPr>
        <w:t xml:space="preserve"> </w:t>
      </w:r>
      <w:r>
        <w:rPr>
          <w:rFonts w:ascii="Times New Roman" w:hAnsi="Times New Roman"/>
          <w:b/>
          <w:bCs/>
          <w:sz w:val="24"/>
        </w:rPr>
        <w:t xml:space="preserve">32</w:t>
      </w:r>
      <w:r>
        <w:rPr>
          <w:rFonts w:ascii="Times New Roman" w:hAnsi="Times New Roman"/>
          <w:sz w:val="24"/>
        </w:rPr>
        <w:t xml:space="preserve">, (2018). https://doi.org/</w:t>
      </w:r>
      <w:hyperlink r:id="rId108">
        <w:r>
          <w:rPr>
            <w:rStyle w:val="Hyperlink"/>
          </w:rPr>
          <w:t xml:space="preserve">10.1609/aaai.v32i1.11671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19. Soares, E. et al.</w:t>
      </w:r>
      <w:r>
        <w:rPr>
          <w:rFonts w:ascii="Times New Roman" w:hAnsi="Times New Roman"/>
          <w:sz w:val="24"/>
        </w:rPr>
        <w:t xml:space="preserve"> </w:t>
      </w:r>
      <w:r>
        <w:rPr>
          <w:rFonts w:ascii="Times New Roman" w:hAnsi="Times New Roman"/>
          <w:sz w:val="24"/>
        </w:rPr>
        <w:t xml:space="preserve">An open-source family of large encoder-decoder foundation models for chemistry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Communications Chemistry</w:t>
      </w:r>
      <w:r>
        <w:rPr>
          <w:rFonts w:ascii="Times New Roman" w:hAnsi="Times New Roman"/>
          <w:sz w:val="24"/>
        </w:rPr>
        <w:t xml:space="preserve"> </w:t>
      </w:r>
      <w:r>
        <w:rPr>
          <w:rFonts w:ascii="Times New Roman" w:hAnsi="Times New Roman"/>
          <w:b/>
          <w:bCs/>
          <w:sz w:val="24"/>
        </w:rPr>
        <w:t xml:space="preserve">8</w:t>
      </w:r>
      <w:r>
        <w:rPr>
          <w:rFonts w:ascii="Times New Roman" w:hAnsi="Times New Roman"/>
          <w:sz w:val="24"/>
        </w:rPr>
        <w:t xml:space="preserve">, 193 (2025). https://doi.org/</w:t>
      </w:r>
      <w:hyperlink r:id="rId109">
        <w:r>
          <w:rPr>
            <w:rStyle w:val="Hyperlink"/>
          </w:rPr>
          <w:t xml:space="preserve">10.1038/s42004-025-01585-0</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20. Trott, O. &amp; Olson, A. J.</w:t>
      </w:r>
      <w:r>
        <w:rPr>
          <w:rFonts w:ascii="Times New Roman" w:hAnsi="Times New Roman"/>
          <w:sz w:val="24"/>
        </w:rPr>
        <w:t xml:space="preserve"> </w:t>
      </w:r>
      <w:r>
        <w:rPr>
          <w:rFonts w:ascii="Times New Roman" w:hAnsi="Times New Roman"/>
          <w:sz w:val="24"/>
        </w:rPr>
        <w:t xml:space="preserve">AutoDock Vina: Improving the speed and accuracy of docking with a new scoring function, efficient optimization, and multithreading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31</w:t>
      </w:r>
      <w:r>
        <w:rPr>
          <w:rFonts w:ascii="Times New Roman" w:hAnsi="Times New Roman"/>
          <w:sz w:val="24"/>
        </w:rPr>
        <w:t xml:space="preserve">, 455–461 (2010). https://doi.org/</w:t>
      </w:r>
      <w:hyperlink r:id="rId110">
        <w:r>
          <w:rPr>
            <w:rStyle w:val="Hyperlink"/>
          </w:rPr>
          <w:t xml:space="preserve">10.1002/jcc.21334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21. The wwPDB Consortium.</w:t>
      </w:r>
      <w:r>
        <w:rPr>
          <w:rFonts w:ascii="Times New Roman" w:hAnsi="Times New Roman"/>
          <w:sz w:val="24"/>
        </w:rPr>
        <w:t xml:space="preserve"> </w:t>
      </w:r>
      <w:r>
        <w:rPr>
          <w:rFonts w:ascii="Times New Roman" w:hAnsi="Times New Roman"/>
          <w:sz w:val="24"/>
        </w:rPr>
        <w:t xml:space="preserve">EMDB—the Electron Microscopy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52</w:t>
      </w:r>
      <w:r>
        <w:rPr>
          <w:rFonts w:ascii="Times New Roman" w:hAnsi="Times New Roman"/>
          <w:sz w:val="24"/>
        </w:rPr>
        <w:t xml:space="preserve">, D456–D465 (2024). https://doi.org/</w:t>
      </w:r>
      <w:hyperlink r:id="rId111">
        <w:r>
          <w:rPr>
            <w:rStyle w:val="Hyperlink"/>
          </w:rPr>
          <w:t xml:space="preserve">10.1093/nar/gkad1019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22. Berman, H. M. et al.</w:t>
      </w:r>
      <w:r>
        <w:rPr>
          <w:rFonts w:ascii="Times New Roman" w:hAnsi="Times New Roman"/>
          <w:sz w:val="24"/>
        </w:rPr>
        <w:t xml:space="preserve"> </w:t>
      </w:r>
      <w:r>
        <w:rPr>
          <w:rFonts w:ascii="Times New Roman" w:hAnsi="Times New Roman"/>
          <w:sz w:val="24"/>
        </w:rPr>
        <w:t xml:space="preserve">The Protein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235–242 (2000). https://doi.org/</w:t>
      </w:r>
      <w:hyperlink r:id="rId112">
        <w:r>
          <w:rPr>
            <w:rStyle w:val="Hyperlink"/>
          </w:rPr>
          <w:t xml:space="preserve">10.1093/nar/28.1.235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23. Steinegger, M. &amp; Söding, J.</w:t>
      </w:r>
      <w:r>
        <w:rPr>
          <w:rFonts w:ascii="Times New Roman" w:hAnsi="Times New Roman"/>
          <w:sz w:val="24"/>
        </w:rPr>
        <w:t xml:space="preserve"> </w:t>
      </w:r>
      <w:r>
        <w:rPr>
          <w:rFonts w:ascii="Times New Roman" w:hAnsi="Times New Roman"/>
          <w:sz w:val="24"/>
        </w:rPr>
        <w:t xml:space="preserve">MMseqs2 enables sensitive protein sequence searching for the analysis of massive data sets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Biotechnology</w:t>
      </w:r>
      <w:r>
        <w:rPr>
          <w:rFonts w:ascii="Times New Roman" w:hAnsi="Times New Roman"/>
          <w:sz w:val="24"/>
        </w:rPr>
        <w:t xml:space="preserve"> </w:t>
      </w:r>
      <w:r>
        <w:rPr>
          <w:rFonts w:ascii="Times New Roman" w:hAnsi="Times New Roman"/>
          <w:b/>
          <w:bCs/>
          <w:sz w:val="24"/>
        </w:rPr>
        <w:t xml:space="preserve">35</w:t>
      </w:r>
      <w:r>
        <w:rPr>
          <w:rFonts w:ascii="Times New Roman" w:hAnsi="Times New Roman"/>
          <w:sz w:val="24"/>
        </w:rPr>
        <w:t xml:space="preserve">, 1026–1028 (2017). https://doi.org/</w:t>
      </w:r>
      <w:hyperlink r:id="rId113">
        <w:r>
          <w:rPr>
            <w:rStyle w:val="Hyperlink"/>
          </w:rPr>
          <w:t xml:space="preserve">10.1038/nbt.3988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24. Pettersen, E. F. et al.</w:t>
      </w:r>
      <w:r>
        <w:rPr>
          <w:rFonts w:ascii="Times New Roman" w:hAnsi="Times New Roman"/>
          <w:sz w:val="24"/>
        </w:rPr>
        <w:t xml:space="preserve"> </w:t>
      </w:r>
      <w:r>
        <w:rPr>
          <w:rFonts w:ascii="Times New Roman" w:hAnsi="Times New Roman"/>
          <w:sz w:val="24"/>
        </w:rPr>
        <w:t xml:space="preserve">UCSF Chimera—a visualization system for exploratory research and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25</w:t>
      </w:r>
      <w:r>
        <w:rPr>
          <w:rFonts w:ascii="Times New Roman" w:hAnsi="Times New Roman"/>
          <w:sz w:val="24"/>
        </w:rPr>
        <w:t xml:space="preserve">, 1605–1612 (2004). https://doi.org/</w:t>
      </w:r>
      <w:hyperlink r:id="rId114">
        <w:r>
          <w:rPr>
            <w:rStyle w:val="Hyperlink"/>
          </w:rPr>
          <w:t xml:space="preserve">10.1002/jcc.20084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25. Park, C., Jeong, Y., Cho, M., &amp; Park, J.</w:t>
      </w:r>
      <w:r>
        <w:rPr>
          <w:rFonts w:ascii="Times New Roman" w:hAnsi="Times New Roman"/>
          <w:sz w:val="24"/>
        </w:rPr>
        <w:t xml:space="preserve"> </w:t>
      </w:r>
      <w:r>
        <w:rPr>
          <w:rFonts w:ascii="Times New Roman" w:hAnsi="Times New Roman"/>
          <w:sz w:val="24"/>
        </w:rPr>
        <w:t xml:space="preserve">Fast Point Transformer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2022 IEEE/CVF conference on computer vision and pattern recognition (CVPR)</w:t>
      </w:r>
      <w:r>
        <w:rPr>
          <w:rFonts w:ascii="Times New Roman" w:hAnsi="Times New Roman"/>
          <w:sz w:val="24"/>
        </w:rPr>
        <w:t xml:space="preserve"> </w:t>
      </w:r>
      <w:r>
        <w:rPr>
          <w:rFonts w:ascii="Times New Roman" w:hAnsi="Times New Roman"/>
          <w:sz w:val="24"/>
        </w:rPr>
        <w:t xml:space="preserve">16928–16937 (2022). https://doi.org/</w:t>
      </w:r>
      <w:hyperlink r:id="rId115">
        <w:r>
          <w:rPr>
            <w:rStyle w:val="Hyperlink"/>
          </w:rPr>
          <w:t xml:space="preserve">10.1109/cvpr52688.2022.01644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26. Lin, T.-Y., Goyal, P., Girshick, R., He, K., &amp; Dollár, P.</w:t>
      </w:r>
      <w:r>
        <w:rPr>
          <w:rFonts w:ascii="Times New Roman" w:hAnsi="Times New Roman"/>
          <w:sz w:val="24"/>
        </w:rPr>
        <w:t xml:space="preserve"> </w:t>
      </w:r>
      <w:r>
        <w:rPr>
          <w:rFonts w:ascii="Times New Roman" w:hAnsi="Times New Roman"/>
          <w:sz w:val="24"/>
        </w:rPr>
        <w:t xml:space="preserve">Focal Loss for Dense Object Detection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2017 IEEE international conference on computer vision (ICCV)</w:t>
      </w:r>
      <w:r>
        <w:rPr>
          <w:rFonts w:ascii="Times New Roman" w:hAnsi="Times New Roman"/>
          <w:sz w:val="24"/>
        </w:rPr>
        <w:t xml:space="preserve"> </w:t>
      </w:r>
      <w:r>
        <w:rPr>
          <w:rFonts w:ascii="Times New Roman" w:hAnsi="Times New Roman"/>
          <w:sz w:val="24"/>
        </w:rPr>
        <w:t xml:space="preserve">2999–3007 (2017). https://doi.org/</w:t>
      </w:r>
      <w:hyperlink r:id="rId116">
        <w:r>
          <w:rPr>
            <w:rStyle w:val="Hyperlink"/>
          </w:rPr>
          <w:t xml:space="preserve">10.1109/iccv.2017.324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27. Milletari, F., Navab, N., &amp; Ahmadi, S.-A.</w:t>
      </w:r>
      <w:r>
        <w:rPr>
          <w:rFonts w:ascii="Times New Roman" w:hAnsi="Times New Roman"/>
          <w:sz w:val="24"/>
        </w:rPr>
        <w:t xml:space="preserve"> </w:t>
      </w:r>
      <w:r>
        <w:rPr>
          <w:rFonts w:ascii="Times New Roman" w:hAnsi="Times New Roman"/>
          <w:sz w:val="24"/>
        </w:rPr>
        <w:t xml:space="preserve">V-Net: Fully Convolutional Neural Networks for Volumetric 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2016 fourth international conference on 3D vision (3DV)</w:t>
      </w:r>
      <w:r>
        <w:rPr>
          <w:rFonts w:ascii="Times New Roman" w:hAnsi="Times New Roman"/>
          <w:sz w:val="24"/>
        </w:rPr>
        <w:t xml:space="preserve"> </w:t>
      </w:r>
      <w:r>
        <w:rPr>
          <w:rFonts w:ascii="Times New Roman" w:hAnsi="Times New Roman"/>
          <w:sz w:val="24"/>
        </w:rPr>
        <w:t xml:space="preserve">565–571 (2016). https://doi.org/</w:t>
      </w:r>
      <w:hyperlink r:id="rId117">
        <w:r>
          <w:rPr>
            <w:rStyle w:val="Hyperlink"/>
          </w:rPr>
          <w:t xml:space="preserve">10.1109/3dv.2016.79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28. Isensee, F., Jaeger, P. F., Kohl, S. A. A., Petersen, J., &amp; Maier-Hein, K. H.</w:t>
      </w:r>
      <w:r>
        <w:rPr>
          <w:rFonts w:ascii="Times New Roman" w:hAnsi="Times New Roman"/>
          <w:sz w:val="24"/>
        </w:rPr>
        <w:t xml:space="preserve"> </w:t>
      </w:r>
      <w:r>
        <w:rPr>
          <w:rFonts w:ascii="Times New Roman" w:hAnsi="Times New Roman"/>
          <w:sz w:val="24"/>
        </w:rPr>
        <w:t xml:space="preserve">nnU-Net: a self-configuring method for deep learning-based biomedical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Methods</w:t>
      </w:r>
      <w:r>
        <w:rPr>
          <w:rFonts w:ascii="Times New Roman" w:hAnsi="Times New Roman"/>
          <w:sz w:val="24"/>
        </w:rPr>
        <w:t xml:space="preserve"> </w:t>
      </w:r>
      <w:r>
        <w:rPr>
          <w:rFonts w:ascii="Times New Roman" w:hAnsi="Times New Roman"/>
          <w:b/>
          <w:bCs/>
          <w:sz w:val="24"/>
        </w:rPr>
        <w:t xml:space="preserve">18</w:t>
      </w:r>
      <w:r>
        <w:rPr>
          <w:rFonts w:ascii="Times New Roman" w:hAnsi="Times New Roman"/>
          <w:sz w:val="24"/>
        </w:rPr>
        <w:t xml:space="preserve">, 203–211 (2021). https://doi.org/</w:t>
      </w:r>
      <w:hyperlink r:id="rId118">
        <w:r>
          <w:rPr>
            <w:rStyle w:val="Hyperlink"/>
          </w:rPr>
          <w:t xml:space="preserve">10.1038/s41592-020-01008-z</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29. Kuhn, H. W.</w:t>
      </w:r>
      <w:r>
        <w:rPr>
          <w:rFonts w:ascii="Times New Roman" w:hAnsi="Times New Roman"/>
          <w:sz w:val="24"/>
        </w:rPr>
        <w:t xml:space="preserve"> </w:t>
      </w:r>
      <w:r>
        <w:rPr>
          <w:rFonts w:ascii="Times New Roman" w:hAnsi="Times New Roman"/>
          <w:sz w:val="24"/>
        </w:rPr>
        <w:t xml:space="preserve">The Hungarian method for the assignment problem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Naval Research Logistics Quarterly</w:t>
      </w:r>
      <w:r>
        <w:rPr>
          <w:rFonts w:ascii="Times New Roman" w:hAnsi="Times New Roman"/>
          <w:sz w:val="24"/>
        </w:rPr>
        <w:t xml:space="preserve"> </w:t>
      </w:r>
      <w:r>
        <w:rPr>
          <w:rFonts w:ascii="Times New Roman" w:hAnsi="Times New Roman"/>
          <w:b/>
          <w:bCs/>
          <w:sz w:val="24"/>
        </w:rPr>
        <w:t xml:space="preserve">2</w:t>
      </w:r>
      <w:r>
        <w:rPr>
          <w:rFonts w:ascii="Times New Roman" w:hAnsi="Times New Roman"/>
          <w:sz w:val="24"/>
        </w:rPr>
        <w:t xml:space="preserve">, 83–97 (1955). https://doi.org/</w:t>
      </w:r>
      <w:hyperlink r:id="rId119">
        <w:r>
          <w:rPr>
            <w:rStyle w:val="Hyperlink"/>
          </w:rPr>
          <w:t xml:space="preserve">10.1002/nav.3800020109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30. Vaswani, A. et al.</w:t>
      </w:r>
      <w:r>
        <w:rPr>
          <w:rFonts w:ascii="Times New Roman" w:hAnsi="Times New Roman"/>
          <w:sz w:val="24"/>
        </w:rPr>
        <w:t xml:space="preserve"> </w:t>
      </w:r>
      <w:hyperlink r:id="rId120">
        <w:r>
          <w:rPr>
            <w:rStyle w:val="Hyperlink"/>
          </w:rPr>
          <w:t xml:space="preserve">Attention Is All You Need</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b/>
          <w:bCs/>
          <w:sz w:val="24"/>
        </w:rPr>
        <w:t xml:space="preserve">30</w:t>
      </w:r>
      <w:r>
        <w:rPr>
          <w:rFonts w:ascii="Times New Roman" w:hAnsi="Times New Roman"/>
          <w:sz w:val="24"/>
        </w:rPr>
        <w:t xml:space="preserve">, (2017).</w:t>
      </w:r>
    </w:p>
    <w:bookmarkEnd w:id="121"/>
    <w:bookmarkEnd w:id="122"/>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Za1tQB3UAle">
    <w:name w:val="MDFIGREF_eJyrrk7LTC9KTbMCUrq5qSUZ-Sm6ZZa1tQB3UAle"/>
    <w:basedOn w:val="BodyTextChar"/>
  </w:style>
  <w:style w:type="character" w:customStyle="1" w:styleId="MDFIGREF_eJyrrk7LTC9KTbMCUrq5qSUZ-Sm6ZZY1ibW1AIsrCjs">
    <w:name w:val="MDFIGREF_eJyrrk7LTC9KTbMCUrq5qSUZ-Sm6ZZY1ibW1AIsrCjs"/>
    <w:basedOn w:val="BodyTextChar"/>
  </w:style>
  <w:style w:type="character" w:customStyle="1" w:styleId="MDFIGREF_eJyrrk7LTC9KTbMCUrq5qSUZ-Sm6ZZY1SbW1AIsuCjw">
    <w:name w:val="MDFIGREF_eJyrrk7LTC9KTbMCUrq5qSUZ-Sm6ZZY1SbW1AIsuCjw"/>
    <w:basedOn w:val="BodyTextChar"/>
  </w:style>
  <w:style w:type="character" w:customStyle="1" w:styleId="MDFIGREF_eJyrrk7LTC9KTbMCUrq5qSUZ-Sm6ZZY1ybW1AIsxCj0">
    <w:name w:val="MDFIGREF_eJyrrk7LTC9KTbMCUrq5qSUZ-Sm6ZZY1ybW1AIsxCj0"/>
    <w:basedOn w:val="BodyTextChar"/>
  </w:style>
  <w:style w:type="character" w:customStyle="1" w:styleId="MDFIGREF_eJyrrk7LTC9KTbMCUrr5ZalFZZmp5fFlxjogfm5qSUZ-im6ZZW0tAEHND2w">
    <w:name w:val="MDFIGREF_eJyrrk7LTC9KTbMCUrr5ZalFZZmp5fFlxjogfm5qSUZ-im6ZZW0tAEHND2w"/>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zS9LLUrMydEtSC1Kyy_KTcxLTq1J0kmtrQUAU_EQMw">
    <w:name w:val="MDFIGREF_eJyrrk7LTC9KTbMqLklMTzXUzS9LLUrMydEtSC1Kyy_KTcxLTq1J0kmtrQUAU_EQMw"/>
    <w:basedOn w:val="BodyTextChar"/>
  </w:style>
  <w:style w:type="character" w:customStyle="1" w:styleId="MDFIGREF_eJyrrk7LTC9KTbMqLklMTzXUzS9LLUrMydEtSC1Kyy_KTcxLTq1J1EmqrQUAU-MQLw">
    <w:name w:val="MDFIGREF_eJyrrk7LTC9KTbMqLklMTzXUzS9LLUrMydEtSC1Kyy_KTcxLTq1J1EmqrQUAU-MQLw"/>
    <w:basedOn w:val="BodyTextChar"/>
  </w:style>
  <w:style w:type="character" w:customStyle="1" w:styleId="MDFIGREF_eJyrrk7LTC9KTbMqLklMTzXUzS9LLUrMydEtSC1Kyy_KTcxLTq1Jq60FADTOD6Y">
    <w:name w:val="MDFIGREF_eJyrrk7LTC9KTbMqLklMTzXUzS9LLUrMydEtSC1Kyy_KTcxLTq1Jq60FADTOD6Y"/>
    <w:basedOn w:val="BodyTextChar"/>
  </w:style>
  <w:style w:type="character" w:customStyle="1" w:styleId="MDFIGREF_eJyrrk7LTC9KTbMqLklMTzXUzS9LLUrMydEtSC1Kyy_KTcxLTq1Jqa0FADTID6Q">
    <w:name w:val="MDFIGREF_eJyrrk7LTC9KTbMqLklMTzXUzS9LLUrMydEtSC1Kyy_KTcxLTq1Jqa0FADTID6Q"/>
    <w:basedOn w:val="BodyTextChar"/>
  </w:style>
  <w:style w:type="character" w:customStyle="1" w:styleId="MDFIGREF_eJyrrk7LTC9KTbMqLklMTzXUzS9LLUrMydEtSC1Kyy_KTcxLTq1JrK0FADS_D6E">
    <w:name w:val="MDFIGREF_eJyrrk7LTC9KTbMqLklMTzXUzS9LLUrMydEtSC1Kyy_KTcxLTq1JrK0FADS_D6E"/>
    <w:basedOn w:val="BodyTextChar"/>
  </w:style>
  <w:style w:type="character" w:customStyle="1" w:styleId="MDFIGREF_eJyrrk7LTC9KTbMqLklMTzXUzS9LLUrMydEtSC1Kyy_KTcxLTq1Jrq0FADTFD6M">
    <w:name w:val="MDFIGREF_eJyrrk7LTC9KTbMqLklMTzXUzS9LLUrMydEtSC1Kyy_KTcxLTq1Jrq0FADTFD6M"/>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png"/><Relationship Id="rId20" Type="http://schemas.openxmlformats.org/officeDocument/2006/relationships/image" Target="media/rId20.png"/><Relationship Id="rId23" Type="http://schemas.openxmlformats.org/officeDocument/2006/relationships/image" Target="media/rId23.png"/><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57" Type="http://schemas.openxmlformats.org/officeDocument/2006/relationships/image" Target="media/rId57.png"/><Relationship Id="rId64" Type="http://schemas.openxmlformats.org/officeDocument/2006/relationships/image" Target="media/rId64.png"/><Relationship Id="rId88" Type="http://schemas.openxmlformats.org/officeDocument/2006/relationships/image" Target="media/rId88.png"/><Relationship Id="rId114" Type="http://schemas.openxmlformats.org/officeDocument/2006/relationships/hyperlink" Target="https://doi.org/10.1002/jcc.20084" TargetMode="External"/><Relationship Id="rId110" Type="http://schemas.openxmlformats.org/officeDocument/2006/relationships/hyperlink" Target="https://doi.org/10.1002/jcc.21334" TargetMode="External"/><Relationship Id="rId119" Type="http://schemas.openxmlformats.org/officeDocument/2006/relationships/hyperlink" Target="https://doi.org/10.1002/nav.3800020109" TargetMode="External"/><Relationship Id="rId105" Type="http://schemas.openxmlformats.org/officeDocument/2006/relationships/hyperlink" Target="https://doi.org/10.1007/978-3-319-46723-8_49" TargetMode="External"/><Relationship Id="rId100" Type="http://schemas.openxmlformats.org/officeDocument/2006/relationships/hyperlink" Target="https://doi.org/10.1016/j.cell.2026.01.003" TargetMode="External"/><Relationship Id="rId102" Type="http://schemas.openxmlformats.org/officeDocument/2006/relationships/hyperlink" Target="https://doi.org/10.1016/j.str.2020.04.018" TargetMode="External"/><Relationship Id="rId98" Type="http://schemas.openxmlformats.org/officeDocument/2006/relationships/hyperlink" Target="https://doi.org/10.1016/j.str.2025.07.002" TargetMode="External"/><Relationship Id="rId92" Type="http://schemas.openxmlformats.org/officeDocument/2006/relationships/hyperlink" Target="https://doi.org/10.1016/j.tibs.2014.10.005" TargetMode="External"/><Relationship Id="rId103" Type="http://schemas.openxmlformats.org/officeDocument/2006/relationships/hyperlink" Target="https://doi.org/10.1021/acs.jmedchem.3c01134" TargetMode="External"/><Relationship Id="rId104" Type="http://schemas.openxmlformats.org/officeDocument/2006/relationships/hyperlink" Target="https://doi.org/10.1021/ci00057a005" TargetMode="External"/><Relationship Id="rId91" Type="http://schemas.openxmlformats.org/officeDocument/2006/relationships/hyperlink" Target="https://doi.org/10.1038/d41586-020-00341-9" TargetMode="External"/><Relationship Id="rId113" Type="http://schemas.openxmlformats.org/officeDocument/2006/relationships/hyperlink" Target="https://doi.org/10.1038/nbt.3988" TargetMode="External"/><Relationship Id="rId101" Type="http://schemas.openxmlformats.org/officeDocument/2006/relationships/hyperlink" Target="https://doi.org/10.1038/s41467-023-36732-5" TargetMode="External"/><Relationship Id="rId93" Type="http://schemas.openxmlformats.org/officeDocument/2006/relationships/hyperlink" Target="https://doi.org/10.1038/s41586-024-07215-4" TargetMode="External"/><Relationship Id="rId107" Type="http://schemas.openxmlformats.org/officeDocument/2006/relationships/hyperlink" Target="https://doi.org/10.1038/s41586-024-07487-w" TargetMode="External"/><Relationship Id="rId118" Type="http://schemas.openxmlformats.org/officeDocument/2006/relationships/hyperlink" Target="https://doi.org/10.1038/s41592-020-01008-z" TargetMode="External"/><Relationship Id="rId95" Type="http://schemas.openxmlformats.org/officeDocument/2006/relationships/hyperlink" Target="https://doi.org/10.1038/s41594-025-01723-1" TargetMode="External"/><Relationship Id="rId109" Type="http://schemas.openxmlformats.org/officeDocument/2006/relationships/hyperlink" Target="https://doi.org/10.1038/s42004-025-01585-0" TargetMode="External"/><Relationship Id="rId112" Type="http://schemas.openxmlformats.org/officeDocument/2006/relationships/hyperlink" Target="https://doi.org/10.1093/nar/28.1.235" TargetMode="External"/><Relationship Id="rId111" Type="http://schemas.openxmlformats.org/officeDocument/2006/relationships/hyperlink" Target="https://doi.org/10.1093/nar/gkad1019" TargetMode="External"/><Relationship Id="rId117" Type="http://schemas.openxmlformats.org/officeDocument/2006/relationships/hyperlink" Target="https://doi.org/10.1109/3dv.2016.79" TargetMode="External"/><Relationship Id="rId115" Type="http://schemas.openxmlformats.org/officeDocument/2006/relationships/hyperlink" Target="https://doi.org/10.1109/cvpr52688.2022.01644" TargetMode="External"/><Relationship Id="rId106" Type="http://schemas.openxmlformats.org/officeDocument/2006/relationships/hyperlink" Target="https://doi.org/10.1109/cvpr52733.2024.00463" TargetMode="External"/><Relationship Id="rId116" Type="http://schemas.openxmlformats.org/officeDocument/2006/relationships/hyperlink" Target="https://doi.org/10.1109/iccv.2017.324" TargetMode="External"/><Relationship Id="rId96" Type="http://schemas.openxmlformats.org/officeDocument/2006/relationships/hyperlink" Target="https://doi.org/10.1126/science.aat4346" TargetMode="External"/><Relationship Id="rId108" Type="http://schemas.openxmlformats.org/officeDocument/2006/relationships/hyperlink" Target="https://doi.org/10.1609/aaai.v32i1.11671" TargetMode="External"/><Relationship Id="rId97" Type="http://schemas.openxmlformats.org/officeDocument/2006/relationships/hyperlink" Target="https://doi.org/10.64898/2026.06.01.729423" TargetMode="External"/><Relationship Id="rId94" Type="http://schemas.openxmlformats.org/officeDocument/2006/relationships/hyperlink" Target="https://doi.org/10.65215/LTSpreprints.2026.04.14.000185" TargetMode="External"/><Relationship Id="rId99" Type="http://schemas.openxmlformats.org/officeDocument/2006/relationships/hyperlink" Target="https://openreview.net/forum?id=kKF8_K-mBbS" TargetMode="External"/><Relationship Id="rId120"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14" Type="http://schemas.openxmlformats.org/officeDocument/2006/relationships/hyperlink" Target="https://doi.org/10.1002/jcc.20084" TargetMode="External"/><Relationship Id="rId110" Type="http://schemas.openxmlformats.org/officeDocument/2006/relationships/hyperlink" Target="https://doi.org/10.1002/jcc.21334" TargetMode="External"/><Relationship Id="rId119" Type="http://schemas.openxmlformats.org/officeDocument/2006/relationships/hyperlink" Target="https://doi.org/10.1002/nav.3800020109" TargetMode="External"/><Relationship Id="rId105" Type="http://schemas.openxmlformats.org/officeDocument/2006/relationships/hyperlink" Target="https://doi.org/10.1007/978-3-319-46723-8_49" TargetMode="External"/><Relationship Id="rId100" Type="http://schemas.openxmlformats.org/officeDocument/2006/relationships/hyperlink" Target="https://doi.org/10.1016/j.cell.2026.01.003" TargetMode="External"/><Relationship Id="rId102" Type="http://schemas.openxmlformats.org/officeDocument/2006/relationships/hyperlink" Target="https://doi.org/10.1016/j.str.2020.04.018" TargetMode="External"/><Relationship Id="rId98" Type="http://schemas.openxmlformats.org/officeDocument/2006/relationships/hyperlink" Target="https://doi.org/10.1016/j.str.2025.07.002" TargetMode="External"/><Relationship Id="rId92" Type="http://schemas.openxmlformats.org/officeDocument/2006/relationships/hyperlink" Target="https://doi.org/10.1016/j.tibs.2014.10.005" TargetMode="External"/><Relationship Id="rId103" Type="http://schemas.openxmlformats.org/officeDocument/2006/relationships/hyperlink" Target="https://doi.org/10.1021/acs.jmedchem.3c01134" TargetMode="External"/><Relationship Id="rId104" Type="http://schemas.openxmlformats.org/officeDocument/2006/relationships/hyperlink" Target="https://doi.org/10.1021/ci00057a005" TargetMode="External"/><Relationship Id="rId91" Type="http://schemas.openxmlformats.org/officeDocument/2006/relationships/hyperlink" Target="https://doi.org/10.1038/d41586-020-00341-9" TargetMode="External"/><Relationship Id="rId113" Type="http://schemas.openxmlformats.org/officeDocument/2006/relationships/hyperlink" Target="https://doi.org/10.1038/nbt.3988" TargetMode="External"/><Relationship Id="rId101" Type="http://schemas.openxmlformats.org/officeDocument/2006/relationships/hyperlink" Target="https://doi.org/10.1038/s41467-023-36732-5" TargetMode="External"/><Relationship Id="rId93" Type="http://schemas.openxmlformats.org/officeDocument/2006/relationships/hyperlink" Target="https://doi.org/10.1038/s41586-024-07215-4" TargetMode="External"/><Relationship Id="rId107" Type="http://schemas.openxmlformats.org/officeDocument/2006/relationships/hyperlink" Target="https://doi.org/10.1038/s41586-024-07487-w" TargetMode="External"/><Relationship Id="rId118" Type="http://schemas.openxmlformats.org/officeDocument/2006/relationships/hyperlink" Target="https://doi.org/10.1038/s41592-020-01008-z" TargetMode="External"/><Relationship Id="rId95" Type="http://schemas.openxmlformats.org/officeDocument/2006/relationships/hyperlink" Target="https://doi.org/10.1038/s41594-025-01723-1" TargetMode="External"/><Relationship Id="rId109" Type="http://schemas.openxmlformats.org/officeDocument/2006/relationships/hyperlink" Target="https://doi.org/10.1038/s42004-025-01585-0" TargetMode="External"/><Relationship Id="rId112" Type="http://schemas.openxmlformats.org/officeDocument/2006/relationships/hyperlink" Target="https://doi.org/10.1093/nar/28.1.235" TargetMode="External"/><Relationship Id="rId111" Type="http://schemas.openxmlformats.org/officeDocument/2006/relationships/hyperlink" Target="https://doi.org/10.1093/nar/gkad1019" TargetMode="External"/><Relationship Id="rId117" Type="http://schemas.openxmlformats.org/officeDocument/2006/relationships/hyperlink" Target="https://doi.org/10.1109/3dv.2016.79" TargetMode="External"/><Relationship Id="rId115" Type="http://schemas.openxmlformats.org/officeDocument/2006/relationships/hyperlink" Target="https://doi.org/10.1109/cvpr52688.2022.01644" TargetMode="External"/><Relationship Id="rId106" Type="http://schemas.openxmlformats.org/officeDocument/2006/relationships/hyperlink" Target="https://doi.org/10.1109/cvpr52733.2024.00463" TargetMode="External"/><Relationship Id="rId116" Type="http://schemas.openxmlformats.org/officeDocument/2006/relationships/hyperlink" Target="https://doi.org/10.1109/iccv.2017.324" TargetMode="External"/><Relationship Id="rId96" Type="http://schemas.openxmlformats.org/officeDocument/2006/relationships/hyperlink" Target="https://doi.org/10.1126/science.aat4346" TargetMode="External"/><Relationship Id="rId108" Type="http://schemas.openxmlformats.org/officeDocument/2006/relationships/hyperlink" Target="https://doi.org/10.1609/aaai.v32i1.11671" TargetMode="External"/><Relationship Id="rId97" Type="http://schemas.openxmlformats.org/officeDocument/2006/relationships/hyperlink" Target="https://doi.org/10.64898/2026.06.01.729423" TargetMode="External"/><Relationship Id="rId94" Type="http://schemas.openxmlformats.org/officeDocument/2006/relationships/hyperlink" Target="https://doi.org/10.65215/LTSpreprints.2026.04.14.000185" TargetMode="External"/><Relationship Id="rId99" Type="http://schemas.openxmlformats.org/officeDocument/2006/relationships/hyperlink" Target="https://openreview.net/forum?id=kKF8_K-mBbS" TargetMode="External"/><Relationship Id="rId120"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2026-10-27T10:41:59Z</dcterms:created>
  <dcterms:modified xsi:type="dcterms:W3CDTF">2026-10-27T10:41:59Z</dcterms:modified>
</cp:coreProperties>
</file>

<file path=docProps/custom.xml><?xml version="1.0" encoding="utf-8"?>
<Properties xmlns="http://schemas.openxmlformats.org/officeDocument/2006/custom-properties" xmlns:vt="http://schemas.openxmlformats.org/officeDocument/2006/docPropsVTypes"/>
</file>