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BDBCD" w14:textId="77777777" w:rsidR="00F614DE" w:rsidRDefault="00000000">
      <w:pPr>
        <w:pStyle w:val="1"/>
      </w:pPr>
      <w:bookmarkStart w:id="0" w:name="abstract"/>
      <w:r>
        <w:t>Abstract</w:t>
      </w:r>
    </w:p>
    <w:p w14:paraId="216C3D7D" w14:textId="77777777" w:rsidR="00F614DE" w:rsidRDefault="00000000">
      <w:pPr>
        <w:pStyle w:val="FirstParagraph"/>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w:t>
      </w:r>
      <m:oMath>
        <m:sSubSup>
          <m:sSubSupPr>
            <m:ctrlPr>
              <w:rPr>
                <w:rFonts w:ascii="Cambria Math" w:hAnsi="Cambria Math"/>
              </w:rPr>
            </m:ctrlPr>
          </m:sSubSupPr>
          <m:e>
            <m:r>
              <m:rPr>
                <m:sty m:val="p"/>
              </m:rPr>
              <w:rPr>
                <w:rFonts w:ascii="Cambria Math" w:hAnsi="Cambria Math"/>
              </w:rPr>
              <m:t>PRAUC</m:t>
            </m:r>
          </m:e>
          <m:sub>
            <m:r>
              <w:rPr>
                <w:rFonts w:ascii="Cambria Math" w:hAnsi="Cambria Math"/>
              </w:rPr>
              <m:t>0.3</m:t>
            </m:r>
          </m:sub>
          <m:sup>
            <m:r>
              <m:rPr>
                <m:sty m:val="p"/>
              </m:rPr>
              <w:rPr>
                <w:rFonts w:ascii="Cambria Math" w:hAnsi="Cambria Math"/>
              </w:rPr>
              <m:t>instance</m:t>
            </m:r>
          </m:sup>
        </m:sSubSup>
      </m:oMath>
      <w:r>
        <w:t xml:space="preserve"> of 0.541, increasing to 0.663 with deposited receptor structures. Both exceeded the score of 0.269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p w14:paraId="507F9B1B" w14:textId="77777777" w:rsidR="00F614DE" w:rsidRDefault="00000000">
      <w:pPr>
        <w:pStyle w:val="1"/>
      </w:pPr>
      <w:bookmarkStart w:id="1" w:name="introduction"/>
      <w:bookmarkEnd w:id="0"/>
      <w:r>
        <w:lastRenderedPageBreak/>
        <w:t>Introduction</w:t>
      </w:r>
    </w:p>
    <w:p w14:paraId="4A6E4B93" w14:textId="77777777" w:rsidR="00F614DE" w:rsidRDefault="00000000">
      <w:pPr>
        <w:pStyle w:val="FirstParagraph"/>
      </w:pPr>
      <w:r>
        <w:t>Single-particle cryo-electron microscopy (cryo-EM) has become an important method for determining the three-dimensional structures of macromolecular complexes</w:t>
      </w:r>
      <w:r>
        <w:rPr>
          <w:rStyle w:val="MDCITEeJyLdkhOzMlJLE-sNDIwMihKLcvPKS3JzM-zVnBISsw0MjA0TS6qzI8FABWBDa4"/>
          <w:vertAlign w:val="superscript"/>
        </w:rPr>
        <w:t>1,2</w:t>
      </w:r>
      <w:r>
        <w:t>. Deep learning tools such as ModelAngelo</w:t>
      </w:r>
      <w:r>
        <w:rPr>
          <w:rStyle w:val="MDCITEeJyLdshKzE3MyTQyMDLJzU9JzUnMS0NyY8FAGkQCLY"/>
          <w:vertAlign w:val="superscript"/>
        </w:rPr>
        <w:t>3</w:t>
      </w:r>
      <w:r>
        <w:t>, CryoAtom2</w:t>
      </w:r>
      <w:r>
        <w:rPr>
          <w:rStyle w:val="MDCITEeJyLdkguqsxPLMnPNYo3MjAyjQUAOC8FwQ"/>
          <w:vertAlign w:val="superscript"/>
        </w:rPr>
        <w:t>4</w:t>
      </w:r>
      <w:r>
        <w:t xml:space="preserve"> and EMProt</w:t>
      </w:r>
      <w:r>
        <w:rPr>
          <w:rStyle w:val="MDCITEeJyLdkjNLSjKLzEyMDKJBQAgmwRY"/>
          <w:vertAlign w:val="superscript"/>
        </w:rPr>
        <w:t>5</w:t>
      </w:r>
      <w:r>
        <w:t xml:space="preserve"> have advanced automated modelling of protein and nucleic acid structures. However, ligands bound in the binding pockets of these complexes often regulate catalysis, conformational switching and signalling cascades</w:t>
      </w:r>
      <w:r>
        <w:rPr>
          <w:rStyle w:val="MDCITEeJyLdkjOSM1LNzIwtEguqsyPBQAt9AWG"/>
          <w:vertAlign w:val="superscript"/>
        </w:rPr>
        <w:t>6</w:t>
      </w:r>
      <w:r>
        <w:t>.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14:paraId="04562E68" w14:textId="77777777" w:rsidR="00F614DE" w:rsidRDefault="00000000">
      <w:pPr>
        <w:pStyle w:val="11"/>
      </w:pPr>
      <w:r>
        <w:t>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eJyLdijNTSwwyslMjwUAGFAEGg"/>
          <w:vertAlign w:val="superscript"/>
        </w:rPr>
        <w:t>7</w:t>
      </w:r>
      <w:r>
        <w:t>,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14:paraId="793F03C0" w14:textId="77777777" w:rsidR="00F614DE" w:rsidRDefault="00000000">
      <w:pPr>
        <w:pStyle w:val="11"/>
      </w:pPr>
      <w:r>
        <w:t>The second is chemical identity matching, the Match bottleneck. Even after a ligand region is located, associating it with the correct chemical identity remains a major challenge. Although Emap2lig</w:t>
      </w:r>
      <w:r>
        <w:rPr>
          <w:rStyle w:val="MDCITEeJyLdijNTSwwyslMjwUAGFAEGg"/>
          <w:vertAlign w:val="superscript"/>
        </w:rPr>
        <w:t>7</w:t>
      </w:r>
      <w:r>
        <w:t xml:space="preserve"> combines region detection with pose reconstruction, it lacks automated identity matching. Users must specify the correspondence between regions and ligand identities, preventing full automation of the end-to-end workflow. Alternatively, EMERALD-ID</w:t>
      </w:r>
      <w:r>
        <w:rPr>
          <w:rStyle w:val="MDCITEeJyLdkjNTS1KzEmJz0yJBQAiYQT"/>
          <w:vertAlign w:val="superscript"/>
        </w:rPr>
        <w:t>8</w:t>
      </w:r>
      <w:r>
        <w:t xml:space="preserve"> provides identity matching by docking candidate ligands individually and inferring their identities from the resulting scores. Its computational complexity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where </w:t>
      </w:r>
      <m:oMath>
        <m:sSub>
          <m:sSubPr>
            <m:ctrlPr>
              <w:rPr>
                <w:rFonts w:ascii="Cambria Math" w:hAnsi="Cambria Math"/>
              </w:rPr>
            </m:ctrlPr>
          </m:sSubPr>
          <m:e>
            <m:r>
              <w:rPr>
                <w:rFonts w:ascii="Cambria Math" w:hAnsi="Cambria Math"/>
              </w:rPr>
              <m:t>N</m:t>
            </m:r>
          </m:e>
          <m:sub>
            <m:r>
              <w:rPr>
                <w:rFonts w:ascii="Cambria Math" w:hAnsi="Cambria Math"/>
              </w:rPr>
              <m:t>g</m:t>
            </m:r>
          </m:sub>
        </m:sSub>
      </m:oMath>
      <w:r>
        <w:t xml:space="preserve"> is the number of candidate sites and </w:t>
      </w:r>
      <m:oMath>
        <m:r>
          <w:rPr>
            <w:rFonts w:ascii="Cambria Math" w:hAnsi="Cambria Math"/>
          </w:rPr>
          <m:t>K</m:t>
        </m:r>
      </m:oMath>
      <w:r>
        <w:t xml:space="preserve"> 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14:paraId="017FD0E5" w14:textId="77777777" w:rsidR="00F614DE" w:rsidRDefault="00000000">
      <w:pPr>
        <w:pStyle w:val="11"/>
      </w:pPr>
      <w:r>
        <w:lastRenderedPageBreak/>
        <w:t>The third is pose reconstruction, the Build bottleneck. After the binding region and chemical identity have been determined, generative docking models such as DiffDock</w:t>
      </w:r>
      <w:r>
        <w:rPr>
          <w:rStyle w:val="MDCITEeJyLdkjOLyrONzIwMk7JTEtLyUOjgUASSgHIA"/>
          <w:vertAlign w:val="superscript"/>
        </w:rPr>
        <w:t>9</w:t>
      </w:r>
      <w:r>
        <w:t xml:space="preserve"> and PocketXMol</w:t>
      </w:r>
      <w:r>
        <w:rPr>
          <w:rStyle w:val="MDCITEeJyLdijIT85OLanIzc-JBQAjrgU"/>
          <w:vertAlign w:val="superscript"/>
        </w:rPr>
        <w:t>10</w:t>
      </w:r>
      <w:r>
        <w:t xml:space="preserve"> usually rely primarily on receptor structures, failing to exploit experimental density to guide pose generation. Conversely, density-only deep learning tools such as Emap2lig-Build</w:t>
      </w:r>
      <w:r>
        <w:rPr>
          <w:rStyle w:val="MDCITEeJyLdijNTSwwyslMjwUAGFAEGg"/>
          <w:vertAlign w:val="superscript"/>
        </w:rPr>
        <w:t>7</w:t>
      </w:r>
      <w:r>
        <w:t xml:space="preserve"> 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eJyLdsgtTc3LLjYyMDJOzU0tSsxJsVZwKMpPSi0qKc7PAwobpKfmFhfklwCFi8tTUNSK4GCJskZQNW5sQDGEBY7"/>
          <w:vertAlign w:val="superscript"/>
        </w:rPr>
        <w:t>11,12,13</w:t>
      </w:r>
      <w:r>
        <w:t>. However, they are computationally slow and remain disconnected from upstream localisation and identity matching.</w:t>
      </w:r>
    </w:p>
    <w:p w14:paraId="1F7D8349" w14:textId="77777777" w:rsidR="00F614DE" w:rsidRDefault="00000000">
      <w:pPr>
        <w:pStyle w:val="11"/>
      </w:pPr>
      <w:r>
        <w:t>To address these bottlenecks and unify localisation, matching and pose reconstruction, we developed LigandSeek, an automated end-to-end framework based on joint density and receptor modelling (</w:t>
      </w:r>
      <w:r>
        <w:rPr>
          <w:rStyle w:val="MDFIGREFeJyrrk7LTC9KTbMCUrr5ZalFZZmp5fFlxjogfm5qSUZ-im6ZZW0tAEHND2w"/>
        </w:rPr>
        <w:t>Figs. 1, 13</w:t>
      </w:r>
      <w:r>
        <w:t>). Across all three stages, the neural networks share a unified representation that jointly encodes the experimental density, receptor-derived simulated and difference densities, and the chemical and geometric environments of receptor atoms.</w:t>
      </w:r>
    </w:p>
    <w:p w14:paraId="2D2253CD" w14:textId="77777777" w:rsidR="00F614DE" w:rsidRDefault="00000000">
      <w:pPr>
        <w:pStyle w:val="11"/>
      </w:pPr>
      <w:r>
        <w:t>LigandSeek follows a three-stage Find–Match–Build workflow:</w:t>
      </w:r>
    </w:p>
    <w:p w14:paraId="18F59B02" w14:textId="77777777" w:rsidR="00F614DE" w:rsidRDefault="00000000">
      <w:pPr>
        <w:numPr>
          <w:ilvl w:val="0"/>
          <w:numId w:val="14"/>
        </w:numPr>
        <w:ind w:firstLine="420"/>
      </w:pPr>
      <w:r>
        <w:t>LigandSeek-Find uses a hybrid point–voxel network to fuse continuous voxel-density representations with geometric and chemical information from the receptor point cloud. It detects three-dimensional ligand regions while balancing precision and recall.</w:t>
      </w:r>
    </w:p>
    <w:p w14:paraId="2148480D" w14:textId="77777777" w:rsidR="00F614DE" w:rsidRDefault="00000000">
      <w:pPr>
        <w:numPr>
          <w:ilvl w:val="0"/>
          <w:numId w:val="14"/>
        </w:numPr>
        <w:ind w:firstLine="420"/>
      </w:pPr>
      <w:r>
        <w:t>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14:paraId="6D00CBE9" w14:textId="77777777" w:rsidR="00F614DE" w:rsidRDefault="00000000">
      <w:pPr>
        <w:numPr>
          <w:ilvl w:val="0"/>
          <w:numId w:val="14"/>
        </w:numPr>
        <w:ind w:firstLine="420"/>
      </w:pPr>
      <w:r>
        <w:t>LigandSeek-Build fine-tunes the generative model PocketXMol with local density conditioning. This enables generated poses to satisfy both experimental density contours and pocket chemical constraints, thereby improving sampling accuracy.</w:t>
      </w:r>
    </w:p>
    <w:p w14:paraId="529BA025" w14:textId="77777777" w:rsidR="00F614DE" w:rsidRDefault="00000000">
      <w:pPr>
        <w:pStyle w:val="FirstParagraph"/>
      </w:pPr>
      <w:r>
        <w:t xml:space="preserve">We evaluated the framework on 179 complexes comprising 2,502 ligand instances. Under blind evaluation conditions, only receptors modelled de novo by CryoAtom2 were used, with no deposited </w:t>
      </w:r>
      <w:r>
        <w:lastRenderedPageBreak/>
        <w:t xml:space="preserve">receptor structures provided as input. All three LigandSeek components outperformed their respective baselines. Find achieved a </w:t>
      </w:r>
      <m:oMath>
        <m:sSubSup>
          <m:sSubSupPr>
            <m:ctrlPr>
              <w:rPr>
                <w:rFonts w:ascii="Cambria Math" w:hAnsi="Cambria Math"/>
              </w:rPr>
            </m:ctrlPr>
          </m:sSubSupPr>
          <m:e>
            <m:r>
              <m:rPr>
                <m:sty m:val="p"/>
              </m:rPr>
              <w:rPr>
                <w:rFonts w:ascii="Cambria Math" w:hAnsi="Cambria Math"/>
              </w:rPr>
              <m:t>PRAUC</m:t>
            </m:r>
          </m:e>
          <m:sub>
            <m:r>
              <w:rPr>
                <w:rFonts w:ascii="Cambria Math" w:hAnsi="Cambria Math"/>
              </w:rPr>
              <m:t>0.3</m:t>
            </m:r>
          </m:sub>
          <m:sup>
            <m:r>
              <m:rPr>
                <m:sty m:val="p"/>
              </m:rPr>
              <w:rPr>
                <w:rFonts w:ascii="Cambria Math" w:hAnsi="Cambria Math"/>
              </w:rPr>
              <m:t>instance</m:t>
            </m:r>
          </m:sup>
        </m:sSubSup>
      </m:oMath>
      <w:r>
        <w:t xml:space="preserve"> of 0.541, compared with 0.269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p w14:paraId="375B7C4A" w14:textId="77777777" w:rsidR="00F614DE" w:rsidRDefault="00000000">
      <w:pPr>
        <w:pStyle w:val="1"/>
      </w:pPr>
      <w:bookmarkStart w:id="2" w:name="overview-of-ligandseek"/>
      <w:bookmarkEnd w:id="1"/>
      <w:r>
        <w:lastRenderedPageBreak/>
        <w:t>Overview of LigandSeek</w:t>
      </w:r>
    </w:p>
    <w:p w14:paraId="4BBBFC59" w14:textId="77777777" w:rsidR="00F614DE" w:rsidRDefault="00000000">
      <w:pPr>
        <w:keepNext/>
        <w:spacing w:after="0" w:line="240" w:lineRule="auto"/>
        <w:ind w:firstLine="0"/>
        <w:jc w:val="center"/>
      </w:pPr>
      <w:r>
        <w:rPr>
          <w:noProof/>
        </w:rPr>
        <w:drawing>
          <wp:inline distT="0" distB="0" distL="0" distR="0" wp14:anchorId="2D97A28A" wp14:editId="0441C0E5">
            <wp:extent cx="5604605" cy="2286000"/>
            <wp:effectExtent l="0" t="0" r="0" b="0"/>
            <wp:docPr id="36" name="Picture" descr="Fig. 1 | Find–Match–Build workflow of LigandSeek for automated ligand modelling. LigandSeek-Find (Find) uses an experimental cryo-electron microscopy (cryo-EM) density map and a receptor structure, supplied directly or reconstructed by CryoAtom2. Candidate ligand identities are provided as SMILES for LigandSeek-Match (Match). Match filters false-positive regions and assigns identities to valid candidates. B1 and B2 illustrate distinct sites assigned the same identity, whereas B3 is rejected. LigandSeek-Build (Build) combines the site, identity, receptor and local density to reconstruct all-atom ligand poses. Structural examples show A1AP0 in 9BJJ (E:1001), CLR in 9LLG (R:603), ATP in 30GA (L:401) and FAD in 9WUP (A:1103). These examples use deposited receptors, with predicted ligands shown as teal sticks. Blob placement and identity connections illustrate the workflow." title="MDPPTFIG_eJzVVs1uGzcQfpWBTjJgayU5SuNFGkBW7CCBHAh2gh66hUFxKYk1lySW1F-aArm1RZFeWvTSB2hPeYAGaN6laH4eozPkrqTAOQTtoagBmUPO8JvfHc5XDcv8rJFC4-1PL1__8kfy5tnLd79-i1TLWr9q7EOjFM6ohchJaJBm2WMnSpdlnd5R5yjL7gp35Y3Nsncvfn_z8zfvnn_39rdXWRbRsuw6nGaFIKiJnB6YhSgXUiwvF4fEyqWziq0vlzKPNvVaPamJw5n10ujLgpVXc4uszxu3l6mFVaG0S5efZo2Z9zZNEsdnomCuZazQyJyYsmAet-U0WZoyt6Xhwjmpp4VKuu32zaRgUmeNO4Q2KsNy4ddKwDJdMIW49ws2FYOonuSSWoJkr4SwD8XKb6TblUjNqIWGUgu34VS7Zeos42gLXld4hPe7NxCh2p7PFR2xuTcVaiVON6XOUWwiS-eH8WqtGjnRyuhO_FfRp0Z7h_eY41LindfPf8Cc_fXy1esX3we9gjnfd5J9iDfra3f9UtAVgUnFOOzHgRxEj8OKxj_ZRKlzq3boSbwezfOUzuAk-WOx7rA6BIqeymkLOvAUTtG5P5_9eMY8n-F6PJcKw2DKq4kySzATGMop0_mFEFeAqQeKHeZf5KACAwqTC4XBnbZIr4_a_4Mw_YtgwP_W8m1yDiiR0KT_ezB3wgHTIFZWlLIQ2jMFvFybA6EE96XRUEheGseNXUMzcE7O9iAXaK5fQ8EsUG4ZlIIL6zHvzpdz7uel2Ac3t1ZJrIBcIturNSAfKaOjEHLGaxggaB9rpduCAWLJHIumrhmJirz0kqwsBWALWeAR6nNwcXZ_eHIRSm3HuVCe0AzLXgvidiKVx74JE6acOLAGTZcLgZZMsbG46AA2pinSOwq9AYy1zIHXVrkWHHeC-HEXpFJzdIOMxd7ppeYeEJgsDVhopZ8JcNhya9T1PixnosQ6gONDkA4t-FJQGFq7LsQvqxmWPeCmGFPLimCIv7-Dtgk62aQMx-TVmUHrdyINTKkDhkGuA4tBIHcuqmThRbFihVWoyM3we-53-qM2SA1Hxw8eQPMk7bTbnb19GAzPw-lweA-a5-nN9iEe9h-N6PCwfa8PzWF6AyWDRaf9u0H4s8cjaPbTTgelW_BohlW5VYcliEaHpGDIao8chkr6GWZc5JJvu0g0T1MBeIFWY-D5FeVFmTHgA8YFFTHs1M4aQ6g1hjnkeidrFNC6f73fkqiD32l8gW_f5s1r9NrdI3y0Vp2jXqfb7j69bSVP8Vc9g-yjnsG8ZMtr71-FgFj_BAOv0ce2gSk_CsRMJpKLu4bPKVwRqRSKhSDNpHXUXchDvRhJTr2FNvzhYlRishwnLYM0CeNIEqaRpBpGkt1ZJPGisOimnuMVaf0lDh5orLvs6ml76la3knhw2aa_TsvqKToic0Q__AQpmleQHtU-Ymo2dmxNigYyiuDQYDWANoMZ01PRL0uDHxzLHXVMwqsZzmJBxEPE3F7dURBRk2tBGCtpT7GMSCPR4X4kWIqlJbDjEIlNR52jlsB_b7MRSt7Ho53D0QHGyzN8K3fmD5auJmVBKyYOVnHigPVm8gjnxKZ5iBO_KleU4iRWVW0lHIajZAtqcZK5J7A5EIHS1KyjWrYYuii7pWpp4msTTU-2JEuVBpoKj3rdXkT5oBTl5STMSzs0Sz2Tqj7epZWu4uXsJi_4u9P4-m8cFxcE"/>
            <wp:cNvGraphicFramePr/>
            <a:graphic xmlns:a="http://schemas.openxmlformats.org/drawingml/2006/main">
              <a:graphicData uri="http://schemas.openxmlformats.org/drawingml/2006/picture">
                <pic:pic xmlns:pic="http://schemas.openxmlformats.org/drawingml/2006/picture">
                  <pic:nvPicPr>
                    <pic:cNvPr id="37" name="Picture" descr="C:/Users/15919/Desktop/论文草稿/temp/manuscript_figures_2ng0gsx8/figure_000001.png"/>
                    <pic:cNvPicPr>
                      <a:picLocks noChangeAspect="1" noChangeArrowheads="1"/>
                    </pic:cNvPicPr>
                  </pic:nvPicPr>
                  <pic:blipFill>
                    <a:blip r:embed="rId7"/>
                    <a:stretch>
                      <a:fillRect/>
                    </a:stretch>
                  </pic:blipFill>
                  <pic:spPr bwMode="auto">
                    <a:xfrm>
                      <a:off x="0" y="0"/>
                      <a:ext cx="5644244" cy="2302168"/>
                    </a:xfrm>
                    <a:prstGeom prst="rect">
                      <a:avLst/>
                    </a:prstGeom>
                    <a:noFill/>
                    <a:ln w="9525">
                      <a:noFill/>
                      <a:headEnd/>
                      <a:tailEnd/>
                    </a:ln>
                  </pic:spPr>
                </pic:pic>
              </a:graphicData>
            </a:graphic>
          </wp:inline>
        </w:drawing>
      </w:r>
    </w:p>
    <w:p w14:paraId="05CCB788" w14:textId="77777777" w:rsidR="00F614DE" w:rsidRDefault="00000000">
      <w:pPr>
        <w:pStyle w:val="ImageCaption"/>
        <w:keepLines/>
        <w:spacing w:line="240" w:lineRule="auto"/>
        <w:ind w:firstLine="0"/>
      </w:pPr>
      <w:r>
        <w:rPr>
          <w:rFonts w:ascii="华文仿宋" w:eastAsia="华文仿宋" w:hAnsi="华文仿宋"/>
          <w:b/>
          <w:bCs/>
          <w:sz w:val="18"/>
        </w:rPr>
        <w:t>Fig. 1 | Find–Match–Build workflow of LigandSeek for automated ligand modelling.</w:t>
      </w:r>
      <w:r>
        <w:rPr>
          <w:rFonts w:ascii="华文仿宋" w:eastAsia="华文仿宋" w:hAnsi="华文仿宋"/>
          <w:sz w:val="18"/>
        </w:rPr>
        <w:t xml:space="preserve"> LigandSeek-Find (Find) uses an experimental cryo-electron microscopy (cryo-EM) density map and a receptor structure, supplied directly or reconstructed by CryoAtom2. Candidate ligand identities are provided as SMILES for LigandSeek-Match (Match). Match filters false-positive regions and assigns identities to valid candidates. B1 and B2 illustrate distinct sites assigned the same identity, whereas B3 is rejected. LigandSeek-Build (Build) combines the site, identity, receptor and local density to reconstruct all-atom ligand poses. Structural examples show A1AP0 in 9BJJ (E:1001), CLR in 9LLG (R:603), ATP in 30GA (L:401) and FAD in 9WUP (A:1103). These examples use deposited receptors, with predicted ligands shown as teal sticks. Blob placement and identity connections illustrate the workflow.</w:t>
      </w:r>
    </w:p>
    <w:p w14:paraId="19A97DAD" w14:textId="77777777" w:rsidR="00F614DE" w:rsidRDefault="00000000">
      <w:pPr>
        <w:pStyle w:val="11"/>
      </w:pPr>
      <w:r>
        <w:t>LigandSeek is an automated three-stage framework that reconstructs all-atom ligand poses from experimental cryo-EM density maps (</w:t>
      </w:r>
      <w:r>
        <w:rPr>
          <w:rStyle w:val="MDFIGREFeJyrrk7LTC9KTbMCUrr5ZalFZZmp5fFlxjogfm5qSUZ-im6ZZW0tAEHND2w"/>
        </w:rPr>
        <w:t>Figs. 1, 13</w:t>
      </w:r>
      <w:r>
        <w:t>). Inputs comprise an experimental cryo-EM density map, a receptor structure, and candidate ligand identities represented by SMILES strings</w:t>
      </w:r>
      <w:r>
        <w:rPr>
          <w:rStyle w:val="MDCITEeJyLdihPzczLzEtPLTK0tLAozs3MSS2OBQBdrwgo"/>
          <w:vertAlign w:val="superscript"/>
        </w:rPr>
        <w:t>14</w:t>
      </w:r>
      <w:r>
        <w:t>. The receptor can be a deposited structure or a model reconstructed automatically from the density map by CryoAtom2</w:t>
      </w:r>
      <w:r>
        <w:rPr>
          <w:rStyle w:val="MDCITEeJyLdkguqsxPLMnPNYo3MjAyjQUAOC8FwQ"/>
          <w:vertAlign w:val="superscript"/>
        </w:rPr>
        <w:t>4</w:t>
      </w:r>
      <w:r>
        <w:t>.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14:paraId="16472234" w14:textId="77777777" w:rsidR="00F614DE" w:rsidRDefault="00000000">
      <w:pPr>
        <w:pStyle w:val="11"/>
      </w:pPr>
      <w:r>
        <w:t>In the first stage, LigandSeek-Find (hereafter Find) uses a hybrid point–voxel network to locate candidate ligand regions (blobs) and extract auxiliary features (</w:t>
      </w:r>
      <w:r>
        <w:rPr>
          <w:rStyle w:val="MDFIGREFeJyrrk7LTC9KTbMCUrq5qSUZ-Sm6ZZY1ibW1AIsrCjs"/>
        </w:rPr>
        <w:t>Fig. 13a</w:t>
      </w:r>
      <w:r>
        <w:t>). A receptor embedding head encodes atom representations, projects them onto the voxel grid and supplies processed atom tokens to the point-cloud branch. In the voxel branch, a 3D U-Net</w:t>
      </w:r>
      <w:r>
        <w:rPr>
          <w:rStyle w:val="MDCITEeJyLdkjOTE7NNjIwNDNOKc1LLYkFADgBhQ"/>
          <w:vertAlign w:val="superscript"/>
        </w:rPr>
        <w:t>15</w:t>
      </w:r>
      <w:r>
        <w:t xml:space="preserve"> combines the density bank with projected receptor-atom features to predict voxelwise ligand-region probabilities and auxiliary features. In the point-</w:t>
      </w:r>
      <w:r>
        <w:lastRenderedPageBreak/>
        <w:t>cloud branch, Point Transformer V3</w:t>
      </w:r>
      <w:r>
        <w:rPr>
          <w:rStyle w:val="MDCITEeJyLdigvNTIwMikoKTOOBQAdWAQ6"/>
          <w:vertAlign w:val="superscript"/>
        </w:rPr>
        <w:t>16</w:t>
      </w:r>
      <w:r>
        <w:t xml:space="preserve"> encodes receptor-atom representations and integrates multiscale voxel features through learnable neighbourhood sampling. An AlphaFold3-style</w:t>
      </w:r>
      <w:r>
        <w:rPr>
          <w:rStyle w:val="MDCITEeJyLdkhMKkrMLc7PMzIwMknMKchITMvPSTGOBQB0aQjy"/>
          <w:vertAlign w:val="superscript"/>
        </w:rPr>
        <w:t>17</w:t>
      </w:r>
      <w:r>
        <w:t xml:space="preserve"> recycling mechanism iteratively refines representations across both branches. Find operates on </w:t>
      </w:r>
      <m:oMath>
        <m:sSup>
          <m:sSupPr>
            <m:ctrlPr>
              <w:rPr>
                <w:rFonts w:ascii="Cambria Math" w:hAnsi="Cambria Math"/>
              </w:rPr>
            </m:ctrlPr>
          </m:sSupPr>
          <m:e>
            <m:r>
              <w:rPr>
                <w:rFonts w:ascii="Cambria Math" w:hAnsi="Cambria Math"/>
              </w:rPr>
              <m:t>80</m:t>
            </m:r>
          </m:e>
          <m:sup>
            <m:r>
              <w:rPr>
                <w:rFonts w:ascii="Cambria Math" w:hAnsi="Cambria Math"/>
              </w:rPr>
              <m:t>3</m:t>
            </m:r>
          </m:sup>
        </m:sSup>
      </m:oMath>
      <w:r>
        <w:t xml:space="preserve"> voxel crops, combining overlapping predictions through sliding-window inference to obtain a whole-map probability map. The inference process, comprising thresholding, connected-component analysis, and filtering, subsequently yields candidate blobs for Match.</w:t>
      </w:r>
    </w:p>
    <w:p w14:paraId="41F7DBE3" w14:textId="77777777" w:rsidR="00F614DE" w:rsidRDefault="00000000">
      <w:pPr>
        <w:pStyle w:val="11"/>
      </w:pPr>
      <w:r>
        <w:t>In the second stage, LigandSeek-Match (hereafter Match) assigns chemical identities to candidate blobs and classifies them as foreground or background to exclude residual false positives (</w:t>
      </w:r>
      <w:r>
        <w:rPr>
          <w:rStyle w:val="MDFIGREFeJyrrk7LTC9KTbMCUrq5qSUZ-Sm6ZZY1SbW1AIsuCjw"/>
        </w:rPr>
        <w:t>Fig. 13b</w:t>
      </w:r>
      <w:r>
        <w:t xml:space="preserve">). It supports organic small molecules, metal ions, sugars and other ligand classes. Match pairs a candidate encoder with an identity encoder in a cross-modal architecture. For each candidate blob, the candidate encoder applies a 3D U-Net to a local </w:t>
      </w:r>
      <m:oMath>
        <m:sSup>
          <m:sSupPr>
            <m:ctrlPr>
              <w:rPr>
                <w:rFonts w:ascii="Cambria Math" w:hAnsi="Cambria Math"/>
              </w:rPr>
            </m:ctrlPr>
          </m:sSupPr>
          <m:e>
            <m:r>
              <w:rPr>
                <w:rFonts w:ascii="Cambria Math" w:hAnsi="Cambria Math"/>
              </w:rPr>
              <m:t>48</m:t>
            </m:r>
          </m:e>
          <m:sup>
            <m:r>
              <w:rPr>
                <w:rFonts w:ascii="Cambria Math" w:hAnsi="Cambria Math"/>
              </w:rPr>
              <m:t>3</m:t>
            </m:r>
          </m:sup>
        </m:sSup>
      </m:oMath>
      <w:r>
        <w:t xml:space="preserve"> voxel crop to obtain a base voxel summary. Mean and maximum pooling, cross-attention and feature-wise linear modulation (FiLM)</w:t>
      </w:r>
      <w:r>
        <w:rPr>
          <w:rStyle w:val="MDCITEeJyLdihILUqtMjIwtEjLzMmNBQAvOgWS"/>
          <w:vertAlign w:val="superscript"/>
        </w:rPr>
        <w:t>18</w:t>
      </w:r>
      <w:r>
        <w:t xml:space="preserve"> integrate surrounding pocket atoms, blob features and auxiliary features from Find into the final candidate representation. In parallel, the identity encoder processes user-provided SMILES strings within the same PDB entry. Using SMI-TED</w:t>
      </w:r>
      <w:r>
        <w:rPr>
          <w:rStyle w:val="MDCITEeJyLdijOTyxKLTYyMDItzs0sSU2JBQBDqwbV"/>
          <w:vertAlign w:val="superscript"/>
        </w:rPr>
        <w:t>19</w:t>
      </w:r>
      <w:r>
        <w:t xml:space="preserve"> language representations as queries, it applies graph attention over RDKit-derived molecular graphs encoded by a graph neural network (GNN). Context attention incorporates information from co-occurring ligand identities, and these signals are fused into each identity representation. A foreground head predicts the foreground probability of each candidate, while cosine scoring over learned linear projections generates the candidate-to-identity matching score matrix.</w:t>
      </w:r>
    </w:p>
    <w:p w14:paraId="5CBB79BE" w14:textId="77777777" w:rsidR="00F614DE" w:rsidRDefault="00000000">
      <w:pPr>
        <w:pStyle w:val="11"/>
      </w:pPr>
      <w:r>
        <w:t>In the third stage, LigandSeek-Build (hereafter Build) receives the binding site located by Find and the SMILES identity assigned by Match (</w:t>
      </w:r>
      <w:r>
        <w:rPr>
          <w:rStyle w:val="MDFIGREFeJyrrk7LTC9KTbMCUrq5qSUZ-Sm6ZZY1ybW1AIsxCj0"/>
        </w:rPr>
        <w:t>Fig. 13c</w:t>
      </w:r>
      <w:r>
        <w:t>). It combines these inputs with the surrounding receptor pocket and local density to reconstruct an all-atom ligand pose. Its default engine for organic small molecules, density-guided PocketXMol (DG-PocketXMol), adapts the generative model PocketXMol</w:t>
      </w:r>
      <w:r>
        <w:rPr>
          <w:rStyle w:val="MDCITEeJyLdijIT85OLanIzc-JBQAjrgU"/>
          <w:vertAlign w:val="superscript"/>
        </w:rPr>
        <w:t>10</w:t>
      </w:r>
      <w:r>
        <w:t xml:space="preserve"> 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eJyLdigpyi8pMTIwNCjLzEuMBQAwbgWn"/>
          <w:vertAlign w:val="superscript"/>
        </w:rPr>
        <w:t>20</w:t>
      </w:r>
      <w:r>
        <w:t>, DiffDock</w:t>
      </w:r>
      <w:r>
        <w:rPr>
          <w:rStyle w:val="MDCITEeJyLdkjOLyrONzIwMk7JTEtLyUOjgUASSgHIA"/>
          <w:vertAlign w:val="superscript"/>
        </w:rPr>
        <w:t>9</w:t>
      </w:r>
      <w:r>
        <w:t xml:space="preserve"> and EMERALD</w:t>
      </w:r>
      <w:r>
        <w:rPr>
          <w:rStyle w:val="MDCITEeJyLdsgtTc3LLjYyMDJOzU0tSsxJiQUASqEHLQ"/>
          <w:vertAlign w:val="superscript"/>
        </w:rPr>
        <w:t>11</w:t>
      </w:r>
      <w:r>
        <w:t>.</w:t>
      </w:r>
    </w:p>
    <w:p w14:paraId="1F3A458B" w14:textId="77777777" w:rsidR="00F614DE" w:rsidRDefault="00000000">
      <w:pPr>
        <w:pStyle w:val="1"/>
      </w:pPr>
      <w:bookmarkStart w:id="3" w:name="results"/>
      <w:bookmarkEnd w:id="2"/>
      <w:r>
        <w:lastRenderedPageBreak/>
        <w:t>Results</w:t>
      </w:r>
    </w:p>
    <w:p w14:paraId="198A9EF8" w14:textId="77777777" w:rsidR="00F614DE" w:rsidRDefault="00000000">
      <w:pPr>
        <w:pStyle w:val="2"/>
      </w:pPr>
      <w:bookmarkStart w:id="4" w:name="X9497fdd810c5493d41625124eb25d30fb387f27"/>
      <w:r>
        <w:t>LigandSeek-Find improves ligand-region detection</w:t>
      </w:r>
    </w:p>
    <w:p w14:paraId="76014FC8" w14:textId="77777777" w:rsidR="00F614DE" w:rsidRDefault="00000000">
      <w:pPr>
        <w:pStyle w:val="FirstParagraph"/>
      </w:pPr>
      <w:r>
        <w:t>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eJyLdijNTSwwyslMjwUAGFAEGg"/>
          <w:vertAlign w:val="superscript"/>
        </w:rPr>
        <w:t>7</w:t>
      </w:r>
      <w:r>
        <w:t>, supplied with the EMDB-recommended contour level.</w:t>
      </w:r>
    </w:p>
    <w:p w14:paraId="2B5E94A2" w14:textId="77777777" w:rsidR="00F614DE" w:rsidRDefault="00000000">
      <w:pPr>
        <w:pStyle w:val="11"/>
      </w:pPr>
      <w:r>
        <w:t>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w:t>
      </w:r>
    </w:p>
    <w:p w14:paraId="6678D0C2" w14:textId="77777777" w:rsidR="00F614DE" w:rsidRDefault="00000000">
      <w:pPr>
        <w:pStyle w:val="11"/>
      </w:pPr>
      <w:r>
        <w:t xml:space="preserve">—————————— </w:t>
      </w:r>
      <w:r>
        <w:rPr>
          <w:rFonts w:hint="eastAsia"/>
        </w:rPr>
        <w:t>【改到这里】——————————</w:t>
      </w:r>
    </w:p>
    <w:p w14:paraId="43ED8E60" w14:textId="77777777" w:rsidR="00F614DE" w:rsidRDefault="00000000">
      <w:pPr>
        <w:pStyle w:val="11"/>
      </w:pPr>
      <w:r>
        <w:t xml:space="preserve">With CA2 receptors, mean Dice increased from 0.247 for Emap2lig-Find to 0.477, and instance-level </w:t>
      </w:r>
      <m:oMath>
        <m:sSub>
          <m:sSubPr>
            <m:ctrlPr>
              <w:rPr>
                <w:rFonts w:ascii="Cambria Math" w:hAnsi="Cambria Math"/>
              </w:rPr>
            </m:ctrlPr>
          </m:sSubPr>
          <m:e>
            <m:r>
              <m:rPr>
                <m:sty m:val="p"/>
              </m:rPr>
              <w:rPr>
                <w:rFonts w:ascii="Cambria Math" w:hAnsi="Cambria Math"/>
              </w:rPr>
              <m:t>PRAUC</m:t>
            </m:r>
          </m:e>
          <m:sub>
            <m:r>
              <w:rPr>
                <w:rFonts w:ascii="Cambria Math" w:hAnsi="Cambria Math"/>
              </w:rPr>
              <m:t>0.3</m:t>
            </m:r>
          </m:sub>
        </m:sSub>
      </m:oMath>
      <w:r>
        <w:t xml:space="preserve"> increased from 0.269 to 0.541 (</w:t>
      </w:r>
      <w:r>
        <w:rPr>
          <w:rStyle w:val="MDFIGREFeJyrrk7LTC9KTbMqLklMTzXUzS9LLUrMydEtSC1KyyKTcxLTq1JrK0FADSD6E"/>
        </w:rPr>
        <w:t>Fig. 2a</w:t>
      </w:r>
      <w:r>
        <w:t xml:space="preserve">). With GT receptors, LigandSeek-Find achieved a mean Dice of 0.584 and an instance-level </w:t>
      </w:r>
      <m:oMath>
        <m:sSub>
          <m:sSubPr>
            <m:ctrlPr>
              <w:rPr>
                <w:rFonts w:ascii="Cambria Math" w:hAnsi="Cambria Math"/>
              </w:rPr>
            </m:ctrlPr>
          </m:sSubPr>
          <m:e>
            <m:r>
              <m:rPr>
                <m:sty m:val="p"/>
              </m:rPr>
              <w:rPr>
                <w:rFonts w:ascii="Cambria Math" w:hAnsi="Cambria Math"/>
              </w:rPr>
              <m:t>PRAUC</m:t>
            </m:r>
          </m:e>
          <m:sub>
            <m:r>
              <w:rPr>
                <w:rFonts w:ascii="Cambria Math" w:hAnsi="Cambria Math"/>
              </w:rPr>
              <m:t>0.3</m:t>
            </m:r>
          </m:sub>
        </m:sSub>
      </m:oMath>
      <w:r>
        <w:t xml:space="preserve"> of 0.663. The advantage persisted for small molecules, with corresponding PRAUC scores of 0.573 for CA2 and 0.701 for GT, compared with 0.483 for Emap2lig-Find (</w:t>
      </w:r>
      <w:r>
        <w:rPr>
          <w:rStyle w:val="MDFIGREFeJyrrk7LTC9KTbMqLklMTzXUzS9LLUrMydEtSC1KyyKTcxLTq1Jqa0FADTID6Q"/>
        </w:rPr>
        <w:t>Fig. 2d</w:t>
      </w:r>
      <w:r>
        <w:t>).</w:t>
      </w:r>
    </w:p>
    <w:p w14:paraId="0B7BC1EF" w14:textId="77777777" w:rsidR="00F614DE" w:rsidRDefault="00000000">
      <w:pPr>
        <w:keepNext/>
        <w:spacing w:after="0" w:line="240" w:lineRule="auto"/>
        <w:ind w:firstLine="0"/>
        <w:jc w:val="center"/>
      </w:pPr>
      <w:r>
        <w:rPr>
          <w:noProof/>
        </w:rPr>
        <w:lastRenderedPageBreak/>
        <w:drawing>
          <wp:inline distT="0" distB="0" distL="0" distR="0" wp14:anchorId="0CEA20F1" wp14:editId="0CFE83E9">
            <wp:extent cx="5731510" cy="4757366"/>
            <wp:effectExtent l="0" t="0" r="0" b="0"/>
            <wp:docPr id="40" name="Picture" descr="Fig. 2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d,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b, e, Paired semantic Dice comparisons between LigandSeek-Find (CA2) and Emap2lig-Find. Each point represents one PDB entry; colours indicate map resolution, and dashed lines indicate equal scores. Higher/equal/lower counts are 141/15/23 and 68/7/19 for all ligands and small molecules, respectively. c, f, Instance-level precision and recall for all ligands and small molecules, respectively, at a bidirectional coverage threshold of 0.3. Violins show distributions, faint points show individual PDB entries, and white circles and thick lines indicate medians and interquartile ranges." title="MDPPTFIG_eJztWc1uGzcQfhVCQIEGkLRaxbItJQ2gyHYbwG2FpOmlWxgUd6QlzF2yJPWXpueiKNJLi15a9NxTHqABmpdpfh6jM8uVrNg5JOmhVmADsvgz_GbImf04O_q2ZrjPaj1We_HLk2e__R05zycQv3jy8_M_fm8a4xe1OqtZcFrNICW5QS9J7juwLkniTjfuJskBuFOvTZK8fPzX81-_f_nohxd_Pk2SAJgkr0UseA6EFiYbegaWK9UwYMfa5rwQQFKCGy91cZJzezo1KP9V7ea8Z9giV4XrzT9Kapn3phdFTmSQc9fUBgqcLDE8du0kmmubGqsFOCeLSa6idqu1G-VcFkntFqENbfl1zy8VsHlvxhXi3snRrkFQT3LRSoJkTwHMsSzAleMbvXnPGS5QDeIoHEKg9k4rqVXdu1NFQ3zqdYVZidNKWaQoNpbW-eOwtFUJ4UwwIFga_lXtI114h-u4E1LimmePfkIX_PPk6bPHP5Z6gTvfd5K_bi7rF-7iolJXACYVo7I_KpuDsOPyG41_sD6ueH-1oQdheTDPk6fKTdJ-DIYR2Bmg6JGcNFmbPWSfB8ezDcczPWZKTniRNixM8PxZCh4EeaJJ2D5o-B-O4j9smG2t5celK-4BnDaOKEanDhx6xGgnPaTMggDjtXXsw4-_uMa0ZQO71H2v8za6T-jCeTsV5yQH_fY1hqhMOiZ0brjF-bn0GfMZIDjuyC8bulBLloPPdMoOc27aGBWlDU3Wx5AJMRIArHTA4r0uGx7cZlB4K9FIUtCud1ptJtEKCi13g7mcwi3XCgQ-jRuruzsXFu-347OlV7F3mQiEb6036ltr-fsYR-nWeqPO7mHKU3gp2IEUUA98WrFVQ8EMFBve7d8fMO4ZZyOZShtuUa6Q9ejenQDyLSJmWqV067aa1-sMr2HGN-iVYM-RZh253BkCQyXLJrvNbZDLtJUPcG-ogVI2xxB6TrTagG-mNAi8QA4eY_LlmdGSjrcUQVKXM5mSzAYJN9mhtWjOiPBLuW7nA5T1eARcOTa2Omdxq95qtcplI609XjfckH08N-qKtS_X0zbaWm9csfZliiPYWm_U2ZBLynbdJnlXSbB0mC6zEfg5QMHOJ95nWfO5ZPiQiyywKfJeqYsOQBew5tLlDdSg9BRplJhWcA9I0CVNajWlOyFcHyl3GdpG76obkoG7ndCWKPkTOcnARuVgpPQcLGJPSSNm8SzeiaO4E7Wvl3i7-9FeFHff4U7ZWge_j4-b2FpvXNH2ZYqj8dZ6o87uvJpZ45yQjopTxGXYITJ7a5qrv1Vu3mRfSo3cXOXCqcRcV45K-kbcN02qA9PPM4nMLqQVqip2-EyK0_PUn0MqMWWv3i0w70bWt14qYJYXk_PpNdUob9W-rrPaumBb6-xdjztxa7Gzh63d3Yc3jRQ9_FQ1XP5GNdzU8vmF4m2FgFjvgoHL_NTCGsa-EYgej_G6PtBimuNxBiQLipc-yKRxFFa0w2I2lIKCijris9nQshScIC2DXlTWz6OyfB5V1fNos3geecgNbrOY4hJp_MlYTtBYd9IuJq2JW-xHYeCkRX_tpikmuBGZIvpOjC2qrmN7uNojumZtx5lJwUBOJ3isBb6tFXqQkVv7-NY1z4Cnjh4VwltNlKEbBhHzbOmGgoAaXTiEkZLmSCpFGqldrg8N3sNIBi8yao5R5i5qKedf6ayFolfxqOcMnvBo_qlONyvsvLcY25y-0XFsEWrqbLmurZfjNA0LzwTNV-GKUoLEqqithFGq_F6BGuv8x4DvoNRAaXqGg1o-O3ZB9qy1kqb5QgfTo7Mm76mC0U8a3U67E1BeK0V-OSx_Edho857nUq2GN9uqqM7LmbVf8HOr9t2_TLPlkA"/>
            <wp:cNvGraphicFramePr/>
            <a:graphic xmlns:a="http://schemas.openxmlformats.org/drawingml/2006/main">
              <a:graphicData uri="http://schemas.openxmlformats.org/drawingml/2006/picture">
                <pic:pic xmlns:pic="http://schemas.openxmlformats.org/drawingml/2006/picture">
                  <pic:nvPicPr>
                    <pic:cNvPr id="41" name="Picture" descr="C:/Users/15919/Desktop/论文草稿/temp/manuscript_figures_2ng0gsx8/figure_000002.png"/>
                    <pic:cNvPicPr>
                      <a:picLocks noChangeAspect="1" noChangeArrowheads="1"/>
                    </pic:cNvPicPr>
                  </pic:nvPicPr>
                  <pic:blipFill>
                    <a:blip r:embed="rId8"/>
                    <a:stretch>
                      <a:fillRect/>
                    </a:stretch>
                  </pic:blipFill>
                  <pic:spPr bwMode="auto">
                    <a:xfrm>
                      <a:off x="0" y="0"/>
                      <a:ext cx="5731510" cy="4757366"/>
                    </a:xfrm>
                    <a:prstGeom prst="rect">
                      <a:avLst/>
                    </a:prstGeom>
                    <a:noFill/>
                    <a:ln w="9525">
                      <a:noFill/>
                      <a:headEnd/>
                      <a:tailEnd/>
                    </a:ln>
                  </pic:spPr>
                </pic:pic>
              </a:graphicData>
            </a:graphic>
          </wp:inline>
        </w:drawing>
      </w:r>
    </w:p>
    <w:p w14:paraId="25CBA520" w14:textId="77777777" w:rsidR="00F614DE" w:rsidRDefault="00000000">
      <w:pPr>
        <w:pStyle w:val="ImageCaption"/>
        <w:keepLines/>
        <w:spacing w:line="240" w:lineRule="auto"/>
        <w:ind w:firstLine="0"/>
      </w:pPr>
      <w:r>
        <w:rPr>
          <w:rFonts w:ascii="华文仿宋" w:eastAsia="华文仿宋" w:hAnsi="华文仿宋"/>
          <w:b/>
          <w:bCs/>
          <w:sz w:val="18"/>
        </w:rPr>
        <w:t>Fig. 2 | Overall performance of ligand-region detection.</w:t>
      </w:r>
      <w:r>
        <w:rPr>
          <w:rFonts w:ascii="华文仿宋" w:eastAsia="华文仿宋" w:hAnsi="华文仿宋"/>
          <w:sz w:val="18"/>
        </w:rPr>
        <w:t xml:space="preserve"> LigandSeek-Find uses deposited receptors (GT) or CryoAtom2-reconstructed receptors (CA2) and is compared with the density-only method Emap2lig-Find. All ligands comprise 179 PDB entries and 2,502 instances; small molecules comprise 94 PDB entries and 821 instances. </w:t>
      </w:r>
      <w:r>
        <w:rPr>
          <w:rFonts w:ascii="华文仿宋" w:eastAsia="华文仿宋" w:hAnsi="华文仿宋"/>
          <w:b/>
          <w:bCs/>
          <w:sz w:val="18"/>
        </w:rPr>
        <w:t>a</w:t>
      </w:r>
      <w:r>
        <w:rPr>
          <w:rFonts w:ascii="华文仿宋" w:eastAsia="华文仿宋" w:hAnsi="华文仿宋"/>
          <w:sz w:val="18"/>
        </w:rPr>
        <w:t xml:space="preserve">, </w:t>
      </w:r>
      <w:r>
        <w:rPr>
          <w:rFonts w:ascii="华文仿宋" w:eastAsia="华文仿宋" w:hAnsi="华文仿宋"/>
          <w:b/>
          <w:bCs/>
          <w:sz w:val="18"/>
        </w:rPr>
        <w:t>d</w:t>
      </w:r>
      <w:r>
        <w:rPr>
          <w:rFonts w:ascii="华文仿宋" w:eastAsia="华文仿宋" w:hAnsi="华文仿宋"/>
          <w:sz w:val="18"/>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w:t>
      </w:r>
      <w:r>
        <w:rPr>
          <w:rFonts w:ascii="华文仿宋" w:eastAsia="华文仿宋" w:hAnsi="华文仿宋"/>
          <w:b/>
          <w:bCs/>
          <w:sz w:val="18"/>
        </w:rPr>
        <w:t>b</w:t>
      </w:r>
      <w:r>
        <w:rPr>
          <w:rFonts w:ascii="华文仿宋" w:eastAsia="华文仿宋" w:hAnsi="华文仿宋"/>
          <w:sz w:val="18"/>
        </w:rPr>
        <w:t xml:space="preserve">, </w:t>
      </w:r>
      <w:r>
        <w:rPr>
          <w:rFonts w:ascii="华文仿宋" w:eastAsia="华文仿宋" w:hAnsi="华文仿宋"/>
          <w:b/>
          <w:bCs/>
          <w:sz w:val="18"/>
        </w:rPr>
        <w:t>e</w:t>
      </w:r>
      <w:r>
        <w:rPr>
          <w:rFonts w:ascii="华文仿宋" w:eastAsia="华文仿宋" w:hAnsi="华文仿宋"/>
          <w:sz w:val="18"/>
        </w:rPr>
        <w:t xml:space="preserve">, Paired semantic Dice comparisons between LigandSeek-Find (CA2) and Emap2lig-Find. Each point represents one PDB entry; colours indicate map resolution, and dashed lines indicate equal scores. Higher/equal/lower counts are 141/15/23 and 68/7/19 for all ligands and small molecules, respectively. </w:t>
      </w:r>
      <w:r>
        <w:rPr>
          <w:rFonts w:ascii="华文仿宋" w:eastAsia="华文仿宋" w:hAnsi="华文仿宋"/>
          <w:b/>
          <w:bCs/>
          <w:sz w:val="18"/>
        </w:rPr>
        <w:t>c</w:t>
      </w:r>
      <w:r>
        <w:rPr>
          <w:rFonts w:ascii="华文仿宋" w:eastAsia="华文仿宋" w:hAnsi="华文仿宋"/>
          <w:sz w:val="18"/>
        </w:rPr>
        <w:t xml:space="preserve">, </w:t>
      </w:r>
      <w:r>
        <w:rPr>
          <w:rFonts w:ascii="华文仿宋" w:eastAsia="华文仿宋" w:hAnsi="华文仿宋"/>
          <w:b/>
          <w:bCs/>
          <w:sz w:val="18"/>
        </w:rPr>
        <w:t>f</w:t>
      </w:r>
      <w:r>
        <w:rPr>
          <w:rFonts w:ascii="华文仿宋" w:eastAsia="华文仿宋" w:hAnsi="华文仿宋"/>
          <w:sz w:val="18"/>
        </w:rPr>
        <w:t>, Instance-level precision and recall for all ligands and small molecules, respectively, at a bidirectional coverage threshold of 0.3. Violins show distributions, faint points show individual PDB entries, and white circles and thick lines indicate medians and interquartile ranges.</w:t>
      </w:r>
    </w:p>
    <w:p w14:paraId="108A720D" w14:textId="77777777" w:rsidR="00F614DE" w:rsidRDefault="00000000">
      <w:pPr>
        <w:pStyle w:val="11"/>
      </w:pPr>
      <w:r>
        <w:t>Paired comparisons confirmed that the advantage extended across individual complexes (</w:t>
      </w:r>
      <w:r>
        <w:rPr>
          <w:rStyle w:val="MDFIGREFeJyrrk7LTC9KTbMqLklMTzXUzS9LLUrMydEtSC1KyyKTcxLTq1J0kmtrQUAUEQMw"/>
        </w:rPr>
        <w:t>Fig. 2b, e</w:t>
      </w:r>
      <w:r>
        <w:t>). With CA2 receptors, LigandSeek-Find scored higher than Emap2lig-Find on 141 complexes, equally on 15 and lower on 23 across all ligands. At the stricter coverage threshold of 0.5, instance-level PRAUC remained higher with both receptor sources, including in the small-molecule subset (Supplementary Fig. 1).</w:t>
      </w:r>
    </w:p>
    <w:p w14:paraId="2A4623C2" w14:textId="77777777" w:rsidR="00F614DE" w:rsidRDefault="00000000">
      <w:pPr>
        <w:pStyle w:val="11"/>
      </w:pPr>
      <w:r>
        <w:lastRenderedPageBreak/>
        <w:t>Across the 179 complexes, each contained an average of 14.0 ground-truth ligand instances, whereas Emap2lig-Find produced an average of 13.8 candidate regions. Its mean instance-level precision was 0.238, compared with 0.631 for LigandSeek-Find with CA2 receptors; mean recall was 0.316 versus 0.594 (</w:t>
      </w:r>
      <w:r>
        <w:rPr>
          <w:rStyle w:val="MDFIGREFeJyrrk7LTC9KTbMqLklMTzXUzS9LLUrMydEtSC1KyyKTcxLTq1Jrq0FADTFD6M"/>
        </w:rPr>
        <w:t>Fig. 2c</w:t>
      </w:r>
      <w:r>
        <w:t>). LigandSeek-Find therefore reduced false positives while recovering more ligand instances, with the same pattern observed for small molecules (</w:t>
      </w:r>
      <w:r>
        <w:rPr>
          <w:rStyle w:val="MDFIGREFeJyrrk7LTC9KTbMqLklMTzXUzS9LLUrMydEtSC1KyyKTcxLTq1Jq60FADTOD6Y"/>
        </w:rPr>
        <w:t>Fig. 2f</w:t>
      </w:r>
      <w:r>
        <w:t>). At the voxel level, additional false-positive density also reduced the overlap measured by Dice.</w:t>
      </w:r>
    </w:p>
    <w:p w14:paraId="5FD68472" w14:textId="77777777" w:rsidR="00F614DE" w:rsidRDefault="00000000">
      <w:pPr>
        <w:pStyle w:val="11"/>
      </w:pPr>
      <w:r>
        <w:t>Emap2lig-Find remained below LigandSeek-Find in semantic Dice, instance-level PRAUC and detection completion. Its highest-ranked candidates retained substantial ligand-detection signal despite the larger final candidate pool. LigandSeek-Find recovered more true instances at both candidate limits, providing a more compact input for downstream identity assignment. Complete detection curves and per-PDB distributions are shown in Supplementary Fig. 2.</w:t>
      </w:r>
    </w:p>
    <w:p w14:paraId="43A3E161" w14:textId="77777777" w:rsidR="00F614DE" w:rsidRDefault="00000000">
      <w:pPr>
        <w:pStyle w:val="2"/>
      </w:pPr>
      <w:bookmarkStart w:id="5" w:name="stage-2"/>
      <w:bookmarkEnd w:id="4"/>
      <w:r>
        <w:t>Stage 2</w:t>
      </w:r>
    </w:p>
    <w:p w14:paraId="010A2986" w14:textId="77777777" w:rsidR="00F614DE" w:rsidRDefault="00000000">
      <w:pPr>
        <w:pStyle w:val="3"/>
      </w:pPr>
      <w:bookmarkStart w:id="6" w:name="stage-2-evaluation-protocol"/>
      <w:r>
        <w:t>Stage 2: Evaluation protocol</w:t>
      </w:r>
    </w:p>
    <w:p w14:paraId="7DE7A0A4" w14:textId="77777777" w:rsidR="00F614DE" w:rsidRDefault="00000000">
      <w:pPr>
        <w:pStyle w:val="FirstParagraph"/>
      </w:pPr>
      <w:r>
        <w:t xml:space="preserve">Let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denote the </w:t>
      </w:r>
      <m:oMath>
        <m:r>
          <w:rPr>
            <w:rFonts w:ascii="Cambria Math" w:hAnsi="Cambria Math"/>
          </w:rPr>
          <m:t>i</m:t>
        </m:r>
      </m:oMath>
      <w:r>
        <w:t xml:space="preserve">-th candidate blob predicted by Find, and let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denote the ground-truth ligand region of instance </w:t>
      </w:r>
      <m:oMath>
        <m:r>
          <w:rPr>
            <w:rFonts w:ascii="Cambria Math" w:hAnsi="Cambria Math"/>
          </w:rPr>
          <m:t>j</m:t>
        </m:r>
      </m:oMath>
      <w:r>
        <w:t xml:space="preserve"> in the same PDB entry. Their bidirectional coverage is defined as:</w:t>
      </w:r>
    </w:p>
    <w:p w14:paraId="3A0A9ECD" w14:textId="77777777" w:rsidR="00F614DE" w:rsidRDefault="00000000">
      <w:pPr>
        <w:pStyle w:val="11"/>
        <w:keepLines/>
        <w:spacing w:before="180" w:after="220" w:line="240" w:lineRule="auto"/>
        <w:ind w:firstLine="0"/>
        <w:jc w:val="center"/>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B</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en>
          </m:f>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G</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den>
          </m:f>
          <m:r>
            <m:rPr>
              <m:sty m:val="p"/>
            </m:rPr>
            <w:rPr>
              <w:rFonts w:ascii="Cambria Math" w:hAnsi="Cambria Math"/>
            </w:rPr>
            <m:t>,</m:t>
          </m:r>
        </m:oMath>
      </m:oMathPara>
    </w:p>
    <w:p w14:paraId="447B0127" w14:textId="77777777" w:rsidR="00F614DE" w:rsidRDefault="00000000">
      <w:pPr>
        <w:pStyle w:val="FirstParagraph"/>
      </w:pPr>
      <w:r>
        <w:t xml:space="preserve">where </w:t>
      </w:r>
      <m:oMath>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B</m:t>
            </m:r>
          </m:sup>
        </m:sSubSup>
      </m:oMath>
      <w:r>
        <w:t xml:space="preserve"> is the fraction of the blob covered by the ground-truth ligand region, and </w:t>
      </w:r>
      <m:oMath>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G</m:t>
            </m:r>
          </m:sup>
        </m:sSubSup>
      </m:oMath>
      <w:r>
        <w:t xml:space="preserve"> is the fraction of the ground-truth ligand region covered by the blob. For each candidate blob </w:t>
      </w:r>
      <m:oMath>
        <m:sSub>
          <m:sSubPr>
            <m:ctrlPr>
              <w:rPr>
                <w:rFonts w:ascii="Cambria Math" w:hAnsi="Cambria Math"/>
              </w:rPr>
            </m:ctrlPr>
          </m:sSubPr>
          <m:e>
            <m:r>
              <w:rPr>
                <w:rFonts w:ascii="Cambria Math" w:hAnsi="Cambria Math"/>
              </w:rPr>
              <m:t>B</m:t>
            </m:r>
          </m:e>
          <m:sub>
            <m:r>
              <w:rPr>
                <w:rFonts w:ascii="Cambria Math" w:hAnsi="Cambria Math"/>
              </w:rPr>
              <m:t>i</m:t>
            </m:r>
          </m:sub>
        </m:sSub>
      </m:oMath>
      <w:r>
        <w:t>, the indices of ground-truth instances meeting a bidirectional coverage threshold of 0.30 are collected into the set:</w:t>
      </w:r>
    </w:p>
    <w:p w14:paraId="3DE81779" w14:textId="77777777" w:rsidR="00F614DE"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cr m:val="script"/>
                  <m:sty m:val="p"/>
                </m:rPr>
                <w:rPr>
                  <w:rFonts w:ascii="Cambria Math" w:hAnsi="Cambria Math"/>
                </w:rPr>
                <m:t>J</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B</m:t>
                  </m:r>
                </m:sup>
              </m:sSubSup>
              <m:r>
                <m:rPr>
                  <m:sty m:val="p"/>
                </m:rPr>
                <w:rPr>
                  <w:rFonts w:ascii="Cambria Math" w:hAnsi="Cambria Math"/>
                </w:rPr>
                <m:t>≥</m:t>
              </m:r>
              <m:r>
                <w:rPr>
                  <w:rFonts w:ascii="Cambria Math" w:hAnsi="Cambria Math"/>
                </w:rPr>
                <m:t>0.30 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G</m:t>
                  </m:r>
                </m:sup>
              </m:sSubSup>
              <m:r>
                <m:rPr>
                  <m:sty m:val="p"/>
                </m:rPr>
                <w:rPr>
                  <w:rFonts w:ascii="Cambria Math" w:hAnsi="Cambria Math"/>
                </w:rPr>
                <m:t>≥</m:t>
              </m:r>
              <m:r>
                <w:rPr>
                  <w:rFonts w:ascii="Cambria Math" w:hAnsi="Cambria Math"/>
                </w:rPr>
                <m:t>0.30</m:t>
              </m:r>
            </m:e>
          </m:d>
          <m:r>
            <m:rPr>
              <m:sty m:val="p"/>
            </m:rPr>
            <w:rPr>
              <w:rFonts w:ascii="Cambria Math" w:hAnsi="Cambria Math"/>
            </w:rPr>
            <m:t>.</m:t>
          </m:r>
        </m:oMath>
      </m:oMathPara>
    </w:p>
    <w:p w14:paraId="0BD962CA" w14:textId="77777777" w:rsidR="00F614DE" w:rsidRDefault="00000000">
      <w:pPr>
        <w:pStyle w:val="FirstParagraph"/>
      </w:pPr>
      <w:r>
        <w:t xml:space="preserve">A candidate blob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is labeled as foreground if </w:t>
      </w:r>
      <m:oMath>
        <m:sSub>
          <m:sSubPr>
            <m:ctrlPr>
              <w:rPr>
                <w:rFonts w:ascii="Cambria Math" w:hAnsi="Cambria Math"/>
              </w:rPr>
            </m:ctrlPr>
          </m:sSubPr>
          <m:e>
            <m:r>
              <m:rPr>
                <m:scr m:val="script"/>
                <m:sty m:val="p"/>
              </m:rPr>
              <w:rPr>
                <w:rFonts w:ascii="Cambria Math" w:hAnsi="Cambria Math"/>
              </w:rPr>
              <m:t>J</m:t>
            </m:r>
          </m:e>
          <m:sub>
            <m:r>
              <w:rPr>
                <w:rFonts w:ascii="Cambria Math" w:hAnsi="Cambria Math"/>
              </w:rPr>
              <m:t>i</m:t>
            </m:r>
          </m:sub>
        </m:sSub>
      </m:oMath>
      <w:r>
        <w:t xml:space="preserve"> is non-empty (i.e. sharing at least 30% bidirectional coverage with a ground-truth ligand); otherwise, it is labeled as background. For each foreground blob, we assign a unique ground-truth ligand instance by maximising the geometric mean of the two coverage fractions:</w:t>
      </w:r>
    </w:p>
    <w:p w14:paraId="2DAF8D17" w14:textId="77777777" w:rsidR="00F614DE" w:rsidRDefault="00000000">
      <w:pPr>
        <w:pStyle w:val="11"/>
        <w:keepLines/>
        <w:spacing w:before="180" w:after="220" w:line="240" w:lineRule="auto"/>
        <w:ind w:firstLine="0"/>
        <w:jc w:val="center"/>
      </w:pPr>
      <m:oMathPara>
        <m:oMathParaPr>
          <m:jc m:val="center"/>
        </m:oMathParaPr>
        <m:oMath>
          <m:sSubSup>
            <m:sSubSupPr>
              <m:ctrlPr>
                <w:rPr>
                  <w:rFonts w:ascii="Cambria Math" w:hAnsi="Cambria Math"/>
                </w:rPr>
              </m:ctrlPr>
            </m:sSubSupPr>
            <m:e>
              <m:r>
                <w:rPr>
                  <w:rFonts w:ascii="Cambria Math" w:hAnsi="Cambria Math"/>
                </w:rPr>
                <m:t>j</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argmax</m:t>
              </m:r>
            </m:e>
            <m:lim>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J</m:t>
                  </m:r>
                </m:e>
                <m:sub>
                  <m:r>
                    <w:rPr>
                      <w:rFonts w:ascii="Cambria Math" w:hAnsi="Cambria Math"/>
                    </w:rPr>
                    <m:t>i</m:t>
                  </m:r>
                </m:sub>
              </m:sSub>
            </m:lim>
          </m:limLow>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B</m:t>
                  </m:r>
                </m:sup>
              </m:sSubSup>
              <m:sSubSup>
                <m:sSubSupPr>
                  <m:ctrlPr>
                    <w:rPr>
                      <w:rFonts w:ascii="Cambria Math" w:hAnsi="Cambria Math"/>
                    </w:rPr>
                  </m:ctrlPr>
                </m:sSubSupPr>
                <m:e>
                  <m:r>
                    <w:rPr>
                      <w:rFonts w:ascii="Cambria Math" w:hAnsi="Cambria Math"/>
                    </w:rPr>
                    <m:t>c</m:t>
                  </m:r>
                </m:e>
                <m:sub>
                  <m:r>
                    <w:rPr>
                      <w:rFonts w:ascii="Cambria Math" w:hAnsi="Cambria Math"/>
                    </w:rPr>
                    <m:t>ij</m:t>
                  </m:r>
                </m:sub>
                <m:sup>
                  <m:r>
                    <w:rPr>
                      <w:rFonts w:ascii="Cambria Math" w:hAnsi="Cambria Math"/>
                    </w:rPr>
                    <m:t>G</m:t>
                  </m:r>
                </m:sup>
              </m:sSubSup>
            </m:e>
          </m:rad>
          <m:r>
            <m:rPr>
              <m:sty m:val="p"/>
            </m:rPr>
            <w:rPr>
              <w:rFonts w:ascii="Cambria Math" w:hAnsi="Cambria Math"/>
            </w:rPr>
            <m:t>.</m:t>
          </m:r>
        </m:oMath>
      </m:oMathPara>
    </w:p>
    <w:p w14:paraId="42C47D8D" w14:textId="77777777" w:rsidR="00F614DE" w:rsidRDefault="00000000">
      <w:pPr>
        <w:pStyle w:val="FirstParagraph"/>
      </w:pPr>
      <w:r>
        <w:t xml:space="preserve">The SMILES string of this instance defines the ground-truth ligand identity for </w:t>
      </w:r>
      <m:oMath>
        <m:sSub>
          <m:sSubPr>
            <m:ctrlPr>
              <w:rPr>
                <w:rFonts w:ascii="Cambria Math" w:hAnsi="Cambria Math"/>
              </w:rPr>
            </m:ctrlPr>
          </m:sSubPr>
          <m:e>
            <m:r>
              <w:rPr>
                <w:rFonts w:ascii="Cambria Math" w:hAnsi="Cambria Math"/>
              </w:rPr>
              <m:t>B</m:t>
            </m:r>
          </m:e>
          <m:sub>
            <m:r>
              <w:rPr>
                <w:rFonts w:ascii="Cambria Math" w:hAnsi="Cambria Math"/>
              </w:rPr>
              <m:t>i</m:t>
            </m:r>
          </m:sub>
        </m:sSub>
      </m:oMath>
      <w:r>
        <w:t>.</w:t>
      </w:r>
    </w:p>
    <w:p w14:paraId="07116E08" w14:textId="77777777" w:rsidR="00F614DE" w:rsidRDefault="00000000">
      <w:pPr>
        <w:pStyle w:val="11"/>
      </w:pPr>
      <w:r>
        <w:t>After training LigandSeek-Find, we used it to run inference with deposited receptors on 1,650 training and 200 validation PDB entries. The resulting candidate blobs and associated auxiliary features formed the training and validation sets for Match.</w:t>
      </w:r>
    </w:p>
    <w:p w14:paraId="42B6DA49" w14:textId="77777777" w:rsidR="00F614DE" w:rsidRDefault="00000000">
      <w:pPr>
        <w:pStyle w:val="11"/>
      </w:pPr>
      <w:r>
        <w:t>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14:paraId="7BE0F0E4" w14:textId="77777777" w:rsidR="00F614DE" w:rsidRDefault="00000000">
      <w:pPr>
        <w:pStyle w:val="11"/>
      </w:pPr>
      <w:r>
        <w:t>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p w14:paraId="7F865AE1" w14:textId="77777777" w:rsidR="00F614DE" w:rsidRDefault="00000000">
      <w:pPr>
        <w:pStyle w:val="3"/>
      </w:pPr>
      <w:bookmarkStart w:id="7" w:name="stage-2-results"/>
      <w:bookmarkEnd w:id="6"/>
      <w:r>
        <w:lastRenderedPageBreak/>
        <w:t>Stage 2: Results</w:t>
      </w:r>
    </w:p>
    <w:p w14:paraId="605953E9" w14:textId="77777777" w:rsidR="00F614DE" w:rsidRDefault="00000000">
      <w:pPr>
        <w:keepNext/>
        <w:spacing w:after="0" w:line="240" w:lineRule="auto"/>
        <w:ind w:firstLine="0"/>
        <w:jc w:val="center"/>
      </w:pPr>
      <w:r>
        <w:rPr>
          <w:noProof/>
        </w:rPr>
        <w:drawing>
          <wp:inline distT="0" distB="0" distL="0" distR="0" wp14:anchorId="1B174AA1" wp14:editId="6796B2D1">
            <wp:extent cx="5731510" cy="5742755"/>
            <wp:effectExtent l="0" t="0" r="0" b="0"/>
            <wp:docPr id="45" name="Picture" descr="Fig. 3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rWSZWouNzu3p_kspRK0SVBlVIUpSAeWBQ5Xt-ulV3b2N7bu7a8glBVhATiBcQrvNAPQEX7ZZq2H4OZ9d6fNi2t6AMi0mXH9vg385sZj32no6nLOzHpPPvx4cXPjwLraMb7zx7-8PTXX04vHv_1_Lev--_3nzy6d_HH9z2t3bzTJR3DrSpmPMV9kzhJPrXc2CSJRrvRbpLsc3vulE6S5w_-fPrTN8_vf_vs98dJ4g0kyVtZkLTkiO6VtwxNqdnSVBhcZFQ7oeRpSc15pUHt8861OtZkXhbSxvWHSSd3TsdBYFnOS2p7SnMJi1NlSupgaLKgVibVRjFurZBZWQT9MNwOSipk0rmOaMem-dxyi4KTOp7RAnBvlODOxJtHvWCpgbrnnOsjIblt5jdGdWw1ZWAGcAqYAqD-MEw67fCkKnCKVk61mK067hQyBbWpMNYd-a1hqwQr3gHvqf_XyodKOgv7qGVCwJ6L-99BJp48fHzx4F5jl1Pr9qygr1rL96S9vKmx5YHRxFkzPmvEiWfcfMH526twReMlodt-u3fPYaYakshHQzVxM-OgeiiyHhmQu-RQGZ4ZVQH5w4hQ-BQiw49IuXTCLQgkkuUYUspYZShbEDUlnLKclCrlBamFy0nKtbLC8ZQYzrh2yljyHr3aAE7MQu05VUJxcaakdaZiL2meXe2h1877_h8E-R1CSf63nk8Kxc5rYTmZGlUSl3MC3aTbCFbMCZ1zS2yuaqJm3NCiILdu3jg6uNUltsRRqQrO4EhZmKgyauA73SynLim5owWBI2ybStCQb6gr2yMnNBWwAn5XYMNQmbVO9MMr4ASJwvBKj3z2mtLqkqi7PYoIA1CRUocQ_MtKGE5YQaHPTAWj2Dkaq8sC7mLh1rmAyo26_cGYUNBfO9wjn-QQGsJUqQ0GZTDevUy0Px6uyI62hy8zjJYcW-ffWPsNleHuu1CJtsM3UhmOX0FlZ2dNZfBPVI7bvGELAHyHpoiSxYKEvXB8BZ1Zdg2gSCX0epCaOppWYBR4UcvdBzAjMNtIDqhmyixITS2RyhGapgJ5gpMLwqUBbjztQjBsVThsPwBICV4hcEu0nhEIlwMoCz7uC1oqmaLhFEPGycHNg5O9o_2tG_sbrQvjiCocLirscD4sW8uweETwtUso1nwGuWqI4gkgWIaYH1cZiS5B-QqoasPBIvoOhX28HpCaA1GvDTDUQfH0W4zXNk0M4iAabKq9sYZe7J14UV3vfAG39-rW7ox2BtEoCuejnWF_ZzS6e00LFsOvvcjpW13kqaH1pRu8RQCsf4MB2yA6fAVj3gpETeFQ8H3FqhIy6JEML5pjYnOhLbZBZChnx4JhE8QB-3h2bCDmlqGVSRw0b6mgeUoF7Usq2HxIBY6XGmjKCrYI7U6nIgNn7WlfZmFm5-PAT5yG-DfoaZkBEZEC-nAbJHxZgXy85AipWfmxdsk7SDGCR9CO8TBMcuyHe8aoOuc0tdjaEW-5YDVnzk8C5nrrhgGPGlwKwlkh9KEoCrSIcrPfCzSGyuLQX1Ccgs4JWGnWXxislIIX8XBk4YVEzuqb8C7YeGbReD41JX4hcWTuH1ZksXpgNfO4zOdwmHG9LVfQYotm2FRtqwxazXcJquHB9hGHqwMF0IZj4bxZOjuyXnctLbVxXSrverAWaVxIgu_a3VF_5FFeqYV5OWiehRsyjR0VxXJ6Uy5kGy-rV3mB3_XOV38D5CVoWw"/>
            <wp:cNvGraphicFramePr/>
            <a:graphic xmlns:a="http://schemas.openxmlformats.org/drawingml/2006/main">
              <a:graphicData uri="http://schemas.openxmlformats.org/drawingml/2006/picture">
                <pic:pic xmlns:pic="http://schemas.openxmlformats.org/drawingml/2006/picture">
                  <pic:nvPicPr>
                    <pic:cNvPr id="46" name="Picture" descr="C:/Users/15919/Desktop/论文草稿/temp/manuscript_figures_2ng0gsx8/figure_000003.png"/>
                    <pic:cNvPicPr>
                      <a:picLocks noChangeAspect="1" noChangeArrowheads="1"/>
                    </pic:cNvPicPr>
                  </pic:nvPicPr>
                  <pic:blipFill>
                    <a:blip r:embed="rId9"/>
                    <a:stretch>
                      <a:fillRect/>
                    </a:stretch>
                  </pic:blipFill>
                  <pic:spPr bwMode="auto">
                    <a:xfrm>
                      <a:off x="0" y="0"/>
                      <a:ext cx="5731510" cy="5742755"/>
                    </a:xfrm>
                    <a:prstGeom prst="rect">
                      <a:avLst/>
                    </a:prstGeom>
                    <a:noFill/>
                    <a:ln w="9525">
                      <a:noFill/>
                      <a:headEnd/>
                      <a:tailEnd/>
                    </a:ln>
                  </pic:spPr>
                </pic:pic>
              </a:graphicData>
            </a:graphic>
          </wp:inline>
        </w:drawing>
      </w:r>
    </w:p>
    <w:p w14:paraId="5DF4FA51" w14:textId="77777777" w:rsidR="00F614DE" w:rsidRDefault="00000000">
      <w:pPr>
        <w:pStyle w:val="ImageCaption"/>
        <w:keepLines/>
        <w:spacing w:line="240" w:lineRule="auto"/>
        <w:ind w:firstLine="0"/>
      </w:pPr>
      <w:r>
        <w:rPr>
          <w:rFonts w:ascii="华文仿宋" w:eastAsia="华文仿宋" w:hAnsi="华文仿宋"/>
          <w:b/>
          <w:bCs/>
          <w:sz w:val="18"/>
        </w:rPr>
        <w:t>Fig. 3 | Foreground F1 and ligand identity matching accuracy of each model with deposited receptors (a) and CryoAtom2-reconstructed receptors (b).</w:t>
      </w:r>
      <w:r>
        <w:rPr>
          <w:rFonts w:ascii="华文仿宋" w:eastAsia="华文仿宋" w:hAnsi="华文仿宋"/>
          <w:sz w:val="18"/>
        </w:rPr>
        <w:t xml:space="preserve">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14:paraId="1A33EC1D" w14:textId="77777777" w:rsidR="00F614DE" w:rsidRDefault="00000000">
      <w:pPr>
        <w:pStyle w:val="11"/>
      </w:pPr>
      <w:r>
        <w:rPr>
          <w:rStyle w:val="MDFIGREFeJyrrk7LTC9KTbMqLklMTzXSLUpMSSzSLUjMLKpJrK0FALa-C9E"/>
        </w:rPr>
        <w:lastRenderedPageBreak/>
        <w:t>Fig. 3a</w:t>
      </w:r>
      <w:r>
        <w:t xml:space="preserve"> shows false-positive detection and ligand identity matching for four model variants with deposited receptors. </w:t>
      </w:r>
      <w:r>
        <w:rPr>
          <w:rStyle w:val="MDFIGREFeJyrrk7LTC9KTbMqLklMTzXSLUpMSSzSLUjMLKpJqq0FALbBC9I"/>
        </w:rPr>
        <w:t>Fig. 3b</w:t>
      </w:r>
      <w:r>
        <w:t xml:space="preserve"> 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14:paraId="54F5E395" w14:textId="77777777" w:rsidR="00F614DE" w:rsidRDefault="00000000">
      <w:pPr>
        <w:pStyle w:val="11"/>
      </w:pPr>
      <w:r>
        <w:t>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14:paraId="7828BD2B" w14:textId="77777777" w:rsidR="00F614DE" w:rsidRDefault="00000000">
      <w:pPr>
        <w:pStyle w:val="11"/>
      </w:pPr>
      <w:r>
        <w:t>With CryoAtom2-reconstructed receptors, strongest still achieved 86.6% overall matching accuracy and a foreground F1 of 82.9%, which showed no marked decline for any of the four models. By contrast, Find showed a little reduction in ligand localisation performance (</w:t>
      </w:r>
      <w:r>
        <w:rPr>
          <w:rStyle w:val="MDFIGREFeJyrrk7LTC9KTbMqLklMTzXUzS9LLUrMydEtSC1KyyKTcxLTq1J1EmqrQUAU-MQLw"/>
        </w:rPr>
        <w:t>Fig. 2a, b</w:t>
      </w:r>
      <w:r>
        <w:t>). Match was therefore more robust to the change in receptor source.</w:t>
      </w:r>
    </w:p>
    <w:p w14:paraId="4DEE05FE" w14:textId="77777777" w:rsidR="00F614DE" w:rsidRDefault="00000000">
      <w:pPr>
        <w:keepNext/>
        <w:spacing w:after="0" w:line="240" w:lineRule="auto"/>
        <w:ind w:firstLine="0"/>
        <w:jc w:val="center"/>
      </w:pPr>
      <w:r>
        <w:rPr>
          <w:noProof/>
        </w:rPr>
        <w:lastRenderedPageBreak/>
        <w:drawing>
          <wp:inline distT="0" distB="0" distL="0" distR="0" wp14:anchorId="1B56DBD6" wp14:editId="6E3C6766">
            <wp:extent cx="5731510" cy="5606201"/>
            <wp:effectExtent l="0" t="0" r="0" b="0"/>
            <wp:docPr id="48" name="Picture" descr="Fig. 4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trJEUU_itFg-DiZPqSmZhp1kCcGFkY17AiPtgSaqpreop0VxVVNbd191VZlhVB8UXxTfTF_QEGN_9FNpv8DM_p6rlkEzHogzgw3afqfOdW55w6_XmgqRsHKQkuvj09__5FaB0teHJx-s2rH384Pj_7_fLnL5K3kpcvnp7_-nVbazcPWiQw3KpyynOU66dZ9rHlxmZZ3O3FvSw74PbEKZ1ll89_e_Xdl5fPnlz8cpZl3kCW3cqCpBVH7R68ZZ1RsuDWbWkqDAIY1U4oeVxRczLRAP00uDtLNZlXpbTp7J0sGDun0zC0bMwrattKcwnMkTIVdbA0RThTJtdGMW6tkEVVhkkU7YQVFTIL9lDbkalfH7lFycksndIS9N6rwKW-N4-4cIlA7AnneiAkt_X-xmqWWk0ZmAE9JWyBoqQTZUGzfDApcYtOnGp0NnCUFDIH2EgY6wZeNGpAwPEOeE_9o6EPlXQW5KhlQoDM-bOvIBsvT8_Onz-t7XJq3b4V9CbeeF_a60K1La8YTQzr9bAm-z7i-g3OP1wdV7y7DOihF_fuOcxUHSTGo6GiuJlygB6Kok065BEZiIJC4CLn0gm3IJA2NsYDpIxNDGULokZkVRhkCiU4scSNOZGTasgNshloEDl1nJRXtAluW2Qm3JjkXCsrHM-J4Yxrp4wlb9I7BMF9s1D7TlXJFvCUBFsT9hpyeKeNQTkf2n-Qg39x0uR_6_knf5G5FimMmmjrUxu3SNIi2y2oJszmH09-6hKmKs0dVtG1ggCedND7pBP3QKYLjzgG6d1uLR7vJATNgRFwRHPmxJSXizapnfnbUmnVlcmUQWEFVQkuNM6u7aKvHXj0wPWdbW-2G91s9kPJN8p73SWcSuwC6ggtyw2E4QVcWJYMeQkdAxBFKDk6eJeAoFksnUC3lCyht-TrPbNoEavWzScskdQBXQI6jqI3rjYCXkp7wWdwU69u6KD79nbcjaN5dyfaSaL40V0tWAr_5tKmt7q0c0Nn127rRgPo-ic6QAwC4Ss15lZK1GgkGD9QbFLB-XhNhpcU54IdC22xpjFCOT0SDCsaF-z-9MhA7VqGVvppWM_OsB6dYTM5w83BGTpeaQhTTkBEaHc8EgU4a48TWUSFne-GfuM4wl-nrWUBgYgctHd6QOEkBfpoGSOkZuXH2iXvIMUTHCh2ArlV_TGFm3XfGDUbc5pb7FPUt2TUxeg3QedadMOA1xpeO4RhKfShKEu0iHQt7wmaQu9wuOmRHAHmAVip-VcWK1B4VR-uLExDMpx9oPLNkUrT-chU-IbEkbkfomSxGqb1PrL53BGG_KZcAcUQ1lRtAwZU_V4q1TCc3-eqIkgAGhrfebN0OrAeu6aWaORL5V0P1yRNS0nwG6bXTbpey40ozMt79SfABk1TaORyub1Jl7I5L6tXeYH_XvD4T3YurIc"/>
            <wp:cNvGraphicFramePr/>
            <a:graphic xmlns:a="http://schemas.openxmlformats.org/drawingml/2006/main">
              <a:graphicData uri="http://schemas.openxmlformats.org/drawingml/2006/picture">
                <pic:pic xmlns:pic="http://schemas.openxmlformats.org/drawingml/2006/picture">
                  <pic:nvPicPr>
                    <pic:cNvPr id="49" name="Picture" descr="C:/Users/15919/Desktop/论文草稿/temp/manuscript_figures_2ng0gsx8/figure_000004.png"/>
                    <pic:cNvPicPr>
                      <a:picLocks noChangeAspect="1" noChangeArrowheads="1"/>
                    </pic:cNvPicPr>
                  </pic:nvPicPr>
                  <pic:blipFill>
                    <a:blip r:embed="rId10"/>
                    <a:stretch>
                      <a:fillRect/>
                    </a:stretch>
                  </pic:blipFill>
                  <pic:spPr bwMode="auto">
                    <a:xfrm>
                      <a:off x="0" y="0"/>
                      <a:ext cx="5731510" cy="5606201"/>
                    </a:xfrm>
                    <a:prstGeom prst="rect">
                      <a:avLst/>
                    </a:prstGeom>
                    <a:noFill/>
                    <a:ln w="9525">
                      <a:noFill/>
                      <a:headEnd/>
                      <a:tailEnd/>
                    </a:ln>
                  </pic:spPr>
                </pic:pic>
              </a:graphicData>
            </a:graphic>
          </wp:inline>
        </w:drawing>
      </w:r>
    </w:p>
    <w:p w14:paraId="3F68C65A" w14:textId="77777777" w:rsidR="00F614DE" w:rsidRDefault="00000000">
      <w:pPr>
        <w:pStyle w:val="ImageCaption"/>
        <w:keepLines/>
        <w:spacing w:line="240" w:lineRule="auto"/>
        <w:ind w:firstLine="0"/>
      </w:pPr>
      <w:r>
        <w:rPr>
          <w:rFonts w:ascii="华文仿宋" w:eastAsia="华文仿宋" w:hAnsi="华文仿宋"/>
          <w:b/>
          <w:bCs/>
          <w:sz w:val="18"/>
        </w:rPr>
        <w:t>Fig. 4 | Ligand identity matching accuracy of strongest versus the number of candidate ligand identities, with deposited receptors (a) and CryoAtom2-reconstructed receptors (b).</w:t>
      </w:r>
      <w:r>
        <w:rPr>
          <w:rFonts w:ascii="华文仿宋" w:eastAsia="华文仿宋" w:hAnsi="华文仿宋"/>
          <w:sz w:val="18"/>
        </w:rPr>
        <w:t xml:space="preserve">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14:paraId="318E45CF" w14:textId="77777777" w:rsidR="00F614DE" w:rsidRDefault="00000000">
      <w:pPr>
        <w:pStyle w:val="11"/>
      </w:pPr>
      <w:r>
        <w:rPr>
          <w:rStyle w:val="MDFIGREFeJyrrk7LTC9KTbMqLklMTzXSLS4pys9LTy0u0S1IzCyqSdRJqq0FAAjSDj4"/>
        </w:rPr>
        <w:t>Fig. 4a, b</w:t>
      </w:r>
      <w:r>
        <w:t xml:space="preserve"> 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w:t>
      </w:r>
      <w:r>
        <w:lastRenderedPageBreak/>
        <w:t>generally exceeded 80% across ligand categories. These cases accounted for approximately 80% of practical tasks, making Match useful for the majority of cases.</w:t>
      </w:r>
    </w:p>
    <w:p w14:paraId="3A18EB3E" w14:textId="77777777" w:rsidR="00F614DE" w:rsidRDefault="00000000">
      <w:pPr>
        <w:pStyle w:val="11"/>
      </w:pPr>
      <w:r>
        <w:t>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14:paraId="69058994" w14:textId="77777777" w:rsidR="00F614DE" w:rsidRDefault="00000000">
      <w:pPr>
        <w:pStyle w:val="11"/>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where </w:t>
      </w:r>
      <m:oMath>
        <m:sSub>
          <m:sSubPr>
            <m:ctrlPr>
              <w:rPr>
                <w:rFonts w:ascii="Cambria Math" w:hAnsi="Cambria Math"/>
              </w:rPr>
            </m:ctrlPr>
          </m:sSubPr>
          <m:e>
            <m:r>
              <w:rPr>
                <w:rFonts w:ascii="Cambria Math" w:hAnsi="Cambria Math"/>
              </w:rPr>
              <m:t>N</m:t>
            </m:r>
          </m:e>
          <m:sub>
            <m:r>
              <w:rPr>
                <w:rFonts w:ascii="Cambria Math" w:hAnsi="Cambria Math"/>
              </w:rPr>
              <m:t>g</m:t>
            </m:r>
          </m:sub>
        </m:sSub>
      </m:oMath>
      <w:r>
        <w:t xml:space="preserve"> counts small-molecule ligand instances and </w:t>
      </w:r>
      <m:oMath>
        <m:r>
          <w:rPr>
            <w:rFonts w:ascii="Cambria Math" w:hAnsi="Cambria Math"/>
          </w:rPr>
          <m:t>K</m:t>
        </m:r>
      </m:oMath>
      <w:r>
        <w:t xml:space="preserve"> counts small-molecule identities. In contrast, our model supports GPU acceleration through vectorised computation and required a mean of only 0.09 s to match each candidate blob, as measured on an NVIDIA H100 GPU.</w:t>
      </w:r>
    </w:p>
    <w:p w14:paraId="147BEDBA" w14:textId="77777777" w:rsidR="00F614DE" w:rsidRDefault="00000000">
      <w:pPr>
        <w:pStyle w:val="11"/>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 </w:t>
      </w:r>
      <m:oMath>
        <m:sSub>
          <m:sSubPr>
            <m:ctrlPr>
              <w:rPr>
                <w:rFonts w:ascii="Cambria Math" w:hAnsi="Cambria Math"/>
              </w:rPr>
            </m:ctrlPr>
          </m:sSubPr>
          <m:e>
            <m:r>
              <w:rPr>
                <w:rFonts w:ascii="Cambria Math" w:hAnsi="Cambria Math"/>
              </w:rPr>
              <m:t>N</m:t>
            </m:r>
          </m:e>
          <m:sub>
            <m:r>
              <w:rPr>
                <w:rFonts w:ascii="Cambria Math" w:hAnsi="Cambria Math"/>
              </w:rPr>
              <m:t>g</m:t>
            </m:r>
          </m:sub>
        </m:sSub>
        <m:r>
          <m:rPr>
            <m:sty m:val="p"/>
          </m:rPr>
          <w:rPr>
            <w:rFonts w:ascii="Cambria Math" w:hAnsi="Cambria Math"/>
          </w:rPr>
          <m:t>×</m:t>
        </m:r>
        <m:r>
          <w:rPr>
            <w:rFonts w:ascii="Cambria Math" w:hAnsi="Cambria Math"/>
          </w:rP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 </w:t>
      </w:r>
      <w:r>
        <w:rPr>
          <w:rStyle w:val="MDFIGREFeJyrrk7LTC9KTbMqLklMTzXSLUpMSSzSLUjMLKpJrK0FALa-C9E"/>
        </w:rPr>
        <w:t>Fig. 3a</w:t>
      </w:r>
      <w:r>
        <w:t xml:space="preserve"> and </w:t>
      </w:r>
      <w:r>
        <w:rPr>
          <w:rStyle w:val="MDFIGREFeJyrrk7LTC9KTbMqLklMTzXSLUpMSSzSLUjMLKpJqq0FALbBC9I"/>
        </w:rPr>
        <w:t>Fig. 3b</w:t>
      </w:r>
      <w:r>
        <w:t xml:space="preserve"> show its performance with deposited and CryoAtom2-reconstructed receptors, respectively.</w:t>
      </w:r>
    </w:p>
    <w:p w14:paraId="715BAED1" w14:textId="77777777" w:rsidR="00F614DE" w:rsidRDefault="00000000">
      <w:pPr>
        <w:pStyle w:val="2"/>
      </w:pPr>
      <w:bookmarkStart w:id="8" w:name="stage-3"/>
      <w:bookmarkEnd w:id="5"/>
      <w:bookmarkEnd w:id="7"/>
      <w:r>
        <w:t>Stage 3</w:t>
      </w:r>
    </w:p>
    <w:p w14:paraId="654E753F" w14:textId="77777777" w:rsidR="00F614DE" w:rsidRDefault="00000000">
      <w:pPr>
        <w:pStyle w:val="3"/>
      </w:pPr>
      <w:bookmarkStart w:id="9" w:name="X752cd74af797621f2bfc2a0853c5cde5fdbaa5a"/>
      <w:r>
        <w:t>Stage 3: Comparison of PocketXMol-official and DG-PocketXmol</w:t>
      </w:r>
    </w:p>
    <w:p w14:paraId="0DF4CC54" w14:textId="77777777" w:rsidR="00F614DE" w:rsidRDefault="00000000">
      <w:pPr>
        <w:pStyle w:val="FirstParagraph"/>
      </w:pPr>
      <w:r>
        <w:t>We compared the official PocketXMol model with our fine-tuned version. The official model accepts a ligand SMILES string and its binding pocket or binding site, generating 50 candidate poses by default.</w:t>
      </w:r>
    </w:p>
    <w:p w14:paraId="034F6F36" w14:textId="77777777" w:rsidR="00F614DE" w:rsidRDefault="00000000">
      <w:pPr>
        <w:pStyle w:val="11"/>
      </w:pPr>
      <w:r>
        <w:lastRenderedPageBreak/>
        <w:t>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14:paraId="196A230A" w14:textId="77777777" w:rsidR="00F614DE" w:rsidRDefault="00000000">
      <w:pPr>
        <w:pStyle w:val="11"/>
      </w:pPr>
      <w:r>
        <w:t>We treated these pocket definitions as separate training and testing conditions. We trained one fine-tuned model for each definition and evaluated each model under its corresponding condition.</w:t>
      </w:r>
    </w:p>
    <w:p w14:paraId="17CF07DC" w14:textId="77777777" w:rsidR="00F614DE" w:rsidRDefault="00000000">
      <w:pPr>
        <w:pStyle w:val="11"/>
      </w:pPr>
      <w:r>
        <w:t>To assess fine-tuning, we used all single-residue organic small molecules with no atoms missing relative to their templates (hereafter eligible small molecules). This test set comprised 446 ligand instances from the 179 PDB entries.</w:t>
      </w:r>
    </w:p>
    <w:p w14:paraId="7C6D4980" w14:textId="77777777" w:rsidR="00F614DE" w:rsidRDefault="00000000">
      <w:pPr>
        <w:pStyle w:val="11"/>
      </w:pPr>
      <w:r>
        <w:t>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14:paraId="07A9B7C1" w14:textId="77777777" w:rsidR="00F614DE" w:rsidRDefault="00000000">
      <w:pPr>
        <w:pStyle w:val="11"/>
      </w:pPr>
      <w:r>
        <w:t>Across the 446 test instances, density-guided DG-PocketXmol achieved substantially greater pose accuracy than PocketXMol-official under every test condition (</w:t>
      </w:r>
      <w:r>
        <w:rPr>
          <w:rStyle w:val="MDFIGREFeJyrrk7LTC9KTbMqLklMTzXWzU9Ly0zOTMzRLSnNS02prQUAz88MnA"/>
        </w:rPr>
        <w:t>Fig. 5</w:t>
      </w:r>
      <w:r>
        <w:t>). 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14:paraId="14FB0B28" w14:textId="77777777" w:rsidR="00F614DE" w:rsidRDefault="00000000">
      <w:pPr>
        <w:pStyle w:val="11"/>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w:t>
      </w:r>
      <w:r>
        <w:lastRenderedPageBreak/>
        <w:t>0.94 Å to 0.69 Å, with 97.1% of best-of-50 poses achieving RMSD &lt; 2 Å. These results showed that cryo-EM density provided effective docking guidance.</w:t>
      </w:r>
    </w:p>
    <w:p w14:paraId="7DE7BF2A" w14:textId="77777777" w:rsidR="00F614DE" w:rsidRDefault="00000000">
      <w:pPr>
        <w:pStyle w:val="11"/>
      </w:pPr>
      <w:r>
        <w:t>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DG-PocketXmol retained a median top-1 RMSD of 1.44 Å and a success rate of 67.5% at RMSD &lt; 2 Å. Its performance substantially exceeded that of the official model even with deposited receptors.</w:t>
      </w:r>
    </w:p>
    <w:p w14:paraId="3E9DB2F5" w14:textId="77777777" w:rsidR="00F614DE" w:rsidRDefault="00000000">
      <w:pPr>
        <w:keepNext/>
        <w:spacing w:after="0" w:line="240" w:lineRule="auto"/>
        <w:ind w:firstLine="0"/>
        <w:jc w:val="center"/>
      </w:pPr>
      <w:r>
        <w:rPr>
          <w:noProof/>
        </w:rPr>
        <w:drawing>
          <wp:inline distT="0" distB="0" distL="0" distR="0" wp14:anchorId="1E5798E9" wp14:editId="2191E901">
            <wp:extent cx="5731510" cy="4420308"/>
            <wp:effectExtent l="0" t="0" r="0" b="0"/>
            <wp:docPr id="53" name="Picture" descr="Fig. 5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9rHDcQ_yrinlLwee8cXxJf04B7dkrBKcZpodAtRrc7dyu8uxKS9u6cpJCXUkpJX1IKpaXPfcoHaKB56DcJzZ-P0d9Ie-dL7YfQPjSBGM4raX7zRzMjjeZux0hfdIai8-KHx89-_iNxXk7p8ovHD5__-sumMX7R2RAdS06XM8oZNxqm6WeOrEvT_mCnv5Ome-ROvDZp-vLR789__Oblg29f_PYkTaPANL1QYi0rYmmR2NWTicqULLu-qaEGgEwar3R9XEl70hhAv-hcnw-NWFRl7YbzD9JO4b0ZJonLCqqk29SGahAn2lbSY2qnyVzb3FidkXOqnlZlstXrXUkqqeq0c4OlHdrwue1PSxLz4UyWkPtxBZNGUT3jkiWCsSdE5kDV5ML62mw-dEZmUAM5JZYgaGu7l3ba6VFT8pJsvG5ltnDmVHUO2ERZ5w8ia68FgRINiJbGf-34pq69A590mVLgefbge3j_r8dPnj36Lugl6fyuU_IiWrFbu_NMQVcUzCrGYT4Ow1HccfjC-Dsrd_WvLTd0J7JH8zxHKmyS92OQQWRnBOhNNd0UA3FPjHRlpFVO10JPxKHOTsh_fkuXq2QQEn7JCYb60-60UTnl67CQKgLc29tXhKtkWXYrXVIGT4scMI6Fl-7EbbJZPhr3P3jxP_hKvLWW75dqqsaIRAiMWAbGCWmxhtCU1AVa5Q0JHFVZq-wcdK58IWotpNeVE5UKp1hYKqVXMxJeC1-QssJTZbBG7wL9Rh10-dZGY0PsKeetGjdcA_h2Qnnr9sXRrdt7G0JmGepKuF20IJkVSNmcyqf3f3JCz2vhQKZ3qfgmpeL4rY3G-VQck_NtJjrCVelRBKXjq1CUeg5il4nCaEdCVhppOuiJDKVU5eGOFEfkmhI7xktJZFR7S92cJoqLaX8g_vxaOFOQVRkKsAnV1olLo4Br5-8JaQxJy7U3qKWJf1Xskm8pd3wqpOj3WDjVMyrxVkMh0A3qO-oEl_l4x1_aX1Iv1mTVtICqDzUKQ0REFYqdE2sLwc-NZKeE8pETHKGCj6BlZE_1LjRtofZk4PC2Cf7DjIzXFt7Z5wNttKo9VkMgODt0TUtLFdhknRGbsSC3EX0IZ_EzzwU180K5E7yQgc3hR0_B-K2BL57ef3h1wMaTZTZVsoCKciXrwBkhO-cgsMMg1Ch75emm-BTSZmR9iJFcKChyCP4UrylfVCp7X-jGl4otkGONUjkIrm99yclioXAayrEPtuF-i2JXb69wp4mJhP48xJRd4Dn3lg5AJmaycXFzq1RswwLvehlijwKOkChQrPak6hhq1sZ2L2XNYRUtsrLhR97E6koouB1Ej_RX2T9KO7-Ib3S-RJuwag86g6uX-4N-b7G9vdW73Lt277pR2RC_tmOQr9Ux5FbOz7UKrQTI-jcywOYbSysx9rWEhDjQns6aCkkQJcWXD9K2UMbxNcI7rGeHKuNLhCfZJ7NDi5x3GWsZDZPQqCWhT0vaNi1Z79ISfjthm3UDFmX88URNYaw73qqnvalbXEviwnGP_wabpp5iIyqH9ME2RtzGYXy43CNCs7LjzKRooGQPHiA9HHJiVCABaddaPS9I5o6vRpa3JIR0j4uQeca6piBKTc45YVwqc1OVJWvkceCPAznEkSefFTycAHMELYH-ymQFSl6VxzOHVkyM57dwPNb6OTlcTGzFXwROLGIHJ05XnVxYZzItcDaY3qYrUBnD2qxtwUCF71KoQWf4EeFQ8ABo3Fc-qpWzAxexZ6Mlmum1jqYnZ0M5LGvBDfTOYGsQpVyI4rjsh_5zbSyHONblcnl9XNatv5xZxQW_G52v_gZyiSY3"/>
            <wp:cNvGraphicFramePr/>
            <a:graphic xmlns:a="http://schemas.openxmlformats.org/drawingml/2006/main">
              <a:graphicData uri="http://schemas.openxmlformats.org/drawingml/2006/picture">
                <pic:pic xmlns:pic="http://schemas.openxmlformats.org/drawingml/2006/picture">
                  <pic:nvPicPr>
                    <pic:cNvPr id="54" name="Picture" descr="C:/Users/15919/Desktop/论文草稿/temp/manuscript_figures_2ng0gsx8/figure_000005.png"/>
                    <pic:cNvPicPr>
                      <a:picLocks noChangeAspect="1" noChangeArrowheads="1"/>
                    </pic:cNvPicPr>
                  </pic:nvPicPr>
                  <pic:blipFill>
                    <a:blip r:embed="rId11"/>
                    <a:stretch>
                      <a:fillRect/>
                    </a:stretch>
                  </pic:blipFill>
                  <pic:spPr bwMode="auto">
                    <a:xfrm>
                      <a:off x="0" y="0"/>
                      <a:ext cx="5731510" cy="4420308"/>
                    </a:xfrm>
                    <a:prstGeom prst="rect">
                      <a:avLst/>
                    </a:prstGeom>
                    <a:noFill/>
                    <a:ln w="9525">
                      <a:noFill/>
                      <a:headEnd/>
                      <a:tailEnd/>
                    </a:ln>
                  </pic:spPr>
                </pic:pic>
              </a:graphicData>
            </a:graphic>
          </wp:inline>
        </w:drawing>
      </w:r>
    </w:p>
    <w:p w14:paraId="42E72EDB" w14:textId="77777777" w:rsidR="00F614DE" w:rsidRDefault="00000000">
      <w:pPr>
        <w:pStyle w:val="ImageCaption"/>
        <w:keepLines/>
        <w:spacing w:line="240" w:lineRule="auto"/>
        <w:ind w:firstLine="0"/>
      </w:pPr>
      <w:r>
        <w:rPr>
          <w:rFonts w:ascii="华文仿宋" w:eastAsia="华文仿宋" w:hAnsi="华文仿宋"/>
          <w:b/>
          <w:bCs/>
          <w:sz w:val="18"/>
        </w:rPr>
        <w:t>Fig. 5 | Comparison of PocketXMol-official and density-guided PocketXMol-tuned on 446 small-molecule docking tasks.</w:t>
      </w:r>
      <w:r>
        <w:rPr>
          <w:rFonts w:ascii="华文仿宋" w:eastAsia="华文仿宋" w:hAnsi="华文仿宋"/>
          <w:sz w:val="18"/>
        </w:rPr>
        <w:t xml:space="preserve"> Eligible small molecules are single-residue organic small molecules with no atoms missing relative to their templates. </w:t>
      </w:r>
      <w:r>
        <w:rPr>
          <w:rFonts w:ascii="华文仿宋" w:eastAsia="华文仿宋" w:hAnsi="华文仿宋"/>
          <w:b/>
          <w:bCs/>
          <w:sz w:val="18"/>
        </w:rPr>
        <w:t>a</w:t>
      </w:r>
      <w:r>
        <w:rPr>
          <w:rFonts w:ascii="华文仿宋" w:eastAsia="华文仿宋" w:hAnsi="华文仿宋"/>
          <w:sz w:val="18"/>
        </w:rPr>
        <w:t xml:space="preserve">, Distribution of top-1 RMSD, according to each model’s own score. </w:t>
      </w:r>
      <w:r>
        <w:rPr>
          <w:rFonts w:ascii="华文仿宋" w:eastAsia="华文仿宋" w:hAnsi="华文仿宋"/>
          <w:b/>
          <w:bCs/>
          <w:sz w:val="18"/>
        </w:rPr>
        <w:t>b</w:t>
      </w:r>
      <w:r>
        <w:rPr>
          <w:rFonts w:ascii="华文仿宋" w:eastAsia="华文仿宋" w:hAnsi="华文仿宋"/>
          <w:sz w:val="18"/>
        </w:rPr>
        <w:t>,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p w14:paraId="39FD56D5" w14:textId="77777777" w:rsidR="00F614DE" w:rsidRDefault="00000000">
      <w:pPr>
        <w:pStyle w:val="3"/>
      </w:pPr>
      <w:bookmarkStart w:id="10" w:name="Xf5ab2934b575ce019262194de9f4d310a201cf1"/>
      <w:bookmarkEnd w:id="9"/>
      <w:r>
        <w:lastRenderedPageBreak/>
        <w:t>Stage 3: Fair comparison with Emap2lig-Build</w:t>
      </w:r>
    </w:p>
    <w:p w14:paraId="46F909F6" w14:textId="77777777" w:rsidR="00F614DE" w:rsidRDefault="00000000">
      <w:pPr>
        <w:pStyle w:val="FirstParagraph"/>
      </w:pPr>
      <w:r>
        <w:t>We performed a fair comparison between LigandSeek’s small-molecule docking engine (DG-PocketXmol)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DG-PocketXmol using Centre pockets defined around the centroids of candidate blobs predicted by LigandSeek-Find.</w:t>
      </w:r>
    </w:p>
    <w:p w14:paraId="5B000160" w14:textId="77777777" w:rsidR="00F614DE" w:rsidRDefault="00000000">
      <w:pPr>
        <w:pStyle w:val="11"/>
      </w:pPr>
      <w:r>
        <w:t>Of the 446 test small-molecule instances, Emap2lig-Find returned qualifying blobs with at least 30% bidirectional coverage for 251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241 pairs under the deposited-receptor condition and 237 pairs under the CryoAtom2 condition. These subsets served as the benchmarks for directly comparing DG-PocketXmol against Emap2lig-Build.</w:t>
      </w:r>
    </w:p>
    <w:p w14:paraId="2A41A601" w14:textId="77777777" w:rsidR="00F614DE" w:rsidRDefault="00000000">
      <w:pPr>
        <w:keepNext/>
        <w:spacing w:after="0" w:line="240" w:lineRule="auto"/>
        <w:ind w:firstLine="0"/>
        <w:jc w:val="center"/>
      </w:pPr>
      <w:r>
        <w:rPr>
          <w:noProof/>
        </w:rPr>
        <w:lastRenderedPageBreak/>
        <w:drawing>
          <wp:inline distT="0" distB="0" distL="0" distR="0" wp14:anchorId="75A49457" wp14:editId="45DBCAA9">
            <wp:extent cx="5731510" cy="4511719"/>
            <wp:effectExtent l="0" t="0" r="0" b="0"/>
            <wp:docPr id="57" name="Picture" descr="Fig. 6 | Docking performance of DG-PocketXmol and Emap2lig-Build using predicted ligand regions. a,b,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rG0cQ_yqLnhKQdJJsxfE1NbhybApKEHYKhV4xq73V3VZ3u8vu6l-aQl9KKSV9SelLS5_7lA9QQ_PQb1LqOB-jM7snWYoMDS0lpMb2zu7M_Obf3ux8XtPU5bWY1K6-v7j88bfIOprxnauLZy9__qmptZvX6qRmuFXFlKco14uT5CPLjU2Sdne_vZ8kR9yOndJJ8ur5ry9_-PrV02-ufnmRJAEwSW5ElLTkiBaYDW14KpjjacPwTCjZyDlNG075FeUZ1Q7Oz0tqxhMNmp_U7s1iTeZlIW08ez-p5c7pOIosy3lJbVNpLoE5UqakDrYmi2bKpNooxq0VMiuLqNNq3YlKKmRSO0C0gfHLmVsUnMziKS0A98MSPOwF8ygXLSVQdsy57gvJrT9f281iqykDM4BTwBEAdXZbSa3ank4KPKITpyrMShw1hUxBbCSMdf2g2qqEgBMcCJ6GfxV9rKSzoEctEwJ0Lp9-B8X48-LF5fNvvV1OrTu0gt7Eyw-l3VbytgIwmhj6_dCTvRCxX8H5x6t0te8uA3oc1IN7Divlg8R4oNxwg6YcRI9F1iR3yBNypNgY86W58UWTjBM1IkcnjQFwuPu4VAWhkJr7JdWdQmSNDyaiSMnEeq3lBSLAQalwj2wTfXDBk7eQsn-RGPJ2Pf9Pik3f2WrU_4fVGL671SBHXCsr8Hs3nHHtlCG3Th7dJkyVmhphlSTw29ltEyHhjYFmYslnSkhXLEjKHfetYrggfd8tzjgfN46x7240GDxpElZP66RnFurQqbIDDxSDvuLMhG1a7x12tszv7P2N-aFyOSm5y1Vqm6_1uokFJZfzLR-HhRoSxqUzSqTEKUAcwTtBKGl3ye9fBRYn2kO9t90vK9iNMNcaqIenlgiofzYRKbbX0E2bpM9HjtyidXa7DoZ1o01OH5wdNcmpyHJgDOspMIbcuoYaNbqtijvAyC2A-BJKt-zRq9yAjpqDW1Bq6X3rdF3-x5fP9mDBBwEjEgXKVbHhGwriuZpB9lJBpfWVm-XCjmE0uQYKOPuv4TTJI-AtGnQuIE5LCpVB1VxeCgZVoDb37wiawHmDdDCriL8DxOaLgo_xQe1TmFBWk0mtu7fT7rZb891uu73X3n9yTwsWw181rNA3GlZSQ2dbU0qFAFj_BAPU3MTwFYx5IxA1GgnG4XWelJC9gGR4QXEesrnQFj9djFBOB4Lhh4sb9nA6MHAxLUMrvTjyI2PkJ8aoGhij9XkxcrzUEKacgIrQ7nwkMnDWnndk1srs_G4UDs5b-HOnqWUGgYgU0LvQPQgOlEAPljFCaVZ-XLsUHKSYwT58HpZI1cupzPihMWqGw6bFdoR4S4bV8LWGQ8C8Vl0zEFCjrSQMC6GPRVGgRaS9fiBoDC2EO5YjOQKZU7Di-RublVC0iYc7C1MgGc4eqHR9lKTxfGRKXKFwZB6GR7JYDZH-HNl87ghDfnVdQYqhWHVrK2GQ8usSVMNQesJVSZAAaeh_Lpil074NstfUUhr5UgXXo2uSxoUkOLvvdzvdgHKjFNblvh9912gaOyqK5fE6XcgqX1av6gJ_B7Uv_gIKmMRS"/>
            <wp:cNvGraphicFramePr/>
            <a:graphic xmlns:a="http://schemas.openxmlformats.org/drawingml/2006/main">
              <a:graphicData uri="http://schemas.openxmlformats.org/drawingml/2006/picture">
                <pic:pic xmlns:pic="http://schemas.openxmlformats.org/drawingml/2006/picture">
                  <pic:nvPicPr>
                    <pic:cNvPr id="58" name="Picture" descr="C:/Users/15919/Desktop/论文草稿/temp/manuscript_figures_2ng0gsx8/figure_000006.png"/>
                    <pic:cNvPicPr>
                      <a:picLocks noChangeAspect="1" noChangeArrowheads="1"/>
                    </pic:cNvPicPr>
                  </pic:nvPicPr>
                  <pic:blipFill>
                    <a:blip r:embed="rId12"/>
                    <a:stretch>
                      <a:fillRect/>
                    </a:stretch>
                  </pic:blipFill>
                  <pic:spPr bwMode="auto">
                    <a:xfrm>
                      <a:off x="0" y="0"/>
                      <a:ext cx="5731510" cy="4511719"/>
                    </a:xfrm>
                    <a:prstGeom prst="rect">
                      <a:avLst/>
                    </a:prstGeom>
                    <a:noFill/>
                    <a:ln w="9525">
                      <a:noFill/>
                      <a:headEnd/>
                      <a:tailEnd/>
                    </a:ln>
                  </pic:spPr>
                </pic:pic>
              </a:graphicData>
            </a:graphic>
          </wp:inline>
        </w:drawing>
      </w:r>
    </w:p>
    <w:p w14:paraId="338A3DF2" w14:textId="77777777" w:rsidR="00F614DE" w:rsidRDefault="00000000">
      <w:pPr>
        <w:pStyle w:val="ImageCaption"/>
        <w:keepLines/>
        <w:spacing w:line="240" w:lineRule="auto"/>
        <w:ind w:firstLine="0"/>
      </w:pPr>
      <w:r>
        <w:rPr>
          <w:rFonts w:ascii="华文仿宋" w:eastAsia="华文仿宋" w:hAnsi="华文仿宋"/>
          <w:b/>
          <w:bCs/>
          <w:sz w:val="18"/>
        </w:rPr>
        <w:t>Fig. 6 | Docking performance of DG-PocketXmol and Emap2lig-Build using predicted ligand regions.</w:t>
      </w:r>
      <w:r>
        <w:rPr>
          <w:rFonts w:ascii="华文仿宋" w:eastAsia="华文仿宋" w:hAnsi="华文仿宋"/>
          <w:sz w:val="18"/>
        </w:rPr>
        <w:t xml:space="preserve"> </w:t>
      </w:r>
      <w:r>
        <w:rPr>
          <w:rFonts w:ascii="华文仿宋" w:eastAsia="华文仿宋" w:hAnsi="华文仿宋"/>
          <w:b/>
          <w:bCs/>
          <w:sz w:val="18"/>
        </w:rPr>
        <w:t>a</w:t>
      </w:r>
      <w:r>
        <w:rPr>
          <w:rFonts w:ascii="华文仿宋" w:eastAsia="华文仿宋" w:hAnsi="华文仿宋"/>
          <w:sz w:val="18"/>
        </w:rPr>
        <w:t>,</w:t>
      </w:r>
      <w:r>
        <w:rPr>
          <w:rFonts w:ascii="华文仿宋" w:eastAsia="华文仿宋" w:hAnsi="华文仿宋"/>
          <w:b/>
          <w:bCs/>
          <w:sz w:val="18"/>
        </w:rPr>
        <w:t>b</w:t>
      </w:r>
      <w:r>
        <w:rPr>
          <w:rFonts w:ascii="华文仿宋" w:eastAsia="华文仿宋" w:hAnsi="华文仿宋"/>
          <w:sz w:val="18"/>
        </w:rPr>
        <w:t>,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14:paraId="59772EA0" w14:textId="77777777" w:rsidR="00F614DE" w:rsidRDefault="00000000">
      <w:pPr>
        <w:pStyle w:val="11"/>
      </w:pPr>
      <w:r>
        <w:rPr>
          <w:rStyle w:val="MDFIGREFeJyrrk7LTC9KTbMqLklMTzXWLShKTclMLklN0S1KTcMz9PNSE1M0S3JB9O1tQC1BBIF"/>
        </w:rPr>
        <w:t>Fig. 6</w:t>
      </w:r>
      <w:r>
        <w:t xml:space="preserve"> compares the LigandSeek and Emap2lig docking modules. Our model maintained higher accuracy across all tested conditions. Among the shared GT instances, median top-1 RMSD was 0.87 Å for DG-PocketXmol and 1.80 Å for Emap2lig-Build. Median best RMSD was 0.64 Å and 1.34 Å, respectively. This advantage was maintained with CryoAtom2-reconstructed receptors (</w:t>
      </w:r>
      <w:r>
        <w:rPr>
          <w:rStyle w:val="MDFIGREFeJyrrk7LTC9KTbMqLklMTzXWLShKTclMLklN0S1KTcMz9PNSE1M0S3JB9O1tQC1BBIF"/>
        </w:rPr>
        <w:t>Fig. 6</w:t>
      </w:r>
      <w:r>
        <w:t>).</w:t>
      </w:r>
    </w:p>
    <w:p w14:paraId="4C44956D" w14:textId="77777777" w:rsidR="00F614DE" w:rsidRDefault="00000000">
      <w:pPr>
        <w:pStyle w:val="3"/>
      </w:pPr>
      <w:bookmarkStart w:id="11" w:name="stage-3-representative-cases"/>
      <w:bookmarkEnd w:id="10"/>
      <w:r>
        <w:t>Stage 3: Representative cases</w:t>
      </w:r>
    </w:p>
    <w:p w14:paraId="7E25669D" w14:textId="77777777" w:rsidR="00F614DE" w:rsidRDefault="00000000">
      <w:pPr>
        <w:pStyle w:val="FirstParagraph"/>
      </w:pPr>
      <w:r>
        <w:t>We analysed six representative instances to examine how receptor pockets and experimental density provide complementary constraints on pose generation (</w:t>
      </w:r>
      <w:r>
        <w:rPr>
          <w:rStyle w:val="MDFIGREFeJyrrk7LTC9KTbMqLklMTzXWTU4sTi3WzU3MzKutBQCftQrz"/>
        </w:rPr>
        <w:t>Fig. 7</w:t>
      </w:r>
      <w:r>
        <w:t>).</w:t>
      </w:r>
    </w:p>
    <w:p w14:paraId="7BDE8413" w14:textId="77777777" w:rsidR="00F614DE" w:rsidRDefault="00000000">
      <w:pPr>
        <w:pStyle w:val="11"/>
      </w:pPr>
      <w:r>
        <w:lastRenderedPageBreak/>
        <w:t>The first group illustrated typical errors in receptor-only docking without experimental density guidance (</w:t>
      </w:r>
      <w:r>
        <w:rPr>
          <w:rStyle w:val="MDFIGREFeJyrrk7LTC9KTbMqLklMTzXWTU4sTi3WzU3MzKtJfNQwObm2FgDtUw4o"/>
        </w:rPr>
        <w:t>Fig. 7a–c</w:t>
      </w:r>
      <w:r>
        <w:t>). 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DG-PocketXmol placed ligand atoms accurately within the experimental density, increasing this fraction to 80%–100% and reducing top-1 RMSD sharply to 0.76–1.05 Å, while all three poses remained free of receptor clashes.</w:t>
      </w:r>
    </w:p>
    <w:p w14:paraId="227DD49A" w14:textId="77777777" w:rsidR="00F614DE" w:rsidRDefault="00000000">
      <w:pPr>
        <w:pStyle w:val="11"/>
      </w:pPr>
      <w:r>
        <w:t>The second group illustrated the shortcomings of density-only fitting that ignores receptor steric constraints (</w:t>
      </w:r>
      <w:r>
        <w:rPr>
          <w:rStyle w:val="MDFIGREFeJyrrk7LTC9KTbMqLklMTzXWTU4sTi3WzU3MzKtJedQwOa22FgDtcQ4u"/>
        </w:rPr>
        <w:t>Fig. 7d–f</w:t>
      </w:r>
      <w:r>
        <w:t>). In 9PXT, 9WUP and 9WQ3, Emap2lig-Build’s top-1 poses produced 39, 14 and 12 clashing pairs with surrounding receptor atoms, respectively. Its pose in 9PXT also deviated markedly from the deposited position, with an RMSD of 10.89 Å. By combining receptor geometry with density information, DG-PocketXmol eliminated all receptor clashes and consistently achieved RMSD values of 0.52–1.41 Å.</w:t>
      </w:r>
    </w:p>
    <w:p w14:paraId="5051C99F" w14:textId="77777777" w:rsidR="00F614DE" w:rsidRDefault="00000000">
      <w:pPr>
        <w:pStyle w:val="11"/>
      </w:pPr>
      <w:r>
        <w:t>These cases showed that the receptor structure imposes steric constraints, whereas cryo-EM density constrains ligand position and conformation. DG-PocketXmol combines these complementary sources of information to reconstruct ligand poses with high accuracy.</w:t>
      </w:r>
    </w:p>
    <w:p w14:paraId="6CB0C302" w14:textId="77777777" w:rsidR="00F614DE" w:rsidRDefault="00000000">
      <w:pPr>
        <w:keepNext/>
        <w:spacing w:after="0" w:line="240" w:lineRule="auto"/>
        <w:ind w:firstLine="0"/>
        <w:jc w:val="center"/>
      </w:pPr>
      <w:r>
        <w:rPr>
          <w:noProof/>
        </w:rPr>
        <w:lastRenderedPageBreak/>
        <w:drawing>
          <wp:inline distT="0" distB="0" distL="0" distR="0" wp14:anchorId="1BFA9561" wp14:editId="774177DC">
            <wp:extent cx="4891003" cy="6303010"/>
            <wp:effectExtent l="0" t="0" r="0" b="0"/>
            <wp:docPr id="61" name="Picture" descr="Fig. 7 | Complementary constraints from receptor pockets and experimental density. a–c, Three instances in which PocketXMol-official top-1 poses deviate from experimental density: 9Q16–XG4, 9UB7–Y01 and 9R3D–IHP. d–f,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bNEl3VSql2SZUSqtt2qqtGBQ5M54dK56xZXv_SpG4AYSgcAHqDQ8AV-WeSvSCN0GE9jH4znh2s2lTVIFQqUSUZPxz_J2_z_bxRw3Dfd7oscbz754ef_9L5DwfirXjb3568cNnx189bhnjp40V1rDCaTUWKYlu9-L4jhPWxXFnvdvpxnFfuCOvTRy_ePLzH48_f_Hoi-c_PovjgBnHrwMteSEIMMw3E-6EaxZcljSZcOOlLg8Kbo9GBmIfNC5NeoZNC1W63uS9uJF7b3pR5JJcFNy1tBElJjNtC-7RtcNoom1qrE6Ec7IcFipabbc3ItIQNy4T2sBWn1t-pgSb9MZcAfdaAXO2g3qSi-YSJHskhNmTpXDV-FJv0nOGJ1ADHIUhAK1eaMeNurs_UjTER17XmLU4rZRlCrFMWuf3wtJ2LYSZYECwNPyr2zu69A7ruEukxJrjR18j-L8_fXb85MtKr-DObznJz5rLt0r36qJKVwAmFYdV_7BqbgePqy-Mf7AIV-fi3KEHYXkwz1OmKifJHwMCCTsWEN2RwxbbZA_Zti6MEoUoPbczlujSeYvUwKfM6oJZkQjjtWVGJ0cCoxxRElMjrKzWKJYK-OBnLdLqg-63EKR_EAr2di3_V9LLf_vk2-SdzcgKu51bIZgEGXmJgwMtNsllkrNBRcN717Vq6iyTiQQDceg1OyAoDi6wcSy5F4G8Z_G0x7o3OxsIz73dCyuse-fKJtr3252K2N39tT66194f_E_n_xKdUyQle2cz8hd0vlpws6rksHllJFV6ismJ4i5nE-lz5nOxOIjB38G924jH9d0--Hv3zgDtna1-4O_dm2vodm7db7Er2i9vF1boVCjHRk5gK0CF9CJdoIZzPcFOsaKZigz3Xzo_8lvsKoepVk-Yy_XEnbkHz2nLy6E4v8L6u81aoIDWc4dqJM5X6C_5es6MLG4erAg-LrnuhBIJmXc4C2Yzl2grWqy_MBw4wITZVjAvuFpZdgVjWsmxYEOEvXztlcW4MYLTAvySLLQJl7fYPhSkiH6lB3VFhbC4CbnXhWNUEYUcUbWBe9PzhGLVJ3TtsYiyllmMooJhOmNgRCort3LBx7MaZ5LDZeatJE3cqhnI4YU1WnESnZtqBXJQg8ISXcCVFPPSaTeyGTiHKVAu1yptse2KO4ke0a4IoQItiH0pt2lz4UplSJMMYYaj8EHkDbe8Dj0qAdgLixRKN8DzkrVbm-vMI47BEjcqyDM0pWVjzKfCsrucg2eWp1K2wHxRBbWmDi1aMpkyj72wyn79lHDSl9K7HKgW21Kq8pEAfa6RfJdX6SdDUMSyVDqj-Kyi9RBBX2FjKSaUHlATpSUhuoQrEOkWfdghkr_C1qEdOQe9oS6FOICNSGSGcihHKVRn38l0BOOREC8zicL79BVB5eHlxoeomRe1cuPCxW6n3V6bbqy119qd9sNLRiY9_NXlM3-j8jm1fPJK3VwjAOvvYGCZH1mxgLFvBFLtddHXyYi2UUCyAjRFqLELjKNTkTwsxwOZ0JlIneTGeGCRWZeQlu1eVD1aourNEtVPlmj5xRJ5URi4WY6wRBp_kMkhjHUHq-WwPXTTi1EYOGjTz2bLlEM4IlOgb6yiRe8ZtAdzH5GahR0nJgUDOUVwD6eVY6XezukE27I46IgIjk56wptPECl8GATmydIlBQE1eiUIh0qaHakUaaR2tT40eA_bTPgkp2YGmX1oqeZPdRZC0Wk86jm8S9jh5DpOyqXHDe9NM1vQF4lj0_CcYbPFs6Yap2kx9Syh-ZqukEpIrGZtLQyp6jsHNXgm7Qo6ONCANM4UH9Ty8Z4LsietuTTNlzqYHp00eU_hRgRKd311PaCcKUV5uVo9xpbavOe5VPPh5bYq63g5s8gL_i43Pv4TGITCSw"/>
            <wp:cNvGraphicFramePr/>
            <a:graphic xmlns:a="http://schemas.openxmlformats.org/drawingml/2006/main">
              <a:graphicData uri="http://schemas.openxmlformats.org/drawingml/2006/picture">
                <pic:pic xmlns:pic="http://schemas.openxmlformats.org/drawingml/2006/picture">
                  <pic:nvPicPr>
                    <pic:cNvPr id="62" name="Picture" descr="C:/Users/15919/Desktop/论文草稿/temp/manuscript_figures_2ng0gsx8/figure_000007.png"/>
                    <pic:cNvPicPr>
                      <a:picLocks noChangeAspect="1" noChangeArrowheads="1"/>
                    </pic:cNvPicPr>
                  </pic:nvPicPr>
                  <pic:blipFill>
                    <a:blip r:embed="rId13"/>
                    <a:stretch>
                      <a:fillRect/>
                    </a:stretch>
                  </pic:blipFill>
                  <pic:spPr bwMode="auto">
                    <a:xfrm>
                      <a:off x="0" y="0"/>
                      <a:ext cx="4891003" cy="6303010"/>
                    </a:xfrm>
                    <a:prstGeom prst="rect">
                      <a:avLst/>
                    </a:prstGeom>
                    <a:noFill/>
                    <a:ln w="9525">
                      <a:noFill/>
                      <a:headEnd/>
                      <a:tailEnd/>
                    </a:ln>
                  </pic:spPr>
                </pic:pic>
              </a:graphicData>
            </a:graphic>
          </wp:inline>
        </w:drawing>
      </w:r>
    </w:p>
    <w:p w14:paraId="5436134B" w14:textId="77777777" w:rsidR="00F614DE" w:rsidRDefault="00000000">
      <w:pPr>
        <w:pStyle w:val="ImageCaption"/>
        <w:keepLines/>
        <w:spacing w:line="240" w:lineRule="auto"/>
        <w:ind w:firstLine="0"/>
      </w:pPr>
      <w:r>
        <w:rPr>
          <w:rFonts w:ascii="华文仿宋" w:eastAsia="华文仿宋" w:hAnsi="华文仿宋"/>
          <w:b/>
          <w:bCs/>
          <w:sz w:val="18"/>
        </w:rPr>
        <w:t>Fig. 7 | Complementary constraints from receptor pockets and experimental density.</w:t>
      </w:r>
      <w:r>
        <w:rPr>
          <w:rFonts w:ascii="华文仿宋" w:eastAsia="华文仿宋" w:hAnsi="华文仿宋"/>
          <w:sz w:val="18"/>
        </w:rPr>
        <w:t xml:space="preserve"> </w:t>
      </w:r>
      <w:r>
        <w:rPr>
          <w:rFonts w:ascii="华文仿宋" w:eastAsia="华文仿宋" w:hAnsi="华文仿宋"/>
          <w:b/>
          <w:bCs/>
          <w:sz w:val="18"/>
        </w:rPr>
        <w:t>a–c</w:t>
      </w:r>
      <w:r>
        <w:rPr>
          <w:rFonts w:ascii="华文仿宋" w:eastAsia="华文仿宋" w:hAnsi="华文仿宋"/>
          <w:sz w:val="18"/>
        </w:rPr>
        <w:t xml:space="preserve">, Three instances in which PocketXMol-official top-1 poses deviate from experimental density: 9Q16–XG4, 9UB7–Y01 and 9R3D–IHP. </w:t>
      </w:r>
      <w:r>
        <w:rPr>
          <w:rFonts w:ascii="华文仿宋" w:eastAsia="华文仿宋" w:hAnsi="华文仿宋"/>
          <w:b/>
          <w:bCs/>
          <w:sz w:val="18"/>
        </w:rPr>
        <w:t>d–f</w:t>
      </w:r>
      <w:r>
        <w:rPr>
          <w:rFonts w:ascii="华文仿宋" w:eastAsia="华文仿宋" w:hAnsi="华文仿宋"/>
          <w:sz w:val="18"/>
        </w:rPr>
        <w:t>,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p w14:paraId="398F0FEB" w14:textId="77777777" w:rsidR="00F614DE" w:rsidRDefault="00000000">
      <w:pPr>
        <w:pStyle w:val="2"/>
      </w:pPr>
      <w:bookmarkStart w:id="12" w:name="end-to-end"/>
      <w:bookmarkEnd w:id="8"/>
      <w:bookmarkEnd w:id="11"/>
      <w:r>
        <w:lastRenderedPageBreak/>
        <w:t>End-to-end</w:t>
      </w:r>
    </w:p>
    <w:p w14:paraId="406284E3" w14:textId="77777777" w:rsidR="00F614DE" w:rsidRDefault="00000000">
      <w:pPr>
        <w:pStyle w:val="3"/>
      </w:pPr>
      <w:bookmarkStart w:id="13" w:name="evaluation-protocol"/>
      <w:r>
        <w:t>Evaluation protocol</w:t>
      </w:r>
    </w:p>
    <w:p w14:paraId="1E90BC21" w14:textId="77777777" w:rsidR="00F614DE" w:rsidRDefault="00000000">
      <w:pPr>
        <w:pStyle w:val="FirstParagraph"/>
      </w:pPr>
      <w:r>
        <w:t>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14:paraId="318DF24A" w14:textId="77777777" w:rsidR="00F614DE" w:rsidRDefault="00000000">
      <w:pPr>
        <w:pStyle w:val="11"/>
      </w:pPr>
      <w:r>
        <w:t>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14:paraId="2D94D27B" w14:textId="77777777" w:rsidR="00F614DE" w:rsidRDefault="00000000">
      <w:pPr>
        <w:pStyle w:val="11"/>
      </w:pPr>
      <w:r>
        <w:t xml:space="preserve">For each PDB entry, the pipeline examines these candidates in order within a specified relative attempt budget. Unsupported ligand types are skipped, whereas model prediction errors, including false positives, remain counted. For a PDB entry containing </w:t>
      </w:r>
      <m:oMath>
        <m:r>
          <w:rPr>
            <w:rFonts w:ascii="Cambria Math" w:hAnsi="Cambria Math"/>
          </w:rPr>
          <m:t>N</m:t>
        </m:r>
      </m:oMath>
      <w:r>
        <w:t xml:space="preserve"> eligible ligands, a relative attempt budget </w:t>
      </w:r>
      <m:oMath>
        <m:r>
          <w:rPr>
            <w:rFonts w:ascii="Cambria Math" w:hAnsi="Cambria Math"/>
          </w:rPr>
          <m:t>ρ</m:t>
        </m:r>
      </m:oMath>
      <w:r>
        <w:t xml:space="preserve"> allows </w:t>
      </w:r>
      <m:oMath>
        <m:r>
          <m:rPr>
            <m:sty m:val="p"/>
          </m:rPr>
          <w:rPr>
            <w:rFonts w:ascii="Cambria Math" w:hAnsi="Cambria Math"/>
          </w:rPr>
          <m:t>⌊</m:t>
        </m:r>
        <m:r>
          <w:rPr>
            <w:rFonts w:ascii="Cambria Math" w:hAnsi="Cambria Math"/>
          </w:rPr>
          <m:t>ρN</m:t>
        </m:r>
        <m:r>
          <m:rPr>
            <m:sty m:val="p"/>
          </m:rPr>
          <w:rPr>
            <w:rFonts w:ascii="Cambria Math" w:hAnsi="Cambria Math"/>
          </w:rPr>
          <m:t>⌋</m:t>
        </m:r>
      </m:oMath>
      <w:r>
        <w:t xml:space="preserve"> attempts. We report the fraction of qualified ground-truth ligand instances successfully processed within this budget, termed the completion ratio, which is a function of </w:t>
      </w:r>
      <m:oMath>
        <m:r>
          <w:rPr>
            <w:rFonts w:ascii="Cambria Math" w:hAnsi="Cambria Math"/>
          </w:rPr>
          <m:t>ρ</m:t>
        </m:r>
      </m:oMath>
      <w:r>
        <w:t>. The detailed evaluation protocol is described in Methods (</w:t>
      </w:r>
      <w:r>
        <w:rPr>
          <w:rStyle w:val="MDFIGREFeJyrrk7LTC9KTbNKNUrVTUxOziNK8nMS9ctKs1JLdZNKUpMK6mtBQAQ2w6I"/>
        </w:rPr>
        <w:t>Fig. 14</w:t>
      </w:r>
      <w:r>
        <w:t>).</w:t>
      </w:r>
    </w:p>
    <w:p w14:paraId="415B8B1B" w14:textId="77777777" w:rsidR="00F614DE" w:rsidRDefault="00000000">
      <w:pPr>
        <w:pStyle w:val="3"/>
      </w:pPr>
      <w:bookmarkStart w:id="14" w:name="X8b9bf2ea799954d7a0607b96c625e6fec49216c"/>
      <w:bookmarkEnd w:id="13"/>
      <w:r>
        <w:t>Detection and identity matching across all ligand classes</w:t>
      </w:r>
    </w:p>
    <w:p w14:paraId="6FF45D27" w14:textId="77777777" w:rsidR="00F614DE" w:rsidRDefault="00000000">
      <w:pPr>
        <w:pStyle w:val="FirstParagraph"/>
      </w:pPr>
      <w:r>
        <w:t>For detection and identity matching across all ligand classes, increasing the relative attempt budget from 100% to 300% raised mean instance completion. Completion increased from 51.1% to 58.8% for CA2 and from 62.1% to 67.5% for GT (</w:t>
      </w:r>
      <w:r>
        <w:rPr>
          <w:rStyle w:val="MDFIGREFeJyrrk7LTC9KTbMqLi0o0E01StVNzs8tyEktyczP003MyamtBQDpjA1c"/>
        </w:rPr>
        <w:t>Fig. 8</w:t>
      </w:r>
      <w:r>
        <w:t>). 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 (</w:t>
      </w:r>
      <w:r>
        <w:rPr>
          <w:rStyle w:val="MDFIGREFeJyrrk7LTC9KTbMqLi0o0E01StVNzs8tyEktyczP003MyamtBQDpjA1c"/>
        </w:rPr>
        <w:t>Fig. 8</w:t>
      </w:r>
      <w:r>
        <w:t>).</w:t>
      </w:r>
    </w:p>
    <w:p w14:paraId="0CA692EA" w14:textId="77777777" w:rsidR="00F614DE" w:rsidRDefault="00000000">
      <w:pPr>
        <w:keepNext/>
        <w:spacing w:after="0" w:line="240" w:lineRule="auto"/>
        <w:ind w:firstLine="0"/>
        <w:jc w:val="center"/>
      </w:pPr>
      <w:r>
        <w:rPr>
          <w:noProof/>
        </w:rPr>
        <w:lastRenderedPageBreak/>
        <w:drawing>
          <wp:inline distT="0" distB="0" distL="0" distR="0" wp14:anchorId="25A03A05" wp14:editId="0EDE987A">
            <wp:extent cx="5731510" cy="2935896"/>
            <wp:effectExtent l="0" t="0" r="0" b="0"/>
            <wp:docPr id="67" name="Picture" descr="Fig. 8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Ujn2IjXgyE5QwAmMND11C4PijrSEd0mW5OonTQ899SdJ0UPRS4Eei578AAmQPELfoYiTPEZnuCtZTtIgTdC6LixgtcPhx5khZ8gdzhcNw33WiFnj2Y8Pj35-FO30do4Of3ny6O7R4b2n3_xw9ODXtjF-1miyhgWn8wmkhB7ESfKJA-uSpNvf6G4kyTa4A69Nkjw_fPD0p6-f3__22W-Pk6QSmySvkat4ASTTlca0oActoQuTg5datXieE0RwQ839gtuD0iD408blaWzYrMiVi6cfJo3MexNHkRMZFNy1tQGFnSNtC-6xacfRVNvUWC3AOanGRR71Op21qOBSJY1NkrZnw-tjP8-BTeMJz1HuRwUfw6BST7hogSDsAYDZlQpc4K-0prEzXKAalJMjCwX1Pugkjbp5s8yJxUuva5k1nEZKlSJsJK3zu9XQTg3CnsqAytLqr6avauUdjuNOSIljju5_j1548vDx0eHdoBe481tO8lf1ZVvKvTwo6KoEk4phaA8DOahmHN5o_O3lcnXXFxO6XQ2vzPPkqTBJmo_BSAI7AYReleM2W2d32I5KW163ACd_7H6mRyyXY47MFDyIwKOWTEF56ecMvSsyWmcurHaOYbwsRoicOweuTWb4yphTWLV3WBt2upb_I_7mZ9YbTbYNRjvpIWUWBBivrWPvXbv1fpsNm2xg53rL66LXwk6tnLeleAE62Ooh9or2GYa4SiVFs2NSibxMgXUvbbC97SsMA9tKcCHMe81-p7eIZ4lCucLjq822PBuW6Rj8mV3Nk7FdxPo6fobq47x4o-Ncj0ZSwLYWZYFLtjjMfUZ2FJVQv_n7V5ejIugJrKhWdLbWqsmAiywEhwwnnJ5Ceu7513k-GFHEjr4QtZ0mmBl4VTjs1THyx73vTgTJXwXPkn_jVey_p_Hu_yAsT_nz9A6Wi4zbMZ7N3HsojHdNNs3Awpmdz790mN44D9pTtByPfp8BU2UxBEuJMWBeIId4VXkxP0AKodzTF6PNbmULRGuBWM2wLccXq4WPLBeLvBvb7nxLnG-J_7DlxxEfwp1bYK4UdMEflXk-r--MdNCHW6XFXNzn9Z0R0ja7ZgEUowu5i4S0Iq_T7mFeQs1OJS8wV3fMZXoa9ghuqhZ8XvKcFcCr22gBCFNNzPWdoUvqBPJ5kD5nRktaQEJNpEaZtSRK5lKJtwQ5LKt7AE6g37nQZN0O_WO4XQijLhJRJfsvXGWpELDZ-KzJGsuqSKN_6WK33-3MehsX--sba3cuGylifOrI528U-anl05cqJLUElPU2MnCYLy0sxdi33oIWch4WLJPGUbjQDNVkTwoKFmqIG5M9i753grQM4ijUqaJQporqKlW0WqSKKAvAaaoSh0jj90dyjMa6_Z4ad8Zuth5VjP0O_dbbRo1xIjJF6WsYsYzqV0jvLeaIrlnacWxSZSCnFdzV4sAxpQcZV2PYslZj_sFTR1uA5C06QjRVTJR5PHRFQSU1emkRhrk0V2Wek0aiw_iK4JiQWsAtQOQIMTdRS-g_0ViCopPyqOUMrvBwel2nq2UsHs9GtqA3Oo7NqsIVmy8LWIFP3TDzTFB_Ha6IEgSro7YGIyq8F0KNdf4a6IIRgWjazZVaPtl1FfaYWqCpX-nK9OiY5HGuGNUNN_q9fiXllSjyy04ou63QPPZc5gv2Kp2rer2cWfoFn83Gl38CG4AUsg"/>
            <wp:cNvGraphicFramePr/>
            <a:graphic xmlns:a="http://schemas.openxmlformats.org/drawingml/2006/main">
              <a:graphicData uri="http://schemas.openxmlformats.org/drawingml/2006/picture">
                <pic:pic xmlns:pic="http://schemas.openxmlformats.org/drawingml/2006/picture">
                  <pic:nvPicPr>
                    <pic:cNvPr id="68" name="Picture" descr="C:/Users/15919/Desktop/论文草稿/temp/manuscript_figures_2ng0gsx8/figure_000008.png"/>
                    <pic:cNvPicPr>
                      <a:picLocks noChangeAspect="1" noChangeArrowheads="1"/>
                    </pic:cNvPicPr>
                  </pic:nvPicPr>
                  <pic:blipFill>
                    <a:blip r:embed="rId14"/>
                    <a:stretch>
                      <a:fillRect/>
                    </a:stretch>
                  </pic:blipFill>
                  <pic:spPr bwMode="auto">
                    <a:xfrm>
                      <a:off x="0" y="0"/>
                      <a:ext cx="5731510" cy="2935896"/>
                    </a:xfrm>
                    <a:prstGeom prst="rect">
                      <a:avLst/>
                    </a:prstGeom>
                    <a:noFill/>
                    <a:ln w="9525">
                      <a:noFill/>
                      <a:headEnd/>
                      <a:tailEnd/>
                    </a:ln>
                  </pic:spPr>
                </pic:pic>
              </a:graphicData>
            </a:graphic>
          </wp:inline>
        </w:drawing>
      </w:r>
    </w:p>
    <w:p w14:paraId="6D5EC44A" w14:textId="77777777" w:rsidR="00F614DE" w:rsidRDefault="00000000">
      <w:pPr>
        <w:pStyle w:val="ImageCaption"/>
        <w:keepLines/>
        <w:spacing w:line="240" w:lineRule="auto"/>
        <w:ind w:firstLine="0"/>
      </w:pPr>
      <w:r>
        <w:rPr>
          <w:rFonts w:ascii="华文仿宋" w:eastAsia="华文仿宋" w:hAnsi="华文仿宋"/>
          <w:b/>
          <w:bCs/>
          <w:sz w:val="18"/>
        </w:rPr>
        <w:t>Fig. 8 | End-to-end completion of ligand detection and identity matching across all ligand classes.</w:t>
      </w:r>
      <w:r>
        <w:rPr>
          <w:rFonts w:ascii="华文仿宋" w:eastAsia="华文仿宋" w:hAnsi="华文仿宋"/>
          <w:sz w:val="18"/>
        </w:rPr>
        <w:t xml:space="preserve"> </w:t>
      </w:r>
      <w:r>
        <w:rPr>
          <w:rFonts w:ascii="华文仿宋" w:eastAsia="华文仿宋" w:hAnsi="华文仿宋"/>
          <w:b/>
          <w:bCs/>
          <w:sz w:val="18"/>
        </w:rPr>
        <w:t>a</w:t>
      </w:r>
      <w:r>
        <w:rPr>
          <w:rFonts w:ascii="华文仿宋" w:eastAsia="华文仿宋" w:hAnsi="华文仿宋"/>
          <w:sz w:val="18"/>
        </w:rPr>
        <w:t xml:space="preserve">, Deposited receptors (GT). b, CryoAtom2-reconstructed receptors (CA2). Both conditions include 179 PDB entries and 2,502 ligand instances. At budget </w:t>
      </w:r>
      <m:oMath>
        <m:r>
          <w:rPr>
            <w:rFonts w:ascii="Cambria Math" w:hAnsi="Cambria Math"/>
          </w:rPr>
          <m:t>ρ</m:t>
        </m:r>
      </m:oMath>
      <w:r>
        <w:rPr>
          <w:rFonts w:ascii="华文仿宋" w:eastAsia="华文仿宋" w:hAnsi="华文仿宋"/>
          <w:sz w:val="18"/>
        </w:rPr>
        <w:t xml:space="preserve">, each PDB is allowed </w:t>
      </w:r>
      <m:oMath>
        <m:r>
          <m:rPr>
            <m:sty m:val="p"/>
          </m:rPr>
          <w:rPr>
            <w:rFonts w:ascii="Cambria Math" w:hAnsi="Cambria Math"/>
          </w:rPr>
          <m:t>⌊</m:t>
        </m:r>
        <m:r>
          <w:rPr>
            <w:rFonts w:ascii="Cambria Math" w:hAnsi="Cambria Math"/>
          </w:rPr>
          <m:t>ρN</m:t>
        </m:r>
        <m:r>
          <m:rPr>
            <m:sty m:val="p"/>
          </m:rPr>
          <w:rPr>
            <w:rFonts w:ascii="Cambria Math" w:hAnsi="Cambria Math"/>
          </w:rPr>
          <m:t>⌋</m:t>
        </m:r>
      </m:oMath>
      <w:r>
        <w:rPr>
          <w:rFonts w:ascii="华文仿宋" w:eastAsia="华文仿宋" w:hAnsi="华文仿宋"/>
          <w:sz w:val="18"/>
        </w:rPr>
        <w:t xml:space="preserve"> charged attempts, where </w:t>
      </w:r>
      <m:oMath>
        <m:r>
          <w:rPr>
            <w:rFonts w:ascii="Cambria Math" w:hAnsi="Cambria Math"/>
          </w:rPr>
          <m:t>N</m:t>
        </m:r>
      </m:oMath>
      <w:r>
        <w:rPr>
          <w:rFonts w:ascii="华文仿宋" w:eastAsia="华文仿宋" w:hAnsi="华文仿宋"/>
          <w:sz w:val="18"/>
        </w:rPr>
        <w:t xml:space="preserve"> is the number of eligible ligand instances in that PDB. The ligand-instance completion ratio is the fraction of these </w:t>
      </w:r>
      <m:oMath>
        <m:r>
          <w:rPr>
            <w:rFonts w:ascii="Cambria Math" w:hAnsi="Cambria Math"/>
          </w:rPr>
          <m:t>N</m:t>
        </m:r>
      </m:oMath>
      <w:r>
        <w:rPr>
          <w:rFonts w:ascii="华文仿宋" w:eastAsia="华文仿宋" w:hAnsi="华文仿宋"/>
          <w:sz w:val="18"/>
        </w:rPr>
        <w:t xml:space="preserve"> instances that are successfully detected and correctly matched. Green lines/circles and blue lines/diamonds show the PDB-equal mean and median, respectively. Grey points and violins show PDB distributions at 50%, 100%, 200% and 300% budgets.</w:t>
      </w:r>
    </w:p>
    <w:p w14:paraId="679D4E4E" w14:textId="77777777" w:rsidR="00F614DE" w:rsidRDefault="00000000">
      <w:pPr>
        <w:pStyle w:val="3"/>
      </w:pPr>
      <w:bookmarkStart w:id="15" w:name="end-to-end-modelling-of-small-molecules"/>
      <w:bookmarkEnd w:id="14"/>
      <w:r>
        <w:t>End-to-end modelling of small molecules</w:t>
      </w:r>
    </w:p>
    <w:p w14:paraId="18D1F741" w14:textId="77777777" w:rsidR="00F614DE" w:rsidRDefault="00000000">
      <w:pPr>
        <w:pStyle w:val="FirstParagraph"/>
      </w:pPr>
      <w:r>
        <w:t>Successful processing of a small-molecule instance requires successful detection by Find, correct identity assignment by Match and a DG-PocketXmol pose with a heavy-atom RMSD below the specified threshold. We report results under eight combinations of the following test conditions. These combine GT or CA2 receptors, top-1 or best-of-50 poses, and heavy-atom RMSD thresholds of &lt;2 Å or &lt;3 Å.</w:t>
      </w:r>
    </w:p>
    <w:p w14:paraId="4A074830" w14:textId="77777777" w:rsidR="00F614DE" w:rsidRDefault="00000000">
      <w:pPr>
        <w:pStyle w:val="11"/>
      </w:pPr>
      <w:r>
        <w:t>For top-1 poses with RMSD &lt;3 Å, mean completion for CA2 was 47.7% and 53.0% at 100% and 300% budgets, respectively. The corresponding GT values were 60.1% and 61.1% (</w:t>
      </w:r>
      <w:r>
        <w:rPr>
          <w:rStyle w:val="MDFIGREFeJyrrk7LTC9KTbMqLi0o0E01StVNzs8tyEktyczP0y3OTczJqa0FAAWgDjw"/>
        </w:rPr>
        <w:t>Fig. 9</w:t>
      </w:r>
      <w:r>
        <w:t>). For best-of-50 poses, mean completion was 54.7% and 62.8% for CA2, and 66.0% and 66.9% for GT, respectively. The gap between best pose and top-1 pose shows that many correct poses had already been generated but were not ranked first.</w:t>
      </w:r>
    </w:p>
    <w:p w14:paraId="14692F88" w14:textId="77777777" w:rsidR="00F614DE" w:rsidRDefault="00000000">
      <w:pPr>
        <w:keepNext/>
        <w:spacing w:after="0" w:line="240" w:lineRule="auto"/>
        <w:ind w:firstLine="0"/>
        <w:jc w:val="center"/>
      </w:pPr>
      <w:r>
        <w:rPr>
          <w:noProof/>
        </w:rPr>
        <w:lastRenderedPageBreak/>
        <w:drawing>
          <wp:inline distT="0" distB="0" distL="0" distR="0" wp14:anchorId="0C8C3ED0" wp14:editId="7B5277C4">
            <wp:extent cx="5731510" cy="4906519"/>
            <wp:effectExtent l="0" t="0" r="0" b="0"/>
            <wp:docPr id="71" name="Picture" descr="Fig. 9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9rG0cQ_yqDIKUBSScpVhwpqcGR7VCwg0hSKPSKWd2NdIvvdre7e_qTptA-lP5JUgotfSn0sfTJHyCB5KEfoN8hxEk-Rmf3TrIcJyWkkCCwQb7Z3d_8ZnZ29m5nv6woZpNKFyrPf3149PujYLu1fXT4x9NHd48O7z37_uejB3_WlbLTShUqGo1Mxxg7dK8bhp8Y1CYMm-1OsxOGW2gOrFRh-OLwwbPfvntx_4fnfz0Ow4I2DP-DV7AMHafJlaphC2uRzFSKlktRMxlLUweKmHId-xnTB7ki-GeVK5OugmmWCtOdfBRWEmtVNwhMlGDGTF0qFDQ4lDpjlpp6FEykjpWWERrDxShLg1ajcTHIGBdhZcOx9bV_3LSzFGHSHbOUeD_O2Ah7hXmHC-YIhz1AVLtcoPH9S61J1ygWkRniSamLiFprjbBSNm_kqetiuZUlZwl3mlzEBBtybexuodooQTRSOFB4Wvwr5R0prCE9ZiLOSefo_k-0Dk8fPj46vOvtIjN203D2qrFkU5jTSt5WQexMDHx74MVeMWP_JOdvL8LVvDSf0O1CvXDPupXyk3TzUZRLqMdI0B0-qkMH7sC2iGtW1pAmf5wAIIfgcwAymWJEUTN1x2oL7vcQhP8xVVhZz7dTPuID2hQvrQUwTX2UtinWCM3jHIF2GhM8OgWdcJuAkMCszAxk3G9C0Jgyy8cIVoJNkGuwSIvPLC00XLtVhRiVNNxiTNAIlZXawIcpDu35y9DbbFWhp2dykzhb5EEkhbE6j16Caz5K7Pk6sOqgSoZUrQk39m5uwQepvQwt-PvbyxBV49NDF_wQVodVGKCxNTmstRunVEfV5DXjTr8Ou5wCEt9EPIAd2sBPvv5lj9kooefVnKcxKK7QvRNgwgwgLVDOnP-U_Ovr0N-6Ciis5hRBty0092FbW7sIqecFTlNmgl5qVcj9WF9GB2g_3ZNpzeaCmOgdCBREhKUA0d6qw47UK5uSJzdT1pUU1KT8HGRv9DmQwyGPcEtGeUYRnn8MbOL8yApSu3H9SpB5M74nKO2scqhWyXOcv3cWSU4SIIuSxcaY0d7L4xHalZ3kO8rkf745S-X36Dl9DOXErKz77yRJvRNZ19gZZKWfyrvp-4rM7Zfp_OTejyfy-XV5_po3-VtZvHu2g96j51HC9IiOM8y6IyJlFdxKcLlW0HSSlMCNO0iCyLMBal8_5JEr-YZ5uvQZifmYx0Q2mK1sPM5OQG8cKiolNKIAd8w2QcR15IsXOj0PUipZiu6Ys0yK2IBJ5MTnEJ0xavhFzqiMQSY8PkOCiSodpY3CyFUu6YxKAI0zOmJzFwKHGnNJnEtMMadjNx_kLk8JYqHdOFeFZsP9p7Cf81oXnFAcZl6qcl3Jv1H5vAqVxf1Hpb1-odluNqZrncbFdrNz54riUZd-ZQawN8qAWLPJqbuQkoG43oaD1GyucUGj3zoVi9qQApZwZdyCuxmKcZ9HbrldI7o-7msqEU3krPS6gb-TCvyVVFDeSAXLF1KBe3XQNEVOKlzZ_SEfkbNmvyVGjZGZXgqKjv2G--vUlRjRRHhM7OstktxdFcn9-RxpaRZ-HLtUOMhcBHepGDNU9vYSJka4qbWcJMhi45LY8c0HfDYVncR5rLpkoGANTgVhkHK1w9PUWXSy1y8ERl8xjVRsOnFImBtkxY-faCxAwUk-1zKKIjyY7Ml4-cKKdadDnbknLRxMiysqmC2uqny_G8aphciNl-lKqMjByqwtwYTyzzmp0sZeQ5mBEwhNhastzLLxrimwx9Ic7caFLFwPjkXWTQW4G8JOu9UuWF6Jcuuy7S_YlmTWtYyn8-5lORVlvIxarAv9Nipf_QseHQT1"/>
            <wp:cNvGraphicFramePr/>
            <a:graphic xmlns:a="http://schemas.openxmlformats.org/drawingml/2006/main">
              <a:graphicData uri="http://schemas.openxmlformats.org/drawingml/2006/picture">
                <pic:pic xmlns:pic="http://schemas.openxmlformats.org/drawingml/2006/picture">
                  <pic:nvPicPr>
                    <pic:cNvPr id="72" name="Picture" descr="C:/Users/15919/Desktop/论文草稿/temp/manuscript_figures_2ng0gsx8/figure_000009.png"/>
                    <pic:cNvPicPr>
                      <a:picLocks noChangeAspect="1" noChangeArrowheads="1"/>
                    </pic:cNvPicPr>
                  </pic:nvPicPr>
                  <pic:blipFill>
                    <a:blip r:embed="rId15"/>
                    <a:stretch>
                      <a:fillRect/>
                    </a:stretch>
                  </pic:blipFill>
                  <pic:spPr bwMode="auto">
                    <a:xfrm>
                      <a:off x="0" y="0"/>
                      <a:ext cx="5731510" cy="4906519"/>
                    </a:xfrm>
                    <a:prstGeom prst="rect">
                      <a:avLst/>
                    </a:prstGeom>
                    <a:noFill/>
                    <a:ln w="9525">
                      <a:noFill/>
                      <a:headEnd/>
                      <a:tailEnd/>
                    </a:ln>
                  </pic:spPr>
                </pic:pic>
              </a:graphicData>
            </a:graphic>
          </wp:inline>
        </w:drawing>
      </w:r>
    </w:p>
    <w:p w14:paraId="225142EF" w14:textId="77777777" w:rsidR="00F614DE" w:rsidRDefault="00000000">
      <w:pPr>
        <w:pStyle w:val="ImageCaption"/>
        <w:keepLines/>
        <w:spacing w:line="240" w:lineRule="auto"/>
        <w:ind w:firstLine="0"/>
      </w:pPr>
      <w:r>
        <w:rPr>
          <w:rFonts w:ascii="华文仿宋" w:eastAsia="华文仿宋" w:hAnsi="华文仿宋"/>
          <w:b/>
          <w:bCs/>
          <w:sz w:val="18"/>
        </w:rPr>
        <w:t>Fig. 9 | End-to-end completion of small molecules.</w:t>
      </w:r>
      <w:r>
        <w:rPr>
          <w:rFonts w:ascii="华文仿宋" w:eastAsia="华文仿宋" w:hAnsi="华文仿宋"/>
          <w:sz w:val="18"/>
        </w:rPr>
        <w:t xml:space="preserve">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w:t>
      </w:r>
      <m:oMath>
        <m:r>
          <w:rPr>
            <w:rFonts w:ascii="Cambria Math" w:hAnsi="Cambria Math"/>
          </w:rPr>
          <m:t>N</m:t>
        </m:r>
      </m:oMath>
      <w:r>
        <w:rPr>
          <w:rFonts w:ascii="华文仿宋" w:eastAsia="华文仿宋" w:hAnsi="华文仿宋"/>
          <w:sz w:val="18"/>
        </w:rPr>
        <w:t xml:space="preserve"> eligible instances in each PDB entry, budget </w:t>
      </w:r>
      <m:oMath>
        <m:r>
          <w:rPr>
            <w:rFonts w:ascii="Cambria Math" w:hAnsi="Cambria Math"/>
          </w:rPr>
          <m:t>ρ</m:t>
        </m:r>
      </m:oMath>
      <w:r>
        <w:rPr>
          <w:rFonts w:ascii="华文仿宋" w:eastAsia="华文仿宋" w:hAnsi="华文仿宋"/>
          <w:sz w:val="18"/>
        </w:rPr>
        <w:t xml:space="preserve"> allows </w:t>
      </w:r>
      <m:oMath>
        <m:r>
          <m:rPr>
            <m:sty m:val="p"/>
          </m:rPr>
          <w:rPr>
            <w:rFonts w:ascii="Cambria Math" w:hAnsi="Cambria Math"/>
          </w:rPr>
          <m:t>⌊</m:t>
        </m:r>
        <m:r>
          <w:rPr>
            <w:rFonts w:ascii="Cambria Math" w:hAnsi="Cambria Math"/>
          </w:rPr>
          <m:t>ρN</m:t>
        </m:r>
        <m:r>
          <m:rPr>
            <m:sty m:val="p"/>
          </m:rPr>
          <w:rPr>
            <w:rFonts w:ascii="Cambria Math" w:hAnsi="Cambria Math"/>
          </w:rPr>
          <m:t>⌋</m:t>
        </m:r>
      </m:oMath>
      <w:r>
        <w:rPr>
          <w:rFonts w:ascii="华文仿宋" w:eastAsia="华文仿宋" w:hAnsi="华文仿宋"/>
          <w:sz w:val="18"/>
        </w:rPr>
        <w:t xml:space="preserve"> charged attempts. The completion ratio is the number of successful instances divided by </w:t>
      </w:r>
      <m:oMath>
        <m:r>
          <w:rPr>
            <w:rFonts w:ascii="Cambria Math" w:hAnsi="Cambria Math"/>
          </w:rPr>
          <m:t>N</m:t>
        </m:r>
      </m:oMath>
      <w:r>
        <w:rPr>
          <w:rFonts w:ascii="华文仿宋" w:eastAsia="华文仿宋" w:hAnsi="华文仿宋"/>
          <w:sz w:val="18"/>
        </w:rPr>
        <w:t>. Green lines/circles and blue lines/diamonds show the PDB-equal mean and median, respectively; grey points and violins show the distributions at 50%, 100%, 200% and 300% budgets.</w:t>
      </w:r>
    </w:p>
    <w:p w14:paraId="22818C17" w14:textId="77777777" w:rsidR="00F614DE" w:rsidRDefault="00000000">
      <w:pPr>
        <w:pStyle w:val="3"/>
      </w:pPr>
      <w:bookmarkStart w:id="16" w:name="fair-comparison-with-emap2lig"/>
      <w:bookmarkEnd w:id="15"/>
      <w:r>
        <w:lastRenderedPageBreak/>
        <w:t>Fair comparison with Emap2lig</w:t>
      </w:r>
    </w:p>
    <w:p w14:paraId="5EE809D9" w14:textId="77777777" w:rsidR="00F614DE" w:rsidRDefault="00000000">
      <w:pPr>
        <w:keepNext/>
        <w:spacing w:after="0" w:line="240" w:lineRule="auto"/>
        <w:ind w:firstLine="0"/>
        <w:jc w:val="center"/>
      </w:pPr>
      <w:r>
        <w:rPr>
          <w:noProof/>
        </w:rPr>
        <w:drawing>
          <wp:inline distT="0" distB="0" distL="0" distR="0" wp14:anchorId="25C9A1FA" wp14:editId="4357AC64">
            <wp:extent cx="5731510" cy="3829284"/>
            <wp:effectExtent l="0" t="0" r="0" b="0"/>
            <wp:docPr id="75" name="Picture" descr="Fig. 10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OGzX0V6xIIJCSTJLudnenZaVtdrdC2larFsQDg1aOx8lY67GN7cmlFAkeEIJSXop4AfHMUz-ASvSBD-AfKnr5DM6xJ5fttlJVJKpIfUjGl3O_2D7ni4ahvmikpPH0pwePf_kzOegdPH1w78lvv7aN8dNGkzQsd1qOeY5A_TTLPnbcuizrbu50d7Jsn7tTr02WPbv_x5Ofv31297unvz_Mskgty86TU7TkSIr3eGsoVN4aVELmrVxYznyL6dJQK5xWCMuo8UKrk5La08oA1qeNy5PUkGkplUsnH2SNwnuTJoljBS-pa2vDFWwOtS2ph6kdJRNtc2M1484JNSpl0ut0LiYlFSpr7CK1Yxs-N_1McjJJx1QC3Q9LOuL9yB7hkjkEwp5ybo6E4i6sr8wmqTOUARugI2EJCPU2Olmjnt6oJC7RyuuaZg2OmGAKABsK6_xRRO3UQLATBYiSxr96fKiVd4BHHRMCcB7f_RG88M-Dh4_v3wl8OXV-zwn6or1iT7nzSIFXJIwsBmE-CMN-1Dh8QfhbC3N1t-cK3YroUTyPngpKoj4GIonbMQfQQzFqk26H3CaHoN2jr-5dwSAg6H3J0eZkMCNHYkRVfpPzUwJfclBS05MCbCt8AaAWA4bIAEREzpUXXnDXRv4-SvEGzPUfjELWVvIDQKto8JtQTFY5d2Rj4yLh4B0xgLRyJZWyVWrJGeQAADlPFaQkocxq58jWFjnev0LAhxZdSA7OIJI5IsBbWIOMkbwF7EVecQJJTpVg50BDmChNqNelI6UI-U8slyDomBOviS-4sMRzCDrqkS1tDpqwYVpdYrTDFdbMm2TAnZ8vHPGhD-FoxajwEIayKpUDsp9XcIKRgtPxrIUsyY1rN_eJA4WYlzPyrvSXeuSvbwIuTi7ApAl4zkAYg0By1iafgMhCEU5ZQQZVPuIemFPriCv0ZJEAzdXMCFr27UzvAc8eGIVpMK6tmOcgI2fceA0E3uvv9d5vBubPI-ccVBPPgV_9CKCHFtSQqDAYK-jbJlcW4oD10Gkt0JyC3TlVK_l7iXBrtV2R3nDLMEfBqTub70AIeAgeKl3k0u00O50OGWjtQXpq0DAUiTmih4FVDBHwwCGQpSFcQFUP5zi4dW0z52zOl6m-Btdxfb-Vr3S_6eFQML6vWVWCeee3my9QjjIS9bvXLydlYBNWkprPOptqnST31EIqL0-95vIUilm-tpr9T-H799dv4_cNSg73qp64tRX_fwnSIESZOj8jZS2nCWKGtRi5x3U4P_rh-zPx_LI4f8nx_Voc77zNoDcoOSvwCsjhLYqvTYgq0l-WOsKFB46qygG3-NxxFcNydVjJlZdyLsZQ5ORQGK2tFd4-dl7ZVPjQZqcjqyt4sTN4r4scS5RQ_9TBFF_zuvItPWw5BtYiYCr-Yhx3Kozh-dniGHsKu43PmqSxaLA0NrcudDe7nemF7d5Ob3vj9mUjWAq_2k30ldyUWzo512ypKQCt16EBaL6yfEHGvna8xLcXVEmFMA69ghqq8bFg6BOcsOvjYwt1kWPIpZ8moeWVhI5XUje8ktV-V4JZDWqqClCE8SdDMQJh3UlPjTojN91O4sIJ1Didbqdt1AgUETlQ37oII-yJwfh4riO4ZiHHUqQoIEULHml26qC47RdUjfgelFoTqDxzh5GG9OYbobiMi0BzibrCIFJNzhlhIIU5FFIiRxwH_DigcMFY7lmBwyHA3AAuYf_MZAGUnKWHM2fAwoPJNZ2vdsRoOh3aEr_gODKNPTAyW_TCwjpu8ymU3rhfhytAMQSro7YGBqjwnRM11vmrHKpNHAA0NpAiWzo-chF2OZpD477SUfRkOaSpVARbkDubvc1I5YVQ6JeD0MFbGdMUClc5X14dS1Xby5mFX-C32_jyX1CXJKU"/>
            <wp:cNvGraphicFramePr/>
            <a:graphic xmlns:a="http://schemas.openxmlformats.org/drawingml/2006/main">
              <a:graphicData uri="http://schemas.openxmlformats.org/drawingml/2006/picture">
                <pic:pic xmlns:pic="http://schemas.openxmlformats.org/drawingml/2006/picture">
                  <pic:nvPicPr>
                    <pic:cNvPr id="76" name="Picture" descr="C:/Users/15919/Desktop/论文草稿/temp/manuscript_figures_2ng0gsx8/figure_000010.png"/>
                    <pic:cNvPicPr>
                      <a:picLocks noChangeAspect="1" noChangeArrowheads="1"/>
                    </pic:cNvPicPr>
                  </pic:nvPicPr>
                  <pic:blipFill>
                    <a:blip r:embed="rId16"/>
                    <a:stretch>
                      <a:fillRect/>
                    </a:stretch>
                  </pic:blipFill>
                  <pic:spPr bwMode="auto">
                    <a:xfrm>
                      <a:off x="0" y="0"/>
                      <a:ext cx="5731510" cy="3829284"/>
                    </a:xfrm>
                    <a:prstGeom prst="rect">
                      <a:avLst/>
                    </a:prstGeom>
                    <a:noFill/>
                    <a:ln w="9525">
                      <a:noFill/>
                      <a:headEnd/>
                      <a:tailEnd/>
                    </a:ln>
                  </pic:spPr>
                </pic:pic>
              </a:graphicData>
            </a:graphic>
          </wp:inline>
        </w:drawing>
      </w:r>
    </w:p>
    <w:p w14:paraId="06CEAC37" w14:textId="77777777" w:rsidR="00F614DE" w:rsidRDefault="00000000">
      <w:pPr>
        <w:pStyle w:val="ImageCaption"/>
        <w:keepLines/>
        <w:spacing w:line="240" w:lineRule="auto"/>
        <w:ind w:firstLine="0"/>
      </w:pPr>
      <w:r>
        <w:rPr>
          <w:rFonts w:ascii="华文仿宋" w:eastAsia="华文仿宋" w:hAnsi="华文仿宋"/>
          <w:b/>
          <w:bCs/>
          <w:sz w:val="18"/>
        </w:rPr>
        <w:t>Fig. 10 | Find–Build completion by LigandSeek and Emap2lig with correct ligand identities.</w:t>
      </w:r>
      <w:r>
        <w:rPr>
          <w:rFonts w:ascii="华文仿宋" w:eastAsia="华文仿宋" w:hAnsi="华文仿宋"/>
          <w:sz w:val="18"/>
        </w:rPr>
        <w:t xml:space="preserve">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w:t>
      </w:r>
      <m:oMath>
        <m:r>
          <w:rPr>
            <w:rFonts w:ascii="Cambria Math" w:hAnsi="Cambria Math"/>
          </w:rPr>
          <m:t>N</m:t>
        </m:r>
      </m:oMath>
      <w:r>
        <w:rPr>
          <w:rFonts w:ascii="华文仿宋" w:eastAsia="华文仿宋" w:hAnsi="华文仿宋"/>
          <w:sz w:val="18"/>
        </w:rPr>
        <w:t xml:space="preserve"> target instances, relative budget </w:t>
      </w:r>
      <m:oMath>
        <m:r>
          <w:rPr>
            <w:rFonts w:ascii="Cambria Math" w:hAnsi="Cambria Math"/>
          </w:rPr>
          <m:t>ρ</m:t>
        </m:r>
      </m:oMath>
      <w:r>
        <w:rPr>
          <w:rFonts w:ascii="华文仿宋" w:eastAsia="华文仿宋" w:hAnsi="华文仿宋"/>
          <w:sz w:val="18"/>
        </w:rPr>
        <w:t xml:space="preserve"> allows </w:t>
      </w:r>
      <m:oMath>
        <m:r>
          <m:rPr>
            <m:sty m:val="p"/>
          </m:rPr>
          <w:rPr>
            <w:rFonts w:ascii="Cambria Math" w:hAnsi="Cambria Math"/>
          </w:rPr>
          <m:t>⌊</m:t>
        </m:r>
        <m:r>
          <w:rPr>
            <w:rFonts w:ascii="Cambria Math" w:hAnsi="Cambria Math"/>
          </w:rPr>
          <m:t>ρN</m:t>
        </m:r>
        <m:r>
          <m:rPr>
            <m:sty m:val="p"/>
          </m:rPr>
          <w:rPr>
            <w:rFonts w:ascii="Cambria Math" w:hAnsi="Cambria Math"/>
          </w:rPr>
          <m:t>⌋</m:t>
        </m:r>
      </m:oMath>
      <w:r>
        <w:rPr>
          <w:rFonts w:ascii="华文仿宋" w:eastAsia="华文仿宋" w:hAnsi="华文仿宋"/>
          <w:sz w:val="18"/>
        </w:rPr>
        <w:t xml:space="preserve"> charged attempts. Completion is the number of successful instances divided by </w:t>
      </w:r>
      <m:oMath>
        <m:r>
          <w:rPr>
            <w:rFonts w:ascii="Cambria Math" w:hAnsi="Cambria Math"/>
          </w:rPr>
          <m:t>N</m:t>
        </m:r>
      </m:oMath>
      <w:r>
        <w:rPr>
          <w:rFonts w:ascii="华文仿宋" w:eastAsia="华文仿宋" w:hAnsi="华文仿宋"/>
          <w:sz w:val="18"/>
        </w:rPr>
        <w:t>. Background candidates are charged, and out-of-scope foreground candidates are skipped.</w:t>
      </w:r>
    </w:p>
    <w:p w14:paraId="41B1806A" w14:textId="77777777" w:rsidR="00F614DE" w:rsidRDefault="00000000">
      <w:pPr>
        <w:pStyle w:val="11"/>
      </w:pPr>
      <w:r>
        <w:t>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 (</w:t>
      </w:r>
      <w:r>
        <w:rPr>
          <w:rStyle w:val="MDFIGREFeJyrrk7LTC9KTbNKNUrVTcvMS9FNKs3MSdFNySxKTS7RTc7PLUgsyizOz6utBQBnQxC1"/>
        </w:rPr>
        <w:t>Fig. 10</w:t>
      </w:r>
      <w:r>
        <w:t xml:space="preserve">), assuming an ideal, always-successful Match stage for both methods. We then evaluated both pipelines on the same 77 PDBs containing 446 eligible small-molecule instances. LigandSeek used DG-PocketXmol centre docking guided by predicted blob centroids, whereas Emap2lig used its native blob-guided Build model. Background candidates consumed one attempt, and out-of-scope foreground </w:t>
      </w:r>
      <w:r>
        <w:lastRenderedPageBreak/>
        <w:t>candidates were skipped without consuming an attempt. Undetected instances remained in the full denominator throughout the completion analysis.</w:t>
      </w:r>
    </w:p>
    <w:p w14:paraId="51983275" w14:textId="77777777" w:rsidR="00F614DE" w:rsidRDefault="00000000">
      <w:pPr>
        <w:pStyle w:val="11"/>
      </w:pPr>
      <w:r>
        <w:t>For top-1 poses with RMSD &lt;3 Å, mean completion at a 100% budget was 63.2% for GT, 49.6% for CA2 and 39.9% for Emap2lig. Increasing the budget to 300% raised these values to 64.2%, 55.0% and 43.7%, respectively. Using best-of-50 poses at the same threshold, completion at a 100% budget reached 70.5%, 58.0% and 45.3%, respectively. At a 300% budget, the corresponding completion values were 71.5%, 66.3% and 51.2%, respectively. With correct identities supplied to both pipelines, LigandSeek completed more instances, demonstrating its combined advantage in localisation and pose reconstruction.</w:t>
      </w:r>
    </w:p>
    <w:p w14:paraId="56D48513" w14:textId="77777777" w:rsidR="00F614DE" w:rsidRDefault="00000000">
      <w:pPr>
        <w:pStyle w:val="11"/>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 </w:t>
      </w:r>
      <w:r>
        <w:rPr>
          <w:rStyle w:val="MDFIGREFeJyrrk7LTC9KTbNKNUrVTcvMS9FNKs3MSdFNySxKTS7RTc7PLUgsyizOz6utBQBnQxC1"/>
        </w:rPr>
        <w:t>Fig. 10</w:t>
      </w:r>
      <w:r>
        <w:t xml:space="preserve"> and </w:t>
      </w:r>
      <w:r>
        <w:rPr>
          <w:rStyle w:val="MDFIGREFeJyrrk7LTC9KTbMqLi0o0E01StVNzs8tyEktyczP0y3OTczJqa0FAAWgDjw"/>
        </w:rPr>
        <w:t>Fig. 9</w:t>
      </w:r>
      <w:r>
        <w:t xml:space="preserve"> shows that the full LigandSeek pipeline still outperforms it.</w:t>
      </w:r>
    </w:p>
    <w:p w14:paraId="32020A30" w14:textId="77777777" w:rsidR="00F614DE" w:rsidRDefault="00000000">
      <w:pPr>
        <w:pStyle w:val="11"/>
      </w:pPr>
      <w:r>
        <w:t>Full completion curves and per-PDB distributions are shown in Supplementary Fig. 5.</w:t>
      </w:r>
    </w:p>
    <w:p w14:paraId="134D9694" w14:textId="77777777" w:rsidR="00F614DE" w:rsidRDefault="00000000">
      <w:pPr>
        <w:pStyle w:val="3"/>
      </w:pPr>
      <w:bookmarkStart w:id="17" w:name="representative-cases"/>
      <w:bookmarkEnd w:id="16"/>
      <w:r>
        <w:t>Representative cases</w:t>
      </w:r>
    </w:p>
    <w:p w14:paraId="229655A7" w14:textId="77777777" w:rsidR="00F614DE" w:rsidRDefault="00000000">
      <w:pPr>
        <w:pStyle w:val="FirstParagraph"/>
      </w:pPr>
      <w:r>
        <w:t>We selected two representative cases to illustrate the end-to-end pipeline for all-atom small-molecule pose reconstruction, using CryoAtom2-reconstructed rather than deposited receptor structures as input (</w:t>
      </w:r>
      <w:r>
        <w:rPr>
          <w:rStyle w:val="MDFIGREFeJyrrk7LTC9KTbNKNUrVTcvJL9e1zMlJ14HzjA3SE2trAQ6KDYk"/>
        </w:rPr>
        <w:t>Figs. 11–12</w:t>
      </w:r>
      <w:r>
        <w:t>).</w:t>
      </w:r>
    </w:p>
    <w:p w14:paraId="7C60AFBF" w14:textId="77777777" w:rsidR="00F614DE" w:rsidRDefault="00000000">
      <w:pPr>
        <w:pStyle w:val="11"/>
      </w:pPr>
      <w:r>
        <w:t>In 9LLG (</w:t>
      </w:r>
      <w:r>
        <w:rPr>
          <w:rStyle w:val="MDFIGREFeJyrrk7LTC9KTbNKNUrVTcvJL9e1zMlJr60FAHM2CSQ"/>
        </w:rPr>
        <w:t>Fig. 11</w:t>
      </w:r>
      <w:r>
        <w:t>), Find’s Rank 1 candidate hit the ground-truth ligand region of A1EKL (R:602). Match correctly identified A1EKL among the three candidate identities PLM, A1EKL and CLR. DG-PocketXmol then generated a top-1 pose with a heavy-atom RMSD of 0.88 Å.</w:t>
      </w:r>
    </w:p>
    <w:p w14:paraId="2443288D" w14:textId="77777777" w:rsidR="00F614DE" w:rsidRDefault="00000000">
      <w:pPr>
        <w:keepNext/>
        <w:spacing w:after="0" w:line="240" w:lineRule="auto"/>
        <w:ind w:firstLine="0"/>
        <w:jc w:val="center"/>
      </w:pPr>
      <w:r>
        <w:rPr>
          <w:noProof/>
        </w:rPr>
        <w:lastRenderedPageBreak/>
        <w:drawing>
          <wp:inline distT="0" distB="0" distL="0" distR="0" wp14:anchorId="157D577D" wp14:editId="0492241D">
            <wp:extent cx="5496525" cy="6691630"/>
            <wp:effectExtent l="0" t="0" r="0" b="0"/>
            <wp:docPr id="79" name="Picture" descr="Fig. 11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rHDfwr4h7auDOe3eJTe5IA87FNqWXYpK0FLrFyLuze6p1kpC095GmkL60CWnah5ZA6VOfGigkfelLA8l_CXGcn9GZ1d5HEhfS9qG-YsN5pfmWZjTSzOc1w_2g1mW1ox8eH_70JNpqb734-fbzJ3cPv3v08pevDr-53zj69dHh7d_w_4vfvzx6cPfozu290dk1Y_ykVmc1C07LEaQko9eN4w8dWBfHrfVOqxPHl8EdeG3i-OXDP17c__rlvTtHD57GcVAWx39bm-JDIE3QhkYm9bjRkTInRMKNF1rtDbk9KAySfFK7MO4aNhlK5brjd-PawHvTjSKXDGDI3Zo2oBCZaTvkHqc2j8bapsbqBJwTKh_KqN1sbkRDLlRcu0jSdm35ueanEti4O-IS5b435Dn0gnqii2YURHsAYPpCgSvhS7Nx1xmeoBqUIxGEgtrnmnGtml4tJIF44XUlsyInTqFSJMuEdb4fWJsVEWKCAcHS8K8ab2vlHfJxlwiBPIf3vkWPPH_89PDh3VIvcOc3neDH4Qabyr3JVOoKgknFfjnfL4e9sOLyi8bfmG9X6_xsQTcCezDPk6fKRdJ6DEYV2BEg6bbI11irxW6yLZU2vG4Art5oB8xCopXztkho65nO2GZr6_0-e-dqd6PZPsOEYp1-f2eNtPig6z_YlH-xdLaylm9jINbZFe6TAePor0uFkClLQWkPrC9yhF0DOGgEuiXAgmUJWHLX0d_OAPp6BHJ66tSTdEb5s1vfJyvrkTrbmhiwYgjKc0lR6oSf1pkfAOvZqd70ethuLGUbSCn3gPHasnd6m5hqKGCJPAXMTOJVgp3rZ06j9SRFa7qy3qizHkaaSLmn2y_HW88xRKeijMn9KQv5dCz8gO3rCTiGb4kDemR4Xcan1AlG-EjA2DG8MglkRT7wpwF6kgIUVtYb9ZW1_P8YR9nKeqPOdqwu6L1vCx_eg4s8J8uX4SwB1pkb6LFi3JfpzGGByLQVdJeXZQGROsx6cJrjTlJs5ivrjTrblJJRF0HQZSrwveiFF3jZZlYPF0G4e_kSQ5SdVhcyIaryxjmRK3puMl14KvdTKlb3ZXEapCcqSAdY13y2sh6ps4_CQy8rY29XJwfgP76iZcMXFHJem0YrtFJ4zgUWN-FBOKtcXGEzFFpncEx5VObVRblDUl6r0Nl1FLakQzhmuTpA4rJzRc9VUjfUKchnt35EOzGLu0RbWGNXKxsc4xZYbgFUfa4ZBSGkKtA8tzn46jIglEYlOdqyuC9IexBEJ-wYwwPSA5fB6GOqOBRcOARoJacsQ4CFDCyoBKmFM5KHDcmEwi0C9FdR3j71EorMCkZAO2qMFCiGu7BuPPameO31Te27i7VP66w272XW1s91Ntbb65ONjU5r42zz5gUjki7-qvYmf6v2Zmr5-I2-ZiUBZf0TGcjmCwtzMfathOgsEwlc1klBMRUkWZDljrmBMI7inFaoRrsioSinSfLBaNeib1xCWnrdqOw0R2WjOar6zNFymznyMDS4TFUgizB-LxM5Guv22ipv5m5yPgqAvSb-tVprRuW4EJGi9PPUiaVeM453Z2tE18ztWJgUDOS0g308Yehq3RtQCG5aq8cD4Kmjs0vyZojykAQgylywLikIUqM3NmFfCrMtpCSNNC75w4B3nbeA9wsNM6TBQ-RL_CuTOVH0qjyaOYM7vD--gqG51Hzm3Ulmh_RFx7FJaDez6bztXMIJDRPPEsJX4YpUCZFVUVsRI1X5nQk1mAx2AG9OGiA1njkf1PJR3wXaxWhGTXilg-nRYsi7UjHq9ndK_X9JRX7ZKpvlS2Pe9VzIGXh5LFW1X87M_YK_i7Uv_gTAcLkA"/>
            <wp:cNvGraphicFramePr/>
            <a:graphic xmlns:a="http://schemas.openxmlformats.org/drawingml/2006/main">
              <a:graphicData uri="http://schemas.openxmlformats.org/drawingml/2006/picture">
                <pic:pic xmlns:pic="http://schemas.openxmlformats.org/drawingml/2006/picture">
                  <pic:nvPicPr>
                    <pic:cNvPr id="80" name="Picture" descr="C:/Users/15919/Desktop/论文草稿/temp/manuscript_figures_2ng0gsx8/figure_000011.png"/>
                    <pic:cNvPicPr>
                      <a:picLocks noChangeAspect="1" noChangeArrowheads="1"/>
                    </pic:cNvPicPr>
                  </pic:nvPicPr>
                  <pic:blipFill>
                    <a:blip r:embed="rId17"/>
                    <a:stretch>
                      <a:fillRect/>
                    </a:stretch>
                  </pic:blipFill>
                  <pic:spPr bwMode="auto">
                    <a:xfrm>
                      <a:off x="0" y="0"/>
                      <a:ext cx="5496525" cy="6691630"/>
                    </a:xfrm>
                    <a:prstGeom prst="rect">
                      <a:avLst/>
                    </a:prstGeom>
                    <a:noFill/>
                    <a:ln w="9525">
                      <a:noFill/>
                      <a:headEnd/>
                      <a:tailEnd/>
                    </a:ln>
                  </pic:spPr>
                </pic:pic>
              </a:graphicData>
            </a:graphic>
          </wp:inline>
        </w:drawing>
      </w:r>
    </w:p>
    <w:p w14:paraId="3F776DEF" w14:textId="77777777" w:rsidR="00F614DE" w:rsidRDefault="00000000">
      <w:pPr>
        <w:pStyle w:val="ImageCaption"/>
        <w:keepLines/>
        <w:spacing w:line="240" w:lineRule="auto"/>
        <w:ind w:firstLine="0"/>
      </w:pPr>
      <w:r>
        <w:rPr>
          <w:rFonts w:ascii="华文仿宋" w:eastAsia="华文仿宋" w:hAnsi="华文仿宋"/>
          <w:b/>
          <w:bCs/>
          <w:sz w:val="18"/>
        </w:rPr>
        <w:t>Fig. 11 | End-to-end pose reconstruction of A1EKL (R:602) in 9LLG.</w:t>
      </w:r>
      <w:r>
        <w:rPr>
          <w:rFonts w:ascii="华文仿宋" w:eastAsia="华文仿宋" w:hAnsi="华文仿宋"/>
          <w:sz w:val="18"/>
        </w:rPr>
        <w:t xml:space="preserve"> Find, Match and Build denote LigandSeek-Find, LigandSeek-Match and LigandSeek-Build, respectively. </w:t>
      </w:r>
      <w:r>
        <w:rPr>
          <w:rFonts w:ascii="华文仿宋" w:eastAsia="华文仿宋" w:hAnsi="华文仿宋"/>
          <w:b/>
          <w:bCs/>
          <w:sz w:val="18"/>
        </w:rPr>
        <w:t>a–c</w:t>
      </w:r>
      <w:r>
        <w:rPr>
          <w:rFonts w:ascii="华文仿宋" w:eastAsia="华文仿宋" w:hAnsi="华文仿宋"/>
          <w:sz w:val="18"/>
        </w:rPr>
        <w:t xml:space="preserve">, Experimental density, the CryoAtom2-reconstructed receptor (CA2) and the deposited receptor (GT). </w:t>
      </w:r>
      <w:r>
        <w:rPr>
          <w:rFonts w:ascii="华文仿宋" w:eastAsia="华文仿宋" w:hAnsi="华文仿宋"/>
          <w:b/>
          <w:bCs/>
          <w:sz w:val="18"/>
        </w:rPr>
        <w:t>d</w:t>
      </w:r>
      <w:r>
        <w:rPr>
          <w:rFonts w:ascii="华文仿宋" w:eastAsia="华文仿宋" w:hAnsi="华文仿宋"/>
          <w:sz w:val="18"/>
        </w:rPr>
        <w:t xml:space="preserve">, Candidate regions predicted by Find, with boxes linking to the local views on the right. </w:t>
      </w:r>
      <w:r>
        <w:rPr>
          <w:rFonts w:ascii="华文仿宋" w:eastAsia="华文仿宋" w:hAnsi="华文仿宋"/>
          <w:b/>
          <w:bCs/>
          <w:sz w:val="18"/>
        </w:rPr>
        <w:t>e</w:t>
      </w:r>
      <w:r>
        <w:rPr>
          <w:rFonts w:ascii="华文仿宋" w:eastAsia="华文仿宋" w:hAnsi="华文仿宋"/>
          <w:sz w:val="18"/>
        </w:rPr>
        <w:t xml:space="preserve">, </w:t>
      </w:r>
      <w:r>
        <w:rPr>
          <w:rFonts w:ascii="华文仿宋" w:eastAsia="华文仿宋" w:hAnsi="华文仿宋"/>
          <w:b/>
          <w:bCs/>
          <w:sz w:val="18"/>
        </w:rPr>
        <w:t>f</w:t>
      </w:r>
      <w:r>
        <w:rPr>
          <w:rFonts w:ascii="华文仿宋" w:eastAsia="华文仿宋" w:hAnsi="华文仿宋"/>
          <w:sz w:val="18"/>
        </w:rPr>
        <w:t xml:space="preserve">, Ground-truth and predicted ligand regions, shown at the same orientation and scale. </w:t>
      </w:r>
      <w:r>
        <w:rPr>
          <w:rFonts w:ascii="华文仿宋" w:eastAsia="华文仿宋" w:hAnsi="华文仿宋"/>
          <w:b/>
          <w:bCs/>
          <w:sz w:val="18"/>
        </w:rPr>
        <w:t>g</w:t>
      </w:r>
      <w:r>
        <w:rPr>
          <w:rFonts w:ascii="华文仿宋" w:eastAsia="华文仿宋" w:hAnsi="华文仿宋"/>
          <w:sz w:val="18"/>
        </w:rPr>
        <w:t xml:space="preserve">, All chemical identities from the same PDB entry, with the Match assignment outlined in blue. </w:t>
      </w:r>
      <w:r>
        <w:rPr>
          <w:rFonts w:ascii="华文仿宋" w:eastAsia="华文仿宋" w:hAnsi="华文仿宋"/>
          <w:b/>
          <w:bCs/>
          <w:sz w:val="18"/>
        </w:rPr>
        <w:t>h–j</w:t>
      </w:r>
      <w:r>
        <w:rPr>
          <w:rFonts w:ascii="华文仿宋" w:eastAsia="华文仿宋" w:hAnsi="华文仿宋"/>
          <w:sz w:val="18"/>
        </w:rPr>
        <w:t>,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14:paraId="63C132F4" w14:textId="77777777" w:rsidR="00F614DE" w:rsidRDefault="00000000">
      <w:pPr>
        <w:pStyle w:val="11"/>
      </w:pPr>
      <w:r>
        <w:lastRenderedPageBreak/>
        <w:t>In 30GA (</w:t>
      </w:r>
      <w:r>
        <w:rPr>
          <w:rStyle w:val="MDFIGREFeJyrrk7LTC9KTbNKNUrVTcvJL9c1NkhPrK0FAHHACNc"/>
        </w:rPr>
        <w:t>Fig. 12</w:t>
      </w:r>
      <w:r>
        <w:t>), Find’s Rank 1 candidate was a background false positive and consumed one search attempt. The Rank 2 candidate then hit ATP (N:401), and Match correctly identified ATP. DG-PocketXmol subsequently generated a pose with a heavy-atom RMSD of 1.04 Å.</w:t>
      </w:r>
    </w:p>
    <w:p w14:paraId="05CC9F46" w14:textId="77777777" w:rsidR="00F614DE" w:rsidRDefault="00000000">
      <w:pPr>
        <w:keepNext/>
        <w:spacing w:after="0" w:line="240" w:lineRule="auto"/>
        <w:ind w:firstLine="0"/>
        <w:jc w:val="center"/>
      </w:pPr>
      <w:r>
        <w:rPr>
          <w:noProof/>
        </w:rPr>
        <w:lastRenderedPageBreak/>
        <w:drawing>
          <wp:inline distT="0" distB="0" distL="0" distR="0" wp14:anchorId="75802DDF" wp14:editId="516CACD6">
            <wp:extent cx="5496525" cy="6691630"/>
            <wp:effectExtent l="0" t="0" r="0" b="0"/>
            <wp:docPr id="82" name="Picture" descr="Fig. 12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VEcU_1eGfVLYzd3dmGAWK6xrEgpRgtpS6C1hcu-5d6e5OzPMzN0Pa8G-tIq1fWgRSp_6VKGgfelLBf1fxBj_jJ4zc_dDTcG2D81KAps7cz5-58ycM1_ni5rmrl_rsNrRj08Of34abbY3X_5y58XTe4ffP37169eH3z5oHP32-PDO7_j_5R9fHT28d3T3zt5wdUVrN67VWc2AVcUQUsLodeL4IwvGxnFrbaO1EceXwR44peP41aM_Xz745tX9u0cPn8VxMBbH_9ia5AMgS9CGRlaoUWO1mXNiJFw7oeTegJuDUqPIp7ULo45m40EhbWf0QVzrO6c7UWSTPgy4XVEaJDIzZQbcYdfk0UiZVBuVgLVC5oMiajeb69GACxnXLhLarvGf625SABt1hrxA3A8HPIdeME9y0VSCZA8A9I6QYD19oTfqWM0TNIM4BZIQqH2uGdeq7rWyIBIvnaowK3HSFDJFsUwY63aCarMSQk5wIHga_lXtLSWdRT1uEyFQ5_D-dxiRF0-eHT665-0Ct65rBT-O1-9K-7aStxWAycS-7-_7Zi-M2H_R-Zuz6Wqdnw7oZlAP7jmKlB8kjUdjVoEZAopuiXyFtdrsFtuUacOpBuDotbLADCRKWmfKhKaeqYx1b-yyM1c755qts0xIttrc7q6QDRcs_Q9T8h8GzpbW8y1Mwzq7wl3SZxyjdakURcpSkMoB2xE50q4DHDSC3AJhrrJA9Np1jLbVgJEeQjE5DepJWqH8-e0fkqWNSJ1tjjUYMQDpeEFZaoWb1JnrA-uZieo6NWg3FvYaSGnnAe2UYWd63fZZn7AkngLuS-J1ge0bZ0-z9SRla7q00aizHmaaSLmjsy_HM88yZKfC5-T-hIX9dCRcn-2rMViGN4kDumI45fOzUAlm-FDAyDI8MIlkRN53pwl6khIUljYa9aX1_H3Mo2xpo1Fn20aVdNs3pQv3wfk-V_ib4XQDrDPbVyPJuPPbmcXnIVNG0FnuHwUkanHXg9M97iTlZr600aizblEwqiEIOkwF3hedcAIP28yowTwJdy9fYsgyk-pAJkb1vLFW5JKum0yVjh77KT1W94vyNElPVJL28V3z-dJGpM4-Dhe9zOferkoOwH1yRRUNV1LKOaUbrVBI4TkX-LgJF8Lpy8WWJkPQOoNjnkd-X50_dwjljRc6u4FgCzaEZYbLAxT2dSu6rpK5gUqheH77J_QTd3GbKAMr7Frlg2XcAMsNgKzPLCMQUqoHmuMmB1cdBsRSaCRHX-bnBVkPQLTCjnE8MB3wIjh9zCsOgUuLBCWLCcuQYCADAzJBaWF1wcOEZELiFAHGq_SnT91TUVnCEGhGtS4EwnAbxo3LXpdv3L6peHex9lmd1WaVzNrauY31tfbaeH19o7W-2rx1QYukg7-quMnfqbiZGj56q6pZISDWv8FANVcamMGYdwJRWSYSuKySknIqIBko_IzZvtCW8pxGKIe7IqEsp05ydbhrMDY2ISu9TuTrzJEvM0dVlTlaLDJHDgYahylLVBHa7WUiR2ftXlvmzdyOz0eBsNfEv1Z7RcscByJSRD-_ii2qNGN7dzpGDM3Mj7lLwUFOM7iDKwxDrXp9SsGuMWrUB55aWruEN2X4RRKIiDlXXTAQUKO3JmG_EHpLFAVZpLbXDw3esc4Ani_UzFAGF5Hz_Nc6M6HodTzqWY0zvD-6gqm5UHrmnXFmBvTFwLFxKDazyazo7OnEhrFjCfGrdEWphMSqrK2EUcp_p6AaN4NtwJOTGiiNa84Fs3y4Y4PsvDWVJr5UwfVo3uSdQjKq9W94-38rRXHZ9KXyhTbvOC6KKXmxXchqvqyexQV_F2tf_gV_U7gb"/>
            <wp:cNvGraphicFramePr/>
            <a:graphic xmlns:a="http://schemas.openxmlformats.org/drawingml/2006/main">
              <a:graphicData uri="http://schemas.openxmlformats.org/drawingml/2006/picture">
                <pic:pic xmlns:pic="http://schemas.openxmlformats.org/drawingml/2006/picture">
                  <pic:nvPicPr>
                    <pic:cNvPr id="83" name="Picture" descr="C:/Users/15919/Desktop/论文草稿/temp/manuscript_figures_2ng0gsx8/figure_000012.png"/>
                    <pic:cNvPicPr>
                      <a:picLocks noChangeAspect="1" noChangeArrowheads="1"/>
                    </pic:cNvPicPr>
                  </pic:nvPicPr>
                  <pic:blipFill>
                    <a:blip r:embed="rId18"/>
                    <a:stretch>
                      <a:fillRect/>
                    </a:stretch>
                  </pic:blipFill>
                  <pic:spPr bwMode="auto">
                    <a:xfrm>
                      <a:off x="0" y="0"/>
                      <a:ext cx="5496525" cy="6691630"/>
                    </a:xfrm>
                    <a:prstGeom prst="rect">
                      <a:avLst/>
                    </a:prstGeom>
                    <a:noFill/>
                    <a:ln w="9525">
                      <a:noFill/>
                      <a:headEnd/>
                      <a:tailEnd/>
                    </a:ln>
                  </pic:spPr>
                </pic:pic>
              </a:graphicData>
            </a:graphic>
          </wp:inline>
        </w:drawing>
      </w:r>
    </w:p>
    <w:p w14:paraId="1606F1BC" w14:textId="77777777" w:rsidR="00F614DE" w:rsidRDefault="00000000">
      <w:pPr>
        <w:pStyle w:val="ImageCaption"/>
        <w:keepLines/>
        <w:spacing w:line="240" w:lineRule="auto"/>
        <w:ind w:firstLine="0"/>
      </w:pPr>
      <w:r>
        <w:rPr>
          <w:rFonts w:ascii="华文仿宋" w:eastAsia="华文仿宋" w:hAnsi="华文仿宋"/>
          <w:b/>
          <w:bCs/>
          <w:sz w:val="18"/>
        </w:rPr>
        <w:t>Fig. 12 | End-to-end pose reconstruction of ATP (N:401) in 30GA.</w:t>
      </w:r>
      <w:r>
        <w:rPr>
          <w:rFonts w:ascii="华文仿宋" w:eastAsia="华文仿宋" w:hAnsi="华文仿宋"/>
          <w:sz w:val="18"/>
        </w:rPr>
        <w:t xml:space="preserve"> Find, Match and Build denote LigandSeek-Find, LigandSeek-Match and LigandSeek-Build, respectively. </w:t>
      </w:r>
      <w:r>
        <w:rPr>
          <w:rFonts w:ascii="华文仿宋" w:eastAsia="华文仿宋" w:hAnsi="华文仿宋"/>
          <w:b/>
          <w:bCs/>
          <w:sz w:val="18"/>
        </w:rPr>
        <w:t>a–c</w:t>
      </w:r>
      <w:r>
        <w:rPr>
          <w:rFonts w:ascii="华文仿宋" w:eastAsia="华文仿宋" w:hAnsi="华文仿宋"/>
          <w:sz w:val="18"/>
        </w:rPr>
        <w:t xml:space="preserve">, Experimental density, the CryoAtom2-reconstructed receptor (CA2) and the deposited receptor (GT). </w:t>
      </w:r>
      <w:r>
        <w:rPr>
          <w:rFonts w:ascii="华文仿宋" w:eastAsia="华文仿宋" w:hAnsi="华文仿宋"/>
          <w:b/>
          <w:bCs/>
          <w:sz w:val="18"/>
        </w:rPr>
        <w:t>d</w:t>
      </w:r>
      <w:r>
        <w:rPr>
          <w:rFonts w:ascii="华文仿宋" w:eastAsia="华文仿宋" w:hAnsi="华文仿宋"/>
          <w:sz w:val="18"/>
        </w:rPr>
        <w:t xml:space="preserve">, Candidate regions predicted by Find, with boxes linking to the local views on the right. </w:t>
      </w:r>
      <w:r>
        <w:rPr>
          <w:rFonts w:ascii="华文仿宋" w:eastAsia="华文仿宋" w:hAnsi="华文仿宋"/>
          <w:b/>
          <w:bCs/>
          <w:sz w:val="18"/>
        </w:rPr>
        <w:t>e</w:t>
      </w:r>
      <w:r>
        <w:rPr>
          <w:rFonts w:ascii="华文仿宋" w:eastAsia="华文仿宋" w:hAnsi="华文仿宋"/>
          <w:sz w:val="18"/>
        </w:rPr>
        <w:t xml:space="preserve">, </w:t>
      </w:r>
      <w:r>
        <w:rPr>
          <w:rFonts w:ascii="华文仿宋" w:eastAsia="华文仿宋" w:hAnsi="华文仿宋"/>
          <w:b/>
          <w:bCs/>
          <w:sz w:val="18"/>
        </w:rPr>
        <w:t>f</w:t>
      </w:r>
      <w:r>
        <w:rPr>
          <w:rFonts w:ascii="华文仿宋" w:eastAsia="华文仿宋" w:hAnsi="华文仿宋"/>
          <w:sz w:val="18"/>
        </w:rPr>
        <w:t xml:space="preserve">, Ground-truth and predicted ligand regions, shown at the same orientation and scale. </w:t>
      </w:r>
      <w:r>
        <w:rPr>
          <w:rFonts w:ascii="华文仿宋" w:eastAsia="华文仿宋" w:hAnsi="华文仿宋"/>
          <w:b/>
          <w:bCs/>
          <w:sz w:val="18"/>
        </w:rPr>
        <w:t>g</w:t>
      </w:r>
      <w:r>
        <w:rPr>
          <w:rFonts w:ascii="华文仿宋" w:eastAsia="华文仿宋" w:hAnsi="华文仿宋"/>
          <w:sz w:val="18"/>
        </w:rPr>
        <w:t xml:space="preserve">, All chemical identities from the same PDB entry, with the Match assignment outlined in blue. </w:t>
      </w:r>
      <w:r>
        <w:rPr>
          <w:rFonts w:ascii="华文仿宋" w:eastAsia="华文仿宋" w:hAnsi="华文仿宋"/>
          <w:b/>
          <w:bCs/>
          <w:sz w:val="18"/>
        </w:rPr>
        <w:t>h–j</w:t>
      </w:r>
      <w:r>
        <w:rPr>
          <w:rFonts w:ascii="华文仿宋" w:eastAsia="华文仿宋" w:hAnsi="华文仿宋"/>
          <w:sz w:val="18"/>
        </w:rPr>
        <w:t>,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14:paraId="237480B5" w14:textId="77777777" w:rsidR="00F614DE" w:rsidRDefault="00000000">
      <w:pPr>
        <w:pStyle w:val="1"/>
      </w:pPr>
      <w:bookmarkStart w:id="18" w:name="discussion"/>
      <w:bookmarkEnd w:id="3"/>
      <w:bookmarkEnd w:id="12"/>
      <w:bookmarkEnd w:id="17"/>
      <w:r>
        <w:lastRenderedPageBreak/>
        <w:t>Discussion</w:t>
      </w:r>
    </w:p>
    <w:p w14:paraId="477A5733" w14:textId="77777777" w:rsidR="00F614DE" w:rsidRDefault="00000000">
      <w:pPr>
        <w:pStyle w:val="FirstParagraph"/>
      </w:pPr>
      <w:r>
        <w:t>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14:paraId="3B702940" w14:textId="77777777" w:rsidR="00F614DE" w:rsidRDefault="00000000">
      <w:pPr>
        <w:pStyle w:val="11"/>
      </w:pPr>
      <w:r>
        <w:t>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DG-PocketXmol,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14:paraId="58EB6167" w14:textId="77777777" w:rsidR="00F614DE" w:rsidRDefault="00000000">
      <w:pPr>
        <w:pStyle w:val="11"/>
      </w:pPr>
      <w:r>
        <w:t>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p w14:paraId="59048E7F" w14:textId="77777777" w:rsidR="00F614DE" w:rsidRDefault="00000000">
      <w:pPr>
        <w:pStyle w:val="1"/>
      </w:pPr>
      <w:bookmarkStart w:id="19" w:name="methods"/>
      <w:bookmarkEnd w:id="18"/>
      <w:r>
        <w:lastRenderedPageBreak/>
        <w:t>Methods</w:t>
      </w:r>
    </w:p>
    <w:p w14:paraId="1EDB956D" w14:textId="77777777" w:rsidR="00F614DE" w:rsidRDefault="00000000">
      <w:pPr>
        <w:pStyle w:val="2"/>
      </w:pPr>
      <w:bookmarkStart w:id="20" w:name="framework-formulation"/>
      <w:r>
        <w:t>Framework formulation</w:t>
      </w:r>
    </w:p>
    <w:p w14:paraId="690030AA" w14:textId="77777777" w:rsidR="00F614DE" w:rsidRDefault="00000000">
      <w:pPr>
        <w:pStyle w:val="FirstParagraph"/>
      </w:pPr>
      <w:r>
        <w:t>LigandSeek takes protein and nucleic acid receptor structures, either deposited or automatically modelled by CryoAtom2, together with three-dimensional cryo-EM density maps.</w:t>
      </w:r>
    </w:p>
    <w:p w14:paraId="4757E132" w14:textId="77777777" w:rsidR="00F614DE" w:rsidRDefault="00000000">
      <w:pPr>
        <w:pStyle w:val="11"/>
      </w:pPr>
      <w:r>
        <w:t xml:space="preserve">We represent protein and nucleic acid receptors uniformly as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Here, </w:t>
      </w:r>
      <m:oMath>
        <m:r>
          <w:rPr>
            <w:rFonts w:ascii="Cambria Math" w:hAnsi="Cambria Math"/>
          </w:rPr>
          <m:t>n</m:t>
        </m:r>
      </m:oMath>
      <w:r>
        <w:t xml:space="preserve"> is the number of receptor atoms, and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is the spatial position of atom </w:t>
      </w:r>
      <m:oMath>
        <m:r>
          <w:rPr>
            <w:rFonts w:ascii="Cambria Math" w:hAnsi="Cambria Math"/>
          </w:rPr>
          <m:t>i</m:t>
        </m:r>
      </m:oMath>
      <w:r>
        <w:t xml:space="preserve">. The representation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encodes the atom’s attributes, such as its element type and amino acid or nucleotide type. These attributes are represented by a 50-dimensional feature vector for each receptor atom.</w:t>
      </w:r>
    </w:p>
    <w:p w14:paraId="1167032C" w14:textId="77777777" w:rsidR="00F614DE" w:rsidRDefault="00000000">
      <w:pPr>
        <w:pStyle w:val="11"/>
      </w:pPr>
      <w:r>
        <w:t xml:space="preserve">Let </w:t>
      </w:r>
      <m:oMath>
        <m:sSub>
          <m:sSubPr>
            <m:ctrlPr>
              <w:rPr>
                <w:rFonts w:ascii="Cambria Math" w:hAnsi="Cambria Math"/>
              </w:rPr>
            </m:ctrlPr>
          </m:sSubPr>
          <m:e>
            <m:r>
              <w:rPr>
                <w:rFonts w:ascii="Cambria Math" w:hAnsi="Cambria Math"/>
              </w:rPr>
              <m:t>M</m:t>
            </m:r>
          </m:e>
          <m:sub>
            <m:r>
              <w:rPr>
                <w:rFonts w:ascii="Cambria Math" w:hAnsi="Cambria Math"/>
              </w:rPr>
              <m:t>exp</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 xml:space="preserve"> denote the voxelised three-dimensional cryo-EM density map. The receptor structure yields a simulated density map </w:t>
      </w:r>
      <m:oMath>
        <m:sSub>
          <m:sSubPr>
            <m:ctrlPr>
              <w:rPr>
                <w:rFonts w:ascii="Cambria Math" w:hAnsi="Cambria Math"/>
              </w:rPr>
            </m:ctrlPr>
          </m:sSubPr>
          <m:e>
            <m:r>
              <w:rPr>
                <w:rFonts w:ascii="Cambria Math" w:hAnsi="Cambria Math"/>
              </w:rPr>
              <m:t>M</m:t>
            </m:r>
          </m:e>
          <m:sub>
            <m:r>
              <w:rPr>
                <w:rFonts w:ascii="Cambria Math" w:hAnsi="Cambria Math"/>
              </w:rPr>
              <m:t>sim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 xml:space="preserve"> of the same dimensions. From </w:t>
      </w:r>
      <m:oMath>
        <m:sSub>
          <m:sSubPr>
            <m:ctrlPr>
              <w:rPr>
                <w:rFonts w:ascii="Cambria Math" w:hAnsi="Cambria Math"/>
              </w:rPr>
            </m:ctrlPr>
          </m:sSubPr>
          <m:e>
            <m:r>
              <w:rPr>
                <w:rFonts w:ascii="Cambria Math" w:hAnsi="Cambria Math"/>
              </w:rPr>
              <m:t>M</m:t>
            </m:r>
          </m:e>
          <m:sub>
            <m:r>
              <w:rPr>
                <w:rFonts w:ascii="Cambria Math" w:hAnsi="Cambria Math"/>
              </w:rPr>
              <m:t>exp</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sim</m:t>
            </m:r>
          </m:sub>
        </m:sSub>
      </m:oMath>
      <w:r>
        <w:t xml:space="preserve">, we construct a 56-channel multi-view density bank </w:t>
      </w:r>
      <m:oMath>
        <m:r>
          <w:rPr>
            <w:rFonts w:ascii="Cambria Math" w:hAnsi="Cambria Math"/>
          </w:rPr>
          <m:t>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56</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w:t>
      </w:r>
    </w:p>
    <w:p w14:paraId="37F177D1" w14:textId="77777777" w:rsidR="00F614DE" w:rsidRDefault="00000000">
      <w:pPr>
        <w:pStyle w:val="11"/>
      </w:pPr>
      <w:r>
        <w:t>The 50-dimensional receptor-atom features and the multi-view density bank are the main inputs shared by Find, Match and Build.</w:t>
      </w:r>
    </w:p>
    <w:p w14:paraId="458E55AE" w14:textId="77777777" w:rsidR="00F614DE" w:rsidRDefault="00000000">
      <w:pPr>
        <w:pStyle w:val="11"/>
      </w:pPr>
      <w:r>
        <w:t xml:space="preserve">Find combines receptor information and experimental density information to predict ligand regions. It produces </w:t>
      </w:r>
      <m:oMath>
        <m:r>
          <w:rPr>
            <w:rFonts w:ascii="Cambria Math" w:hAnsi="Cambria Math"/>
          </w:rPr>
          <m:t>J</m:t>
        </m:r>
      </m:oMath>
      <w:r>
        <w:t xml:space="preserve"> candidate ligand regions (blobs), expressed as:</w:t>
      </w:r>
    </w:p>
    <w:p w14:paraId="0079DC5E" w14:textId="77777777" w:rsidR="00F614DE" w:rsidRDefault="00000000">
      <w:pPr>
        <w:pStyle w:val="11"/>
        <w:keepLines/>
        <w:spacing w:before="180" w:after="220" w:line="240" w:lineRule="auto"/>
        <w:ind w:firstLine="0"/>
        <w:jc w:val="center"/>
      </w:pPr>
      <m:oMathPara>
        <m:oMathParaPr>
          <m:jc m:val="center"/>
        </m:oMathParaPr>
        <m:oMath>
          <m:r>
            <m:rPr>
              <m:sty m:val="bi"/>
            </m:rPr>
            <w:rPr>
              <w:rFonts w:ascii="Cambria Math" w:hAnsi="Cambria Math"/>
            </w:rPr>
            <m:t>Find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m:oMathPara>
    </w:p>
    <w:p w14:paraId="5E07A1B1" w14:textId="77777777" w:rsidR="00F614DE" w:rsidRDefault="00000000">
      <w:pPr>
        <w:pStyle w:val="FirstParagraph"/>
      </w:pPr>
      <w:r>
        <w:t xml:space="preserve">Each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is a 26-connected region in the three-dimensional voxel grid.</w:t>
      </w:r>
    </w:p>
    <w:p w14:paraId="65D2EF32" w14:textId="77777777" w:rsidR="00F614DE" w:rsidRDefault="00000000">
      <w:pPr>
        <w:pStyle w:val="11"/>
      </w:pPr>
      <w:r>
        <w:t xml:space="preserve">Match uses the density bank </w:t>
      </w:r>
      <m:oMath>
        <m:r>
          <w:rPr>
            <w:rFonts w:ascii="Cambria Math" w:hAnsi="Cambria Math"/>
          </w:rPr>
          <m:t>M</m:t>
        </m:r>
      </m:oMath>
      <w:r>
        <w:t xml:space="preserve">, the receptor pocket </w:t>
      </w:r>
      <m:oMath>
        <m:r>
          <w:rPr>
            <w:rFonts w:ascii="Cambria Math" w:hAnsi="Cambria Math"/>
          </w:rPr>
          <m:t>A</m:t>
        </m:r>
      </m:oMath>
      <w:r>
        <w:t xml:space="preserve"> surrounding each blob and auxiliary features from Find (</w:t>
      </w:r>
      <m:oMath>
        <m:r>
          <m:rPr>
            <m:sty m:val="p"/>
          </m:rPr>
          <w:rPr>
            <w:rFonts w:ascii="Cambria Math" w:hAnsi="Cambria Math"/>
          </w:rPr>
          <m:t>AUX</m:t>
        </m:r>
      </m:oMath>
      <w:r>
        <w:t xml:space="preserve">) to associate the predicted blobs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t xml:space="preserve"> with user-provided ligand identities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in the PDB entry. Here, </w:t>
      </w:r>
      <m:oMath>
        <m:r>
          <w:rPr>
            <w:rFonts w:ascii="Cambria Math" w:hAnsi="Cambria Math"/>
          </w:rPr>
          <m:t>K</m:t>
        </m:r>
      </m:oMath>
      <w:r>
        <w:t xml:space="preserve"> denotes the number of ligand identities present in that complex. Specifically, it determines whether each blob is a false-positive Find prediction and, if not, identifies its corresponding ligand identity:</w:t>
      </w:r>
    </w:p>
    <w:p w14:paraId="682F4C0B" w14:textId="77777777" w:rsidR="00F614DE" w:rsidRDefault="00000000">
      <w:pPr>
        <w:pStyle w:val="11"/>
        <w:keepLines/>
        <w:spacing w:before="180" w:after="220" w:line="240" w:lineRule="auto"/>
        <w:ind w:firstLine="0"/>
        <w:jc w:val="center"/>
      </w:pPr>
      <m:oMathPara>
        <m:oMathParaPr>
          <m:jc m:val="center"/>
        </m:oMathParaPr>
        <m:oMath>
          <m:eqArr>
            <m:eqArrPr>
              <m:ctrlPr>
                <w:rPr>
                  <w:rFonts w:ascii="Cambria Math" w:hAnsi="Cambria Math"/>
                </w:rPr>
              </m:ctrlPr>
            </m:eqArrPr>
            <m:e>
              <m:r>
                <m:rPr>
                  <m:sty m:val="bi"/>
                </m:rPr>
                <w:rPr>
                  <w:rFonts w:ascii="Cambria Math" w:hAnsi="Cambria Math"/>
                  <w:sz w:val="19"/>
                </w:rPr>
                <m:t>Match</m:t>
              </m:r>
              <m:r>
                <m:rPr>
                  <m:sty m:val="p"/>
                </m:rPr>
                <w:rPr>
                  <w:rFonts w:ascii="Cambria Math" w:hAnsi="Cambria Math"/>
                  <w:sz w:val="19"/>
                </w:rPr>
                <m:t>(</m:t>
              </m:r>
              <m:r>
                <w:rPr>
                  <w:rFonts w:ascii="Cambria Math" w:hAnsi="Cambria Math"/>
                  <w:sz w:val="19"/>
                </w:rPr>
                <m:t>M</m:t>
              </m:r>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w:rPr>
                  <w:rFonts w:ascii="Cambria Math" w:hAnsi="Cambria Math"/>
                  <w:sz w:val="19"/>
                </w:rPr>
                <m:t>AUX</m:t>
              </m:r>
              <m:r>
                <m:rPr>
                  <m:sty m:val="p"/>
                </m:rPr>
                <w:rPr>
                  <w:rFonts w:ascii="Cambria Math" w:hAnsi="Cambria Math"/>
                  <w:sz w:val="19"/>
                </w:rPr>
                <m:t>;</m:t>
              </m:r>
              <m:sSub>
                <m:sSubPr>
                  <m:ctrlPr>
                    <w:rPr>
                      <w:rFonts w:ascii="Cambria Math" w:hAnsi="Cambria Math"/>
                    </w:rPr>
                  </m:ctrlPr>
                </m:sSubPr>
                <m:e>
                  <m:r>
                    <w:rPr>
                      <w:rFonts w:ascii="Cambria Math" w:hAnsi="Cambria Math"/>
                      <w:sz w:val="19"/>
                    </w:rPr>
                    <m:t>B</m:t>
                  </m:r>
                </m:e>
                <m:sub>
                  <m:r>
                    <w:rPr>
                      <w:rFonts w:ascii="Cambria Math" w:hAnsi="Cambria Math"/>
                      <w:sz w:val="19"/>
                    </w:rPr>
                    <m:t>j</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S</m:t>
                  </m:r>
                </m:e>
                <m:sub>
                  <m:r>
                    <w:rPr>
                      <w:rFonts w:ascii="Cambria Math" w:hAnsi="Cambria Math"/>
                      <w:sz w:val="19"/>
                    </w:rPr>
                    <m:t>k</m:t>
                  </m:r>
                </m:sub>
              </m:sSub>
              <m:sSubSup>
                <m:sSubSupPr>
                  <m:ctrlPr>
                    <w:rPr>
                      <w:rFonts w:ascii="Cambria Math" w:hAnsi="Cambria Math"/>
                    </w:rPr>
                  </m:ctrlPr>
                </m:sSubSupPr>
                <m:e>
                  <m:r>
                    <m:rPr>
                      <m:sty m:val="p"/>
                    </m:rPr>
                    <w:rPr>
                      <w:rFonts w:ascii="Cambria Math" w:hAnsi="Cambria Math"/>
                      <w:sz w:val="19"/>
                    </w:rPr>
                    <m:t>}</m:t>
                  </m:r>
                </m:e>
                <m:sub>
                  <m:r>
                    <w:rPr>
                      <w:rFonts w:ascii="Cambria Math" w:hAnsi="Cambria Math"/>
                      <w:sz w:val="19"/>
                    </w:rPr>
                    <m:t>k</m:t>
                  </m:r>
                  <m:r>
                    <m:rPr>
                      <m:sty m:val="p"/>
                    </m:rPr>
                    <w:rPr>
                      <w:rFonts w:ascii="Cambria Math" w:hAnsi="Cambria Math"/>
                      <w:sz w:val="19"/>
                    </w:rPr>
                    <m:t>=</m:t>
                  </m:r>
                  <m:r>
                    <w:rPr>
                      <w:rFonts w:ascii="Cambria Math" w:hAnsi="Cambria Math"/>
                      <w:sz w:val="19"/>
                    </w:rPr>
                    <m:t>1</m:t>
                  </m:r>
                </m:sub>
                <m:sup>
                  <m:r>
                    <w:rPr>
                      <w:rFonts w:ascii="Cambria Math" w:hAnsi="Cambria Math"/>
                      <w:sz w:val="19"/>
                    </w:rPr>
                    <m:t>K</m:t>
                  </m:r>
                </m:sup>
              </m:sSubSup>
              <m:r>
                <m:rPr>
                  <m:sty m:val="p"/>
                </m:rPr>
                <w:rPr>
                  <w:rFonts w:ascii="Cambria Math" w:hAnsi="Cambria Math"/>
                  <w:sz w:val="19"/>
                </w:rPr>
                <m:t>)</m:t>
              </m:r>
              <m:r>
                <w:rPr>
                  <w:rFonts w:ascii="Cambria Math" w:hAnsi="Cambria Math"/>
                  <w:sz w:val="19"/>
                </w:rPr>
                <m:t>&amp;</m:t>
              </m:r>
              <m:r>
                <m:rPr>
                  <m:sty m:val="p"/>
                </m:rPr>
                <w:rPr>
                  <w:rFonts w:ascii="Cambria Math" w:hAnsi="Cambria Math"/>
                  <w:sz w:val="19"/>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sz w:val="19"/>
                          </w:rPr>
                          <m:t>(</m:t>
                        </m:r>
                        <m:r>
                          <w:rPr>
                            <w:rFonts w:ascii="Cambria Math" w:hAnsi="Cambria Math"/>
                            <w:sz w:val="19"/>
                          </w:rPr>
                          <m:t>1</m:t>
                        </m:r>
                        <m:r>
                          <m:rPr>
                            <m:sty m:val="p"/>
                          </m:rPr>
                          <w:rPr>
                            <w:rFonts w:ascii="Cambria Math" w:hAnsi="Cambria Math"/>
                            <w:sz w:val="19"/>
                          </w:rPr>
                          <m:t>,</m:t>
                        </m:r>
                        <m:sSub>
                          <m:sSubPr>
                            <m:ctrlPr>
                              <w:rPr>
                                <w:rFonts w:ascii="Cambria Math" w:hAnsi="Cambria Math"/>
                              </w:rPr>
                            </m:ctrlPr>
                          </m:sSubPr>
                          <m:e>
                            <m:r>
                              <w:rPr>
                                <w:rFonts w:ascii="Cambria Math" w:hAnsi="Cambria Math"/>
                                <w:sz w:val="19"/>
                              </w:rPr>
                              <m:t>S</m:t>
                            </m:r>
                          </m:e>
                          <m:sub>
                            <m:r>
                              <w:rPr>
                                <w:rFonts w:ascii="Cambria Math" w:hAnsi="Cambria Math"/>
                                <w:sz w:val="19"/>
                              </w:rPr>
                              <m:t>k</m:t>
                            </m:r>
                          </m:sub>
                        </m:sSub>
                        <m:r>
                          <m:rPr>
                            <m:sty m:val="p"/>
                          </m:rPr>
                          <w:rPr>
                            <w:rFonts w:ascii="Cambria Math" w:hAnsi="Cambria Math"/>
                            <w:sz w:val="19"/>
                          </w:rPr>
                          <m:t>),</m:t>
                        </m:r>
                      </m:e>
                      <m:e>
                        <m:eqArr>
                          <m:eqArrPr>
                            <m:ctrlPr>
                              <w:rPr>
                                <w:rFonts w:ascii="Cambria Math" w:hAnsi="Cambria Math"/>
                              </w:rPr>
                            </m:ctrlPr>
                          </m:eqArrPr>
                          <m:e>
                            <m:r>
                              <w:rPr>
                                <w:rFonts w:ascii="Cambria Math" w:hAnsi="Cambria Math"/>
                                <w:sz w:val="19"/>
                              </w:rPr>
                              <m:t>&amp;</m:t>
                            </m:r>
                            <m:r>
                              <m:rPr>
                                <m:nor/>
                              </m:rPr>
                              <w:rPr>
                                <w:sz w:val="19"/>
                              </w:rPr>
                              <m:t xml:space="preserve">if </m:t>
                            </m:r>
                            <m:sSub>
                              <m:sSubPr>
                                <m:ctrlPr>
                                  <w:rPr>
                                    <w:rFonts w:ascii="Cambria Math" w:hAnsi="Cambria Math"/>
                                  </w:rPr>
                                </m:ctrlPr>
                              </m:sSubPr>
                              <m:e>
                                <m:r>
                                  <w:rPr>
                                    <w:rFonts w:ascii="Cambria Math" w:hAnsi="Cambria Math"/>
                                    <w:sz w:val="19"/>
                                  </w:rPr>
                                  <m:t>B</m:t>
                                </m:r>
                              </m:e>
                              <m:sub>
                                <m:r>
                                  <w:rPr>
                                    <w:rFonts w:ascii="Cambria Math" w:hAnsi="Cambria Math"/>
                                    <w:sz w:val="19"/>
                                  </w:rPr>
                                  <m:t>j</m:t>
                                </m:r>
                              </m:sub>
                            </m:sSub>
                            <m:r>
                              <m:rPr>
                                <m:nor/>
                              </m:rPr>
                              <w:rPr>
                                <w:sz w:val="19"/>
                              </w:rPr>
                              <m:t xml:space="preserve"> is not a false positive and corresponds to ligand identity </m:t>
                            </m:r>
                            <m:sSub>
                              <m:sSubPr>
                                <m:ctrlPr>
                                  <w:rPr>
                                    <w:rFonts w:ascii="Cambria Math" w:hAnsi="Cambria Math"/>
                                  </w:rPr>
                                </m:ctrlPr>
                              </m:sSubPr>
                              <m:e>
                                <m:r>
                                  <w:rPr>
                                    <w:rFonts w:ascii="Cambria Math" w:hAnsi="Cambria Math"/>
                                    <w:sz w:val="19"/>
                                  </w:rPr>
                                  <m:t>S</m:t>
                                </m:r>
                              </m:e>
                              <m:sub>
                                <m:r>
                                  <w:rPr>
                                    <w:rFonts w:ascii="Cambria Math" w:hAnsi="Cambria Math"/>
                                    <w:sz w:val="19"/>
                                  </w:rPr>
                                  <m:t>k</m:t>
                                </m:r>
                              </m:sub>
                            </m:sSub>
                          </m:e>
                        </m:eqArr>
                      </m:e>
                    </m:mr>
                    <m:mr>
                      <m:e>
                        <m:r>
                          <m:rPr>
                            <m:sty m:val="p"/>
                          </m:rPr>
                          <w:rPr>
                            <w:rFonts w:ascii="Cambria Math" w:hAnsi="Cambria Math"/>
                            <w:sz w:val="19"/>
                          </w:rPr>
                          <m:t>(</m:t>
                        </m:r>
                        <m:r>
                          <w:rPr>
                            <w:rFonts w:ascii="Cambria Math" w:hAnsi="Cambria Math"/>
                            <w:sz w:val="19"/>
                          </w:rPr>
                          <m:t>0</m:t>
                        </m:r>
                        <m:r>
                          <m:rPr>
                            <m:sty m:val="p"/>
                          </m:rPr>
                          <w:rPr>
                            <w:rFonts w:ascii="Cambria Math" w:hAnsi="Cambria Math"/>
                            <w:sz w:val="19"/>
                          </w:rPr>
                          <m:t>,∅),</m:t>
                        </m:r>
                      </m:e>
                      <m:e>
                        <m:r>
                          <m:rPr>
                            <m:nor/>
                          </m:rPr>
                          <w:rPr>
                            <w:sz w:val="19"/>
                          </w:rPr>
                          <m:t xml:space="preserve">if </m:t>
                        </m:r>
                        <m:sSub>
                          <m:sSubPr>
                            <m:ctrlPr>
                              <w:rPr>
                                <w:rFonts w:ascii="Cambria Math" w:hAnsi="Cambria Math"/>
                              </w:rPr>
                            </m:ctrlPr>
                          </m:sSubPr>
                          <m:e>
                            <m:r>
                              <w:rPr>
                                <w:rFonts w:ascii="Cambria Math" w:hAnsi="Cambria Math"/>
                                <w:sz w:val="19"/>
                              </w:rPr>
                              <m:t>B</m:t>
                            </m:r>
                          </m:e>
                          <m:sub>
                            <m:r>
                              <w:rPr>
                                <w:rFonts w:ascii="Cambria Math" w:hAnsi="Cambria Math"/>
                                <w:sz w:val="19"/>
                              </w:rPr>
                              <m:t>j</m:t>
                            </m:r>
                          </m:sub>
                        </m:sSub>
                        <m:r>
                          <m:rPr>
                            <m:nor/>
                          </m:rPr>
                          <w:rPr>
                            <w:sz w:val="19"/>
                          </w:rPr>
                          <m:t xml:space="preserve"> is a false positive</m:t>
                        </m:r>
                      </m:e>
                    </m:mr>
                  </m:m>
                </m:e>
              </m:d>
            </m:e>
          </m:eqArr>
        </m:oMath>
      </m:oMathPara>
    </w:p>
    <w:p w14:paraId="79853E00" w14:textId="77777777" w:rsidR="00F614DE" w:rsidRDefault="00000000">
      <w:pPr>
        <w:pStyle w:val="FirstParagraph"/>
      </w:pPr>
      <w:r>
        <w:lastRenderedPageBreak/>
        <w:t>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14:paraId="07A87772" w14:textId="77777777" w:rsidR="00F614DE" w:rsidRDefault="00000000">
      <w:pPr>
        <w:pStyle w:val="11"/>
      </w:pPr>
      <w:r>
        <w:t xml:space="preserve">Build takes a specified initial binding site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oMath>
      <w:r>
        <w:t>, a small-molecule identity represented by SMILES</w:t>
      </w:r>
      <w:r>
        <w:rPr>
          <w:rStyle w:val="MDCITEeJyLdihPzczLzEtPLTK0tLAozs3MSS2OBQBdrwgo"/>
          <w:vertAlign w:val="superscript"/>
        </w:rPr>
        <w:t>14</w:t>
      </w:r>
      <w:r>
        <w:t xml:space="preserve"> and the surrounding pocket environment </w:t>
      </w:r>
      <m:oMath>
        <m:r>
          <w:rPr>
            <w:rFonts w:ascii="Cambria Math" w:hAnsi="Cambria Math"/>
          </w:rPr>
          <m:t>P</m:t>
        </m:r>
      </m:oMath>
      <w:r>
        <w:t xml:space="preserve">. It also accepts optional guiding density information </w:t>
      </w:r>
      <m:oMath>
        <m:r>
          <w:rPr>
            <w:rFonts w:ascii="Cambria Math" w:hAnsi="Cambria Math"/>
          </w:rPr>
          <m:t>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 xml:space="preserve"> and generates all-atom coordinates for the small molecule.</w:t>
      </w:r>
    </w:p>
    <w:p w14:paraId="64FB0430" w14:textId="77777777" w:rsidR="00F614DE" w:rsidRDefault="00000000">
      <w:pPr>
        <w:keepNext/>
        <w:spacing w:after="0" w:line="240" w:lineRule="auto"/>
        <w:ind w:firstLine="0"/>
        <w:jc w:val="center"/>
      </w:pPr>
      <w:r>
        <w:rPr>
          <w:noProof/>
        </w:rPr>
        <w:lastRenderedPageBreak/>
        <w:drawing>
          <wp:inline distT="0" distB="0" distL="0" distR="0" wp14:anchorId="512F6C14" wp14:editId="2352090B">
            <wp:extent cx="5731510" cy="4324477"/>
            <wp:effectExtent l="0" t="0" r="0" b="0"/>
            <wp:docPr id="89" name="Picture" descr="Fig. 13 | Network architecture and information flow of LigandSeek. The framework comprises LigandSeek-Find (Find), LigandSeek-Match (Match) and LigandSeek-Build (Build). a, Find jointly encodes density and receptor atoms within local 80³ voxel crops. Four base density fields, two normalisations and seven spatial transforms form a 56-channel density bank. A receptor embedding head supplies atom features. A 3D U-Net and Point Transformer V3 are connected through multiscale fusion and recycling. Corresponding blob shapes link the global map to local candidates, and auxiliary features pass to Match. b, The candidate encoder combines a 48³ voxel crop, pocket atoms, blob features and auxiliary features. Pooling, cross-attention and feature-wise linear modulation (FiLM) integrate auxiliary inputs. The identity encoder integrates SMI-TED representations, molecular graphs encoded by a graph neural network (GNN), and other identities in the same complex. A foreground head and cosine scoring yield foreground probabilities and identity-matching scores, respectively. c, Build receives the site, matched SMILES, pocket and density. The default engine is density-guided PocketXMol (DG-PocketXMol), with interfaces to other docking tools. Pocket views show local receptor folds and atoms with the ligand hidden. The output illustrates the model-ranked top-1 ATP pose in 9BJJ (B:901). Highlighted Cc1ccccc1 illustrates identity selection; the identity list and global blobs are architectural schematics." title="MDPPTFIG_eJzVV0tvXDUU_ivWrBppnnnQZoBKIWkKKKkiWhASgyqPr2euGV_bsn3nUYrEDiEEK8SGP8CKDTuQqMRvoYWfwXfsOzcTtQsEC0Sk5Ppxznde37GdTzuOx7IzZp0_vv3l-fe_Di5lLG3x4nOa9J2L606XdbwMVi9lQXKn48nk_SB9mExGR8ej48nkTIZFtG4y-fPHn19898WfX3_5xw_PJpMMOJm8EtHwShLaTM17VRLoLY9pQ3AXlTWPK-4XtYPIR503VmPH1pU2Ybx6c9IpY3TjwSCIUlY89K2TBpsz6yseMfXzwcr6wnkrZAjKzCs92B8OXxtUXJlJ5y6hXfn0eRg3WrLVeMk1cN-p-FyeZvMkN9hKkOxCSnehjAxpfWe2GgfHBcwAR2MJQPuHw0mnmb5Xa1ridbQNZiNOmsoUEJspH-JFVh02QtjJDmRP859mfG5NDNDjQSgFnedff4Os__7Ls-c_fpXsSh7iSVD8VXvliQkvKyVbGZhMTNN8moanOeL0hfNP2nSN7mwDepLVs3uRKpWCpHgcmCP9UkL0XM37bHTAnrIHMqJCC8a9KFWUItZeMo5cKJOriAKwmbYrZmfsQs2x9VDKRZ-sxGzrP0jKvwid_W89f1RKNvPo1VQwYSvnVZBhpyq9c2LxLfq7191dv-RRlOxW-uyl8u5svlUrDa302esz3mUJ5hOrTNQbJo2wBcwUEuHFTdL2UkgXrWc82goJU7FUhmkruGZ3hr_9xJZ2LTUT3rrQZ-e29mzKg2wxZkrqInQZuMcM0UyrkKgWEnyQS2kYUhAVAKPnJhAZA6O_jLOj13qi5MbAxBZxys2iz06uPZPVVBYFnQWl5ICsndMKYZDHbCY5ET2QxsEZe7-HNkiWryho9mhrUXr2wQF6QyLdMCeiLFgsva3nJatqHVVAxKhKHahNmsxsBA4b9Nep9TDhrEleTLWdslByBx-wvwCOZHMsIsKKOxZtkz8BGFXwKJEfQuT1WmnF_ab1mjkeAimkevbZtMuIG61iUzJPHJnSyYiUHd65UZUuc1YsKGgqYDd71-K_2mwf2bEUWpcgQujxGKWJ28gbsd4KpKQIJfesskWt8xkCVl5c7uFYiXLuyclrA8q4GrdFCkIVBBk3bQytQmAPL9_pPbp3hhynrjAxU6YLM1oKGPIMkq4MjXLBpqBrXmNG1h7ZNc15d-v-gwd7OcEWlfBbw0QRUJmKE9Bqqc20XBNRQAh4YmuoJEqRrrC41SAqrKcib4jXu4K4-aZ8ijgTcDpXmwB7FRWPlEiZik1kAcXUUupNn4kuy41JjMZayD7hjEa8pIrwkJCLew-vawn4ph9yMgs542Ap0jEnL1XbxL15rSg_V0nxw0ur2a2z-73rKVJDTZ2y72c4ihLfcqYKSJHfEWxIpEjGl0quAgiOmyLzuO3EmUWvZ061p0UKRqcziJWqgFvZY1tHcIEpresQc9VJEjySuoeuXFADWtcbsZNHV4gbVEO1jt96910cYOPj4QgH2NtqXgK6pGY9FSNBP6MbkC3JgtSUcWteT2badRxHOZ1Ng1J7hHQO7NyTWM_vnqhEuHkh0mvhbudjPKHap1Pn6PbB6Gg0XB8e7B8e3r799A2nxBi_zWuK_63XVOH56qVnVIMArH-CATXq2xbG_y0QO5spIc-sqCvkLCN5mXs9lMoFutsoQrO8UoJuNpqIB8srEEgGQVZOx4P0eB2kt-ugeboOdl-ugygrhzBNDRXl4mO8Uekserxv5sN5WN8Z5IXHQ_yMDvrOzBGIKoB-TA8_etpifLWNEaVp_bh2KTvIKYMXYHPAnXSK-2UuT7y3K2r2QPc14W03UqvmRWBeq-4YyKiDl5Iw1cqdg45kkcZJPw_4GBSVaG4aziDzHqyk_RuTVmhwE49mAc9UNl1domN23rp8vJ75ir4oHFvn1y3btK_ctE7bch2ZoP2GrpASJNawthGGVPpuQR1ezfclLlYaQBq9H7NZvrwIWfZ6tJWmfWOz64PrIR9rw-ifi-Oj_aOM8kopqsu99DbfGfNx5Epvl3fH2jT5Cq6tC37vdj77C1XA6Nw"/>
            <wp:cNvGraphicFramePr/>
            <a:graphic xmlns:a="http://schemas.openxmlformats.org/drawingml/2006/main">
              <a:graphicData uri="http://schemas.openxmlformats.org/drawingml/2006/picture">
                <pic:pic xmlns:pic="http://schemas.openxmlformats.org/drawingml/2006/picture">
                  <pic:nvPicPr>
                    <pic:cNvPr id="90" name="Picture" descr="C:/Users/15919/Desktop/论文草稿/temp/manuscript_figures_2ng0gsx8/figure_000013.png"/>
                    <pic:cNvPicPr>
                      <a:picLocks noChangeAspect="1" noChangeArrowheads="1"/>
                    </pic:cNvPicPr>
                  </pic:nvPicPr>
                  <pic:blipFill>
                    <a:blip r:embed="rId19"/>
                    <a:stretch>
                      <a:fillRect/>
                    </a:stretch>
                  </pic:blipFill>
                  <pic:spPr bwMode="auto">
                    <a:xfrm>
                      <a:off x="0" y="0"/>
                      <a:ext cx="5731510" cy="4324477"/>
                    </a:xfrm>
                    <a:prstGeom prst="rect">
                      <a:avLst/>
                    </a:prstGeom>
                    <a:noFill/>
                    <a:ln w="9525">
                      <a:noFill/>
                      <a:headEnd/>
                      <a:tailEnd/>
                    </a:ln>
                  </pic:spPr>
                </pic:pic>
              </a:graphicData>
            </a:graphic>
          </wp:inline>
        </w:drawing>
      </w:r>
    </w:p>
    <w:p w14:paraId="0CDC92FC" w14:textId="77777777" w:rsidR="00F614DE" w:rsidRDefault="00000000">
      <w:pPr>
        <w:pStyle w:val="ImageCaption"/>
        <w:keepLines/>
        <w:spacing w:line="240" w:lineRule="auto"/>
        <w:ind w:firstLine="0"/>
      </w:pPr>
      <w:r>
        <w:rPr>
          <w:rFonts w:ascii="华文仿宋" w:eastAsia="华文仿宋" w:hAnsi="华文仿宋"/>
          <w:b/>
          <w:bCs/>
          <w:sz w:val="18"/>
        </w:rPr>
        <w:t>Fig. 13 | Network architecture and information flow of LigandSeek.</w:t>
      </w:r>
      <w:r>
        <w:rPr>
          <w:rFonts w:ascii="华文仿宋" w:eastAsia="华文仿宋" w:hAnsi="华文仿宋"/>
          <w:sz w:val="18"/>
        </w:rPr>
        <w:t xml:space="preserve"> The framework comprises LigandSeek-Find (Find), LigandSeek-Match (Match) and LigandSeek-Build (Build). a, Find jointly encodes density and receptor atoms within local 80³ voxel crops. Four base density fields, two normalisations and seven spatial transforms form a 56-channel density bank. A receptor embedding head supplies atom features. A 3D U-Net and Point Transformer V3 are connected through multiscale fusion and recycling. Corresponding blob shapes link the global map to local candidates, and auxiliary features pass to Match. b, The candidate encoder combines a 48³ voxel crop, pocket atoms, blob features and auxiliary features. Pooling, cross-attention and feature-wise linear modulation (FiLM) integrate auxiliary inputs. The identity encoder integrates SMI-TED representations, molecular graphs encoded by a graph neural network (GNN), and other identities in the same complex. A foreground head and cosine scoring yield foreground probabilities and identity-matching scores, respectively. c, Build receives the site, matched SMILES, pocket and density. The default engine is density-guided PocketXMol (DG-PocketXMol), with interfaces to other docking tools. Pocket views show local receptor folds and atoms with the ligand hidden. The output illustrates the model-ranked top-1 ATP pose in 9BJJ (B:901). Highlighted Cc1ccccc1 illustrates identity selection; the identity list and global blobs are architectural schematics.</w:t>
      </w:r>
    </w:p>
    <w:p w14:paraId="04FF9675" w14:textId="77777777" w:rsidR="00F614DE" w:rsidRDefault="00000000">
      <w:pPr>
        <w:pStyle w:val="11"/>
      </w:pPr>
      <w:r>
        <w:rPr>
          <w:rStyle w:val="MDFIGREFeJyrrk7LTC9KTbMCUrq5qSUZ-Sm6ZZa1tQB3UAle"/>
        </w:rPr>
        <w:t>Fig. 13</w:t>
      </w:r>
      <w:r>
        <w:t xml:space="preserve"> shows the network architecture and information flow of the Find–Match–Build framework. The three stages share density and receptor-atom input representations. They sequentially localise ligand regions (</w:t>
      </w:r>
      <w:r>
        <w:rPr>
          <w:rStyle w:val="MDFIGREFeJyrrk7LTC9KTbMCUrq5qSUZ-Sm6ZZY1ibW1AIsrCjs"/>
        </w:rPr>
        <w:t>Fig. 13a</w:t>
      </w:r>
      <w:r>
        <w:t>), match candidate regions to ligand identities (</w:t>
      </w:r>
      <w:r>
        <w:rPr>
          <w:rStyle w:val="MDFIGREFeJyrrk7LTC9KTbMCUrq5qSUZ-Sm6ZZY1SbW1AIsuCjw"/>
        </w:rPr>
        <w:t>Fig. 13b</w:t>
      </w:r>
      <w:r>
        <w:t>) and reconstruct all-atom ligand poses (</w:t>
      </w:r>
      <w:r>
        <w:rPr>
          <w:rStyle w:val="MDFIGREFeJyrrk7LTC9KTbMCUrq5qSUZ-Sm6ZZY1ybW1AIsxCj0"/>
        </w:rPr>
        <w:t>Fig. 13c</w:t>
      </w:r>
      <w:r>
        <w:t>).</w:t>
      </w:r>
    </w:p>
    <w:p w14:paraId="5C3BAFDD" w14:textId="77777777" w:rsidR="00F614DE" w:rsidRDefault="00000000">
      <w:pPr>
        <w:pStyle w:val="2"/>
      </w:pPr>
      <w:bookmarkStart w:id="21" w:name="data-sources-and-sample-partitioning"/>
      <w:bookmarkEnd w:id="20"/>
      <w:r>
        <w:lastRenderedPageBreak/>
        <w:t>Data sources and sample partitioning</w:t>
      </w:r>
    </w:p>
    <w:p w14:paraId="78D69550" w14:textId="77777777" w:rsidR="00F614DE" w:rsidRDefault="00000000">
      <w:pPr>
        <w:pStyle w:val="FirstParagraph"/>
      </w:pPr>
      <w:r>
        <w:t>We downloaded cryo-EM density maps from EMDB</w:t>
      </w:r>
      <w:r>
        <w:rPr>
          <w:rStyle w:val="MDCITEeJyLdigvL0hJMjIwMknNTUmKBQAvPwV9"/>
          <w:vertAlign w:val="superscript"/>
        </w:rPr>
        <w:t>21</w:t>
      </w:r>
      <w:r>
        <w:t xml:space="preserve"> and their corresponding PDB structures from the RCSB database</w:t>
      </w:r>
      <w:r>
        <w:rPr>
          <w:rStyle w:val="MDCITEeJyLdkhKLcpNzDMyMDAoSEmKBQAuqQVm"/>
          <w:vertAlign w:val="superscript"/>
        </w:rPr>
        <w:t>22</w:t>
      </w:r>
      <w:r>
        <w:t>.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14:paraId="5B2B0AB5" w14:textId="77777777" w:rsidR="00F614DE" w:rsidRDefault="00000000">
      <w:pPr>
        <w:pStyle w:val="11"/>
      </w:pPr>
      <w:r>
        <w:t>We used sequence comparisons performed by MMseqs2</w:t>
      </w:r>
      <w:r>
        <w:rPr>
          <w:rStyle w:val="MDCITEeJyLdiguSc3MS01PTy0yMjA0z80tTi0sNooFAG7cCLg"/>
          <w:vertAlign w:val="superscript"/>
        </w:rPr>
        <w:t>23</w:t>
      </w:r>
      <w:r>
        <w:t xml:space="preserve">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14:paraId="1D46AA48" w14:textId="77777777" w:rsidR="00F614DE" w:rsidRDefault="00000000">
      <w:pPr>
        <w:pStyle w:val="11"/>
      </w:pPr>
      <w:r>
        <w:t>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14:paraId="3AFF4E8B" w14:textId="77777777" w:rsidR="00F614DE" w:rsidRDefault="00000000">
      <w:pPr>
        <w:pStyle w:val="11"/>
      </w:pPr>
      <w:r>
        <w:t>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14:paraId="6F7501C9" w14:textId="77777777" w:rsidR="00F614DE" w:rsidRDefault="00000000">
      <w:pPr>
        <w:pStyle w:val="11"/>
      </w:pPr>
      <w:r>
        <w:t xml:space="preserve">For Find, the training set supplied training metadata, including local </w:t>
      </w:r>
      <m:oMath>
        <m:sSup>
          <m:sSupPr>
            <m:ctrlPr>
              <w:rPr>
                <w:rFonts w:ascii="Cambria Math" w:hAnsi="Cambria Math"/>
              </w:rPr>
            </m:ctrlPr>
          </m:sSupPr>
          <m:e>
            <m:r>
              <w:rPr>
                <w:rFonts w:ascii="Cambria Math" w:hAnsi="Cambria Math"/>
              </w:rPr>
              <m:t>80</m:t>
            </m:r>
          </m:e>
          <m:sup>
            <m:r>
              <w:rPr>
                <w:rFonts w:ascii="Cambria Math" w:hAnsi="Cambria Math"/>
              </w:rPr>
              <m:t>3</m:t>
            </m:r>
          </m:sup>
        </m:sSup>
      </m:oMath>
      <w:r>
        <w:t xml:space="preserve"> 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14:paraId="76D26D4F" w14:textId="77777777" w:rsidR="00F614DE" w:rsidRDefault="00000000">
      <w:pPr>
        <w:pStyle w:val="11"/>
      </w:pPr>
      <w:r>
        <w:t xml:space="preserve">Match used candidate blobs inferred by Find as its basic sample unit. Its training, validation and test sets comprised Find inference outputs from 1,650, 200 and 179 PDB entries, respectively. These PDB entries </w:t>
      </w:r>
      <w:r>
        <w:lastRenderedPageBreak/>
        <w:t>were subsets of the corresponding original training, validation and test sets. The three sets contained 44,643, 5,544 and 1,651 blobs, respectively.</w:t>
      </w:r>
    </w:p>
    <w:p w14:paraId="01B8621E" w14:textId="77777777" w:rsidR="00F614DE" w:rsidRDefault="00000000">
      <w:pPr>
        <w:pStyle w:val="11"/>
      </w:pPr>
      <w:r>
        <w:t>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p w14:paraId="1998DA77" w14:textId="77777777" w:rsidR="00F614DE" w:rsidRDefault="00000000">
      <w:pPr>
        <w:pStyle w:val="2"/>
      </w:pPr>
      <w:bookmarkStart w:id="22" w:name="unified-input-representation"/>
      <w:bookmarkEnd w:id="21"/>
      <w:r>
        <w:t>Unified input representation</w:t>
      </w:r>
    </w:p>
    <w:p w14:paraId="1801B83D" w14:textId="77777777" w:rsidR="00F614DE" w:rsidRDefault="00000000">
      <w:pPr>
        <w:pStyle w:val="FirstParagraph"/>
      </w:pPr>
      <w:r>
        <w:t>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p w14:paraId="1505BEB3" w14:textId="77777777" w:rsidR="00F614DE" w:rsidRDefault="00000000">
      <w:pPr>
        <w:pStyle w:val="3"/>
      </w:pPr>
      <w:bookmarkStart w:id="23" w:name="multi-view-density-bank"/>
      <w:r>
        <w:t>Multi-view density bank</w:t>
      </w:r>
    </w:p>
    <w:p w14:paraId="187197E5" w14:textId="77777777" w:rsidR="00F614DE" w:rsidRDefault="00000000">
      <w:pPr>
        <w:pStyle w:val="FirstParagraph"/>
      </w:pPr>
      <w:r>
        <w:t>The multi-view density bank organises complementary views of density into a local representation shared by Find, Match and Build.</w:t>
      </w:r>
    </w:p>
    <w:p w14:paraId="58DCEEE0" w14:textId="77777777" w:rsidR="00F614DE" w:rsidRDefault="00000000">
      <w:pPr>
        <w:pStyle w:val="11"/>
      </w:pPr>
      <w:r>
        <w:t>Using Chimera</w:t>
      </w:r>
      <w:r>
        <w:rPr>
          <w:rStyle w:val="MDCITEeJyLdihILSlJLSpOzTMyMDBJzsjMTS1KjAUAZfYIcg"/>
          <w:vertAlign w:val="superscript"/>
        </w:rPr>
        <w:t>24</w:t>
      </w:r>
      <w:r>
        <w:t xml:space="preserve">, we generated a simulated receptor density map </w:t>
      </w:r>
      <m:oMath>
        <m:sSub>
          <m:sSubPr>
            <m:ctrlPr>
              <w:rPr>
                <w:rFonts w:ascii="Cambria Math" w:hAnsi="Cambria Math"/>
              </w:rPr>
            </m:ctrlPr>
          </m:sSubPr>
          <m:e>
            <m:r>
              <w:rPr>
                <w:rFonts w:ascii="Cambria Math" w:hAnsi="Cambria Math"/>
              </w:rPr>
              <m:t>M</m:t>
            </m:r>
          </m:e>
          <m:sub>
            <m:r>
              <m:rPr>
                <m:sty m:val="p"/>
              </m:rPr>
              <w:rPr>
                <w:rFonts w:ascii="Cambria Math" w:hAnsi="Cambria Math"/>
              </w:rPr>
              <m:t>sim</m:t>
            </m:r>
          </m:sub>
        </m:sSub>
      </m:oMath>
      <w:r>
        <w:t xml:space="preserve"> from the input receptor structure on the same grid as the experimental cryo-EM density map </w:t>
      </w:r>
      <m:oMath>
        <m:sSub>
          <m:sSubPr>
            <m:ctrlPr>
              <w:rPr>
                <w:rFonts w:ascii="Cambria Math" w:hAnsi="Cambria Math"/>
              </w:rPr>
            </m:ctrlPr>
          </m:sSubPr>
          <m:e>
            <m:r>
              <w:rPr>
                <w:rFonts w:ascii="Cambria Math" w:hAnsi="Cambria Math"/>
              </w:rPr>
              <m:t>M</m:t>
            </m:r>
          </m:e>
          <m:sub>
            <m:r>
              <m:rPr>
                <m:sty m:val="p"/>
              </m:rPr>
              <w:rPr>
                <w:rFonts w:ascii="Cambria Math" w:hAnsi="Cambria Math"/>
              </w:rPr>
              <m:t>exp</m:t>
            </m:r>
          </m:sub>
        </m:sSub>
      </m:oMath>
      <w:r>
        <w:t>. We resampled both maps to a voxel spacing of 1 Å and aligned them to a common physical coordinate system and voxel grid. These two maps served as the source inputs for constructing the multi-view density bank.</w:t>
      </w:r>
    </w:p>
    <w:p w14:paraId="2EC4FA8B" w14:textId="77777777" w:rsidR="00F614DE" w:rsidRDefault="00000000">
      <w:pPr>
        <w:pStyle w:val="11"/>
      </w:pPr>
      <w:r>
        <w:t xml:space="preserve">On the set of voxels containing receptor atoms,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rec</m:t>
            </m:r>
          </m:sub>
        </m:sSub>
      </m:oMath>
      <w:r>
        <w:t xml:space="preserve">, we fitted a scale coefficient </w:t>
      </w:r>
      <m:oMath>
        <m:r>
          <w:rPr>
            <w:rFonts w:ascii="Cambria Math" w:hAnsi="Cambria Math"/>
          </w:rPr>
          <m:t>a</m:t>
        </m:r>
      </m:oMath>
      <w:r>
        <w:t xml:space="preserve"> and offset </w:t>
      </w:r>
      <m:oMath>
        <m:r>
          <w:rPr>
            <w:rFonts w:ascii="Cambria Math" w:hAnsi="Cambria Math"/>
          </w:rPr>
          <m:t>b</m:t>
        </m:r>
      </m:oMath>
      <w:r>
        <w:t xml:space="preserve"> by least squares. This fit minimised the root-mean-square error between the experimental and scaled simulated densities:</w:t>
      </w:r>
    </w:p>
    <w:p w14:paraId="55CC60F0" w14:textId="77777777" w:rsidR="00F614DE" w:rsidRDefault="00000000">
      <w:pPr>
        <w:pStyle w:val="11"/>
        <w:keepLines/>
        <w:spacing w:before="180" w:after="220" w:line="240" w:lineRule="auto"/>
        <w:ind w:firstLine="0"/>
        <w:jc w:val="center"/>
      </w:pPr>
      <m:oMathPara>
        <m:oMathParaPr>
          <m:jc m:val="center"/>
        </m:oMathParaP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e>
            <m:lim>
              <m:r>
                <w:rPr>
                  <w:rFonts w:ascii="Cambria Math" w:hAnsi="Cambria Math"/>
                </w:rPr>
                <m:t>a</m:t>
              </m:r>
              <m:r>
                <m:rPr>
                  <m:sty m:val="p"/>
                </m:rPr>
                <w:rPr>
                  <w:rFonts w:ascii="Cambria Math" w:hAnsi="Cambria Math"/>
                </w:rPr>
                <m:t>,</m:t>
              </m:r>
              <m:r>
                <w:rPr>
                  <w:rFonts w:ascii="Cambria Math" w:hAnsi="Cambria Math"/>
                </w:rPr>
                <m:t>b</m:t>
              </m:r>
            </m:lim>
          </m:limLow>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rec</m:t>
                  </m:r>
                </m:sub>
              </m:sSub>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m:rPr>
                              <m:sty m:val="p"/>
                            </m:rPr>
                            <w:rPr>
                              <w:rFonts w:ascii="Cambria Math" w:hAnsi="Cambria Math"/>
                            </w:rPr>
                            <m:t>exp</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m:t>
                          </m:r>
                        </m:e>
                        <m:sub>
                          <m:r>
                            <m:rPr>
                              <m:sty m:val="p"/>
                            </m:rPr>
                            <w:rPr>
                              <w:rFonts w:ascii="Cambria Math" w:hAnsi="Cambria Math"/>
                            </w:rPr>
                            <m:t>sim</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e>
                  </m:d>
                </m:e>
                <m:sup>
                  <m:r>
                    <w:rPr>
                      <w:rFonts w:ascii="Cambria Math" w:hAnsi="Cambria Math"/>
                    </w:rPr>
                    <m:t>2</m:t>
                  </m:r>
                </m:sup>
              </m:sSup>
            </m:e>
          </m:nary>
          <m:r>
            <m:rPr>
              <m:sty m:val="p"/>
            </m:rPr>
            <w:rPr>
              <w:rFonts w:ascii="Cambria Math" w:hAnsi="Cambria Math"/>
            </w:rPr>
            <m:t>.</m:t>
          </m:r>
        </m:oMath>
      </m:oMathPara>
    </w:p>
    <w:p w14:paraId="1CAFCB1B" w14:textId="77777777" w:rsidR="00F614DE" w:rsidRDefault="00000000">
      <w:pPr>
        <w:pStyle w:val="FirstParagraph"/>
      </w:pPr>
      <w:r>
        <w:t>We then constructed the difference density map using the fitted scale and offset:</w:t>
      </w:r>
    </w:p>
    <w:p w14:paraId="1F0F7E36" w14:textId="77777777" w:rsidR="00F614DE"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diff</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exp</m:t>
              </m:r>
            </m:sub>
          </m:sSub>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M</m:t>
                  </m:r>
                </m:e>
                <m:sub>
                  <m:r>
                    <m:rPr>
                      <m:sty m:val="p"/>
                    </m:rPr>
                    <w:rPr>
                      <w:rFonts w:ascii="Cambria Math" w:hAnsi="Cambria Math"/>
                    </w:rPr>
                    <m:t>sim</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e>
          </m:d>
        </m:oMath>
      </m:oMathPara>
    </w:p>
    <w:p w14:paraId="3069A852" w14:textId="77777777" w:rsidR="00F614DE" w:rsidRDefault="00000000">
      <w:pPr>
        <w:pStyle w:val="FirstParagraph"/>
      </w:pPr>
      <w:r>
        <w:lastRenderedPageBreak/>
        <w:t xml:space="preserve">We also constructed a positive difference density map from the residual, </w:t>
      </w:r>
      <m:oMath>
        <m:sSubSup>
          <m:sSubSupPr>
            <m:ctrlPr>
              <w:rPr>
                <w:rFonts w:ascii="Cambria Math" w:hAnsi="Cambria Math"/>
              </w:rPr>
            </m:ctrlPr>
          </m:sSubSupPr>
          <m:e>
            <m:r>
              <w:rPr>
                <w:rFonts w:ascii="Cambria Math" w:hAnsi="Cambria Math"/>
              </w:rPr>
              <m:t>M</m:t>
            </m:r>
          </m:e>
          <m:sub>
            <m:r>
              <m:rPr>
                <m:sty m:val="p"/>
              </m:rPr>
              <w:rPr>
                <w:rFonts w:ascii="Cambria Math" w:hAnsi="Cambria Math"/>
              </w:rPr>
              <m:t>diff</m:t>
            </m:r>
          </m:sub>
          <m:sup>
            <m:r>
              <m:rPr>
                <m:sty m:val="p"/>
              </m:rPr>
              <w:rPr>
                <w:rFonts w:ascii="Cambria Math" w:hAnsi="Cambria Math"/>
              </w:rPr>
              <m:t>+</m:t>
            </m:r>
          </m:sup>
        </m:sSubSup>
        <m:r>
          <m:rPr>
            <m:sty m:val="p"/>
          </m:rPr>
          <w:rPr>
            <w:rFonts w:ascii="Cambria Math" w:hAnsi="Cambria Math"/>
          </w:rPr>
          <m:t>(</m:t>
        </m:r>
        <m:r>
          <w:rPr>
            <w:rFonts w:ascii="Cambria Math" w:hAnsi="Cambria Math"/>
          </w:rPr>
          <m:t>x</m:t>
        </m:r>
        <m:r>
          <m:rPr>
            <m:sty m:val="p"/>
          </m:rPr>
          <w:rPr>
            <w:rFonts w:ascii="Cambria Math" w:hAnsi="Cambria Math"/>
          </w:rPr>
          <m:t>)=max(</m:t>
        </m:r>
        <m:sSub>
          <m:sSubPr>
            <m:ctrlPr>
              <w:rPr>
                <w:rFonts w:ascii="Cambria Math" w:hAnsi="Cambria Math"/>
              </w:rPr>
            </m:ctrlPr>
          </m:sSubPr>
          <m:e>
            <m:r>
              <w:rPr>
                <w:rFonts w:ascii="Cambria Math" w:hAnsi="Cambria Math"/>
              </w:rPr>
              <m:t>M</m:t>
            </m:r>
          </m:e>
          <m:sub>
            <m:r>
              <m:rPr>
                <m:sty m:val="p"/>
              </m:rPr>
              <w:rPr>
                <w:rFonts w:ascii="Cambria Math" w:hAnsi="Cambria Math"/>
              </w:rPr>
              <m:t>diff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oMath>
      <w:r>
        <w:t>.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14:paraId="606B2F4C" w14:textId="77777777" w:rsidR="00F614DE" w:rsidRDefault="00000000">
      <w:pPr>
        <w:pStyle w:val="11"/>
      </w:pPr>
      <w:r>
        <w:t xml:space="preserve">For each base density field </w:t>
      </w:r>
      <m:oMath>
        <m:r>
          <w:rPr>
            <w:rFonts w:ascii="Cambria Math" w:hAnsi="Cambria Math"/>
          </w:rPr>
          <m:t>M</m:t>
        </m:r>
      </m:oMath>
      <w:r>
        <w:t xml:space="preserve">, we retained both unnormalised and z-score-normalised representations. For the latter, we first clipped </w:t>
      </w:r>
      <m:oMath>
        <m:r>
          <w:rPr>
            <w:rFonts w:ascii="Cambria Math" w:hAnsi="Cambria Math"/>
          </w:rPr>
          <m:t>M</m:t>
        </m:r>
      </m:oMath>
      <w:r>
        <w:t xml:space="preserve"> to its 0.1st and 99.9th percentiles before applying z-score normalisation, reducing the influence of extreme density values on the numerical scale.</w:t>
      </w:r>
    </w:p>
    <w:p w14:paraId="0B026AD4" w14:textId="77777777" w:rsidR="00F614DE" w:rsidRDefault="00000000">
      <w:pPr>
        <w:pStyle w:val="11"/>
      </w:pPr>
      <w:r>
        <w:t>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14:paraId="76C8EFEC" w14:textId="77777777" w:rsidR="00F614DE" w:rsidRDefault="00000000">
      <w:pPr>
        <w:pStyle w:val="11"/>
      </w:pPr>
      <w:r>
        <w:t xml:space="preserve">Let </w:t>
      </w:r>
      <m:oMath>
        <m:sSub>
          <m:sSubPr>
            <m:ctrlPr>
              <w:rPr>
                <w:rFonts w:ascii="Cambria Math" w:hAnsi="Cambria Math"/>
              </w:rPr>
            </m:ctrlPr>
          </m:sSubPr>
          <m:e>
            <m:r>
              <w:rPr>
                <w:rFonts w:ascii="Cambria Math" w:hAnsi="Cambria Math"/>
              </w:rPr>
              <m:t>G</m:t>
            </m:r>
          </m:e>
          <m:sub>
            <m:r>
              <w:rPr>
                <w:rFonts w:ascii="Cambria Math" w:hAnsi="Cambria Math"/>
              </w:rPr>
              <m:t>σ</m:t>
            </m:r>
          </m:sub>
        </m:sSub>
      </m:oMath>
      <w:r>
        <w:t xml:space="preserve"> denote a three-dimensional Gaussian kernel with standard deviation </w:t>
      </w:r>
      <m:oMath>
        <m:r>
          <w:rPr>
            <w:rFonts w:ascii="Cambria Math" w:hAnsi="Cambria Math"/>
          </w:rPr>
          <m:t>σ</m:t>
        </m:r>
      </m:oMath>
      <w:r>
        <w:t xml:space="preserve">, and let </w:t>
      </w:r>
      <m:oMath>
        <m:r>
          <m:rPr>
            <m:sty m:val="p"/>
          </m:rPr>
          <w:rPr>
            <w:rFonts w:ascii="Cambria Math" w:hAnsi="Cambria Math"/>
          </w:rPr>
          <m:t>*</m:t>
        </m:r>
      </m:oMath>
      <w:r>
        <w:t xml:space="preserve"> denote three-dimensional convolution. Let </w:t>
      </w:r>
      <m:oMath>
        <m:sSub>
          <m:sSubPr>
            <m:ctrlPr>
              <w:rPr>
                <w:rFonts w:ascii="Cambria Math" w:hAnsi="Cambria Math"/>
              </w:rPr>
            </m:ctrlPr>
          </m:sSubPr>
          <m:e>
            <m:r>
              <w:rPr>
                <w:rFonts w:ascii="Cambria Math" w:hAnsi="Cambria Math"/>
              </w:rPr>
              <m:t>d</m:t>
            </m:r>
          </m:e>
          <m:sub>
            <m:r>
              <m:rPr>
                <m:sty m:val="p"/>
              </m:rPr>
              <w:rPr>
                <w:rFonts w:ascii="Cambria Math" w:hAnsi="Cambria Math"/>
              </w:rPr>
              <m:t>rec</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denote the distance from voxel </w:t>
      </w:r>
      <m:oMath>
        <m:r>
          <w:rPr>
            <w:rFonts w:ascii="Cambria Math" w:hAnsi="Cambria Math"/>
          </w:rPr>
          <m:t>x</m:t>
        </m:r>
      </m:oMath>
      <w:r>
        <w:t xml:space="preserve"> to the nearest receptor-occupied voxel. With </w:t>
      </w:r>
      <m:oMath>
        <m:sSub>
          <m:sSubPr>
            <m:ctrlPr>
              <w:rPr>
                <w:rFonts w:ascii="Cambria Math" w:hAnsi="Cambria Math"/>
              </w:rPr>
            </m:ctrlPr>
          </m:sSubPr>
          <m:e>
            <m:r>
              <w:rPr>
                <w:rFonts w:ascii="Cambria Math" w:hAnsi="Cambria Math"/>
              </w:rPr>
              <m:t>S</m:t>
            </m:r>
          </m:e>
          <m:sub>
            <m:r>
              <w:rPr>
                <w:rFonts w:ascii="Cambria Math" w:hAnsi="Cambria Math"/>
              </w:rPr>
              <m:t>σ</m:t>
            </m:r>
          </m:sub>
        </m:sSub>
        <m:r>
          <m:rPr>
            <m:sty m:val="p"/>
          </m:rPr>
          <w:rPr>
            <w:rFonts w:ascii="Cambria Math" w:hAnsi="Cambria Math"/>
          </w:rPr>
          <m:t>(</m:t>
        </m:r>
        <m:r>
          <w:rPr>
            <w:rFonts w:ascii="Cambria Math" w:hAnsi="Cambria Math"/>
          </w:rPr>
          <m:t>x</m:t>
        </m:r>
        <m:r>
          <m:rPr>
            <m:scr m:val="double-struck"/>
            <m:sty m:val="p"/>
          </m:rPr>
          <w:rPr>
            <w:rFonts w:ascii="Cambria Math" w:hAnsi="Cambria Math"/>
          </w:rPr>
          <m:t>)=I[</m:t>
        </m:r>
        <m:sSub>
          <m:sSubPr>
            <m:ctrlPr>
              <w:rPr>
                <w:rFonts w:ascii="Cambria Math" w:hAnsi="Cambria Math"/>
              </w:rPr>
            </m:ctrlPr>
          </m:sSubPr>
          <m:e>
            <m:r>
              <w:rPr>
                <w:rFonts w:ascii="Cambria Math" w:hAnsi="Cambria Math"/>
              </w:rPr>
              <m:t>d</m:t>
            </m:r>
          </m:e>
          <m:sub>
            <m:r>
              <m:rPr>
                <m:sty m:val="p"/>
              </m:rPr>
              <w:rPr>
                <w:rFonts w:ascii="Cambria Math" w:hAnsi="Cambria Math"/>
              </w:rPr>
              <m:t>rec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]exp[-</m:t>
        </m:r>
        <m:sSub>
          <m:sSubPr>
            <m:ctrlPr>
              <w:rPr>
                <w:rFonts w:ascii="Cambria Math" w:hAnsi="Cambria Math"/>
              </w:rPr>
            </m:ctrlPr>
          </m:sSubPr>
          <m:e>
            <m:r>
              <w:rPr>
                <w:rFonts w:ascii="Cambria Math" w:hAnsi="Cambria Math"/>
              </w:rPr>
              <m:t>d</m:t>
            </m:r>
          </m:e>
          <m:sub>
            <m:r>
              <m:rPr>
                <m:sty m:val="p"/>
              </m:rPr>
              <w:rPr>
                <w:rFonts w:ascii="Cambria Math" w:hAnsi="Cambria Math"/>
              </w:rPr>
              <m:t>rec</m:t>
            </m:r>
          </m:sub>
        </m:sSub>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oMath>
      <w:r>
        <w:t xml:space="preserve"> defining receptor-neighbourhood suppression, the seven spatial views are written as:</w:t>
      </w:r>
    </w:p>
    <w:p w14:paraId="15A937AF" w14:textId="77777777" w:rsidR="00F614DE" w:rsidRDefault="00000000">
      <w:pPr>
        <w:pStyle w:val="11"/>
        <w:keepLines/>
        <w:spacing w:before="180" w:after="220" w:line="240" w:lineRule="auto"/>
        <w:ind w:firstLine="0"/>
        <w:jc w:val="center"/>
      </w:pPr>
      <m:oMathPara>
        <m:oMathParaPr>
          <m:jc m:val="center"/>
        </m:oMathParaPr>
        <m:oMath>
          <m:r>
            <m:rPr>
              <m:scr m:val="script"/>
              <m:sty m:val="p"/>
            </m:rPr>
            <w:rPr>
              <w:rFonts w:ascii="Cambria Math" w:hAnsi="Cambria Math"/>
            </w:rPr>
            <m:t>V(</m:t>
          </m:r>
          <m:r>
            <w:rPr>
              <w:rFonts w:ascii="Cambria Math" w:hAnsi="Cambria Math"/>
            </w:rPr>
            <m:t>M</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e>
          </m:d>
          <m:r>
            <m:rPr>
              <m:sty m:val="p"/>
            </m:rPr>
            <w:rPr>
              <w:rFonts w:ascii="Cambria Math" w:hAnsi="Cambria Math"/>
            </w:rPr>
            <m:t>.</m:t>
          </m:r>
        </m:oMath>
      </m:oMathPara>
    </w:p>
    <w:p w14:paraId="17C9ED4C" w14:textId="77777777" w:rsidR="00F614DE" w:rsidRDefault="00000000">
      <w:pPr>
        <w:pStyle w:val="FirstParagraph"/>
      </w:pPr>
      <w:r>
        <w:t xml:space="preserve">Each local region therefore yields a total of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56</m:t>
        </m:r>
      </m:oMath>
      <w:r>
        <w:t xml:space="preserve"> density channels. These form a 56-channel tensor in the fixed order of base density field, normalisation scheme and spatial transformation.</w:t>
      </w:r>
    </w:p>
    <w:p w14:paraId="38A14358" w14:textId="77777777" w:rsidR="00F614DE" w:rsidRDefault="00000000">
      <w:pPr>
        <w:pStyle w:val="11"/>
      </w:pPr>
      <w:r>
        <w:t>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14:paraId="1DA14C6E" w14:textId="77777777" w:rsidR="00F614DE" w:rsidRDefault="00000000">
      <w:pPr>
        <w:pStyle w:val="11"/>
      </w:pPr>
      <w:r>
        <w:lastRenderedPageBreak/>
        <w:t xml:space="preserve">All models were trained on local </w:t>
      </w:r>
      <m:oMath>
        <m:sSup>
          <m:sSupPr>
            <m:ctrlPr>
              <w:rPr>
                <w:rFonts w:ascii="Cambria Math" w:hAnsi="Cambria Math"/>
              </w:rPr>
            </m:ctrlPr>
          </m:sSupPr>
          <m:e>
            <m:r>
              <w:rPr>
                <w:rFonts w:ascii="Cambria Math" w:hAnsi="Cambria Math"/>
              </w:rPr>
              <m:t>L</m:t>
            </m:r>
          </m:e>
          <m:sup>
            <m:r>
              <w:rPr>
                <w:rFonts w:ascii="Cambria Math" w:hAnsi="Cambria Math"/>
              </w:rPr>
              <m:t>3</m:t>
            </m:r>
          </m:sup>
        </m:sSup>
      </m:oMath>
      <w:r>
        <w:t xml:space="preserve"> voxel blocks rather than entire density maps. The multi-view density bank was constructed within each block, producing a tensor </w:t>
      </w:r>
      <m:oMath>
        <m:r>
          <w:rPr>
            <w:rFonts w:ascii="Cambria Math" w:hAnsi="Cambria Math"/>
          </w:rPr>
          <m:t>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56</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sup>
        </m:sSup>
      </m:oMath>
      <w:r>
        <w:t xml:space="preserve"> as the neural-network input. The local block size was </w:t>
      </w:r>
      <m:oMath>
        <m:r>
          <w:rPr>
            <w:rFonts w:ascii="Cambria Math" w:hAnsi="Cambria Math"/>
          </w:rPr>
          <m:t>L</m:t>
        </m:r>
        <m:r>
          <m:rPr>
            <m:sty m:val="p"/>
          </m:rPr>
          <w:rPr>
            <w:rFonts w:ascii="Cambria Math" w:hAnsi="Cambria Math"/>
          </w:rPr>
          <m:t>=</m:t>
        </m:r>
        <m:r>
          <w:rPr>
            <w:rFonts w:ascii="Cambria Math" w:hAnsi="Cambria Math"/>
          </w:rPr>
          <m:t>80</m:t>
        </m:r>
      </m:oMath>
      <w:r>
        <w:t xml:space="preserve"> for Find and Build and </w:t>
      </w:r>
      <m:oMath>
        <m:r>
          <w:rPr>
            <w:rFonts w:ascii="Cambria Math" w:hAnsi="Cambria Math"/>
          </w:rPr>
          <m:t>L</m:t>
        </m:r>
        <m:r>
          <m:rPr>
            <m:sty m:val="p"/>
          </m:rPr>
          <w:rPr>
            <w:rFonts w:ascii="Cambria Math" w:hAnsi="Cambria Math"/>
          </w:rPr>
          <m:t>=</m:t>
        </m:r>
        <m:r>
          <w:rPr>
            <w:rFonts w:ascii="Cambria Math" w:hAnsi="Cambria Math"/>
          </w:rPr>
          <m:t>48</m:t>
        </m:r>
      </m:oMath>
      <w:r>
        <w:t xml:space="preserve"> for Match.</w:t>
      </w:r>
    </w:p>
    <w:p w14:paraId="4FFDDA0C" w14:textId="77777777" w:rsidR="00F614DE" w:rsidRDefault="00000000">
      <w:pPr>
        <w:pStyle w:val="3"/>
      </w:pPr>
      <w:bookmarkStart w:id="24" w:name="receptor-atom-features"/>
      <w:bookmarkEnd w:id="23"/>
      <w:r>
        <w:t>Receptor-atom features</w:t>
      </w:r>
    </w:p>
    <w:p w14:paraId="58A2E024" w14:textId="77777777" w:rsidR="00F614DE" w:rsidRDefault="00000000">
      <w:pPr>
        <w:pStyle w:val="FirstParagraph"/>
      </w:pPr>
      <w:r>
        <w:t xml:space="preserve">We represent receptor atoms uniformly across all three stages as </w:t>
      </w:r>
      <m:oMath>
        <m:r>
          <w:rPr>
            <w:rFonts w:ascii="Cambria Math" w:hAnsi="Cambria Math"/>
          </w:rPr>
          <m:t>A</m:t>
        </m:r>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u</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Here, </w:t>
      </w:r>
      <m:oMath>
        <m:sSub>
          <m:sSubPr>
            <m:ctrlPr>
              <w:rPr>
                <w:rFonts w:ascii="Cambria Math" w:hAnsi="Cambria Math"/>
              </w:rPr>
            </m:ctrlPr>
          </m:sSubPr>
          <m:e>
            <m:r>
              <m:rPr>
                <m:sty m:val="bi"/>
              </m:rP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gives the world coordinates of receptor heavy atom </w:t>
      </w:r>
      <m:oMath>
        <m:r>
          <w:rPr>
            <w:rFonts w:ascii="Cambria Math" w:hAnsi="Cambria Math"/>
          </w:rPr>
          <m:t>i</m:t>
        </m:r>
      </m:oMath>
      <w:r>
        <w:t xml:space="preserve">. The corresponding feature vector </w:t>
      </w:r>
      <m:oMath>
        <m:sSub>
          <m:sSubPr>
            <m:ctrlPr>
              <w:rPr>
                <w:rFonts w:ascii="Cambria Math" w:hAnsi="Cambria Math"/>
              </w:rPr>
            </m:ctrlPr>
          </m:sSubPr>
          <m:e>
            <m:r>
              <m:rPr>
                <m:sty m:val="bi"/>
              </m:rPr>
              <w:rPr>
                <w:rFonts w:ascii="Cambria Math" w:hAnsi="Cambria Math"/>
              </w:rPr>
              <m:t>u</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50</m:t>
            </m:r>
          </m:sup>
        </m:sSup>
      </m:oMath>
      <w:r>
        <w:t xml:space="preserve"> describes its chemical properties, residue environment and local packing.</w:t>
      </w:r>
    </w:p>
    <w:p w14:paraId="7B7DA07D" w14:textId="77777777" w:rsidR="00F614DE" w:rsidRDefault="00000000">
      <w:pPr>
        <w:pStyle w:val="11"/>
      </w:pPr>
      <w:r>
        <w:t>The 50-dimensional feature vector is formed by concatenating six components in a fixed order:</w:t>
      </w:r>
    </w:p>
    <w:p w14:paraId="1D82CC54" w14:textId="77777777" w:rsidR="00F614DE"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ty m:val="bi"/>
                </m:rPr>
                <w:rPr>
                  <w:rFonts w:ascii="Cambria Math" w:hAnsi="Cambria Math"/>
                </w:rPr>
                <m:t>u</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rPr>
                    <m:t>e</m:t>
                  </m:r>
                </m:e>
                <m:sub>
                  <m:r>
                    <w:rPr>
                      <w:rFonts w:ascii="Cambria Math" w:hAnsi="Cambria Math"/>
                    </w:rPr>
                    <m:t>i</m:t>
                  </m:r>
                </m:sub>
                <m:sup>
                  <m:r>
                    <m:rPr>
                      <m:sty m:val="p"/>
                    </m:rPr>
                    <w:rPr>
                      <w:rFonts w:ascii="Cambria Math" w:hAnsi="Cambria Math"/>
                    </w:rPr>
                    <m:t>(</m:t>
                  </m:r>
                  <m:r>
                    <w:rPr>
                      <w:rFonts w:ascii="Cambria Math" w:hAnsi="Cambria Math"/>
                    </w:rPr>
                    <m:t>6</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q</m:t>
                  </m:r>
                </m:e>
                <m:sub>
                  <m:r>
                    <w:rPr>
                      <w:rFonts w:ascii="Cambria Math" w:hAnsi="Cambria Math"/>
                    </w:rPr>
                    <m:t>i</m:t>
                  </m:r>
                </m:sub>
                <m:sup>
                  <m:r>
                    <m:rPr>
                      <m:sty m:val="p"/>
                    </m:rPr>
                    <w:rPr>
                      <w:rFonts w:ascii="Cambria Math" w:hAnsi="Cambria Math"/>
                    </w:rPr>
                    <m:t>(</m:t>
                  </m:r>
                  <m:r>
                    <w:rPr>
                      <w:rFonts w:ascii="Cambria Math" w:hAnsi="Cambria Math"/>
                    </w:rPr>
                    <m:t>25</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p</m:t>
                  </m:r>
                </m:e>
                <m:sub>
                  <m:r>
                    <w:rPr>
                      <w:rFonts w:ascii="Cambria Math" w:hAnsi="Cambria Math"/>
                    </w:rPr>
                    <m:t>i</m:t>
                  </m:r>
                </m:sub>
                <m:sup>
                  <m:r>
                    <m:rPr>
                      <m:sty m:val="p"/>
                    </m:rPr>
                    <w:rPr>
                      <w:rFonts w:ascii="Cambria Math" w:hAnsi="Cambria Math"/>
                    </w:rPr>
                    <m:t>(</m:t>
                  </m:r>
                  <m:r>
                    <w:rPr>
                      <w:rFonts w:ascii="Cambria Math" w:hAnsi="Cambria Math"/>
                    </w:rPr>
                    <m:t>8</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h</m:t>
                  </m:r>
                </m:e>
                <m:sub>
                  <m:r>
                    <w:rPr>
                      <w:rFonts w:ascii="Cambria Math" w:hAnsi="Cambria Math"/>
                    </w:rPr>
                    <m:t>i</m:t>
                  </m:r>
                </m:sub>
                <m:sup>
                  <m:r>
                    <m:rPr>
                      <m:sty m:val="p"/>
                    </m:rPr>
                    <w:rPr>
                      <w:rFonts w:ascii="Cambria Math" w:hAnsi="Cambria Math"/>
                    </w:rPr>
                    <m:t>(</m:t>
                  </m:r>
                  <m:r>
                    <w:rPr>
                      <w:rFonts w:ascii="Cambria Math" w:hAnsi="Cambria Math"/>
                    </w:rPr>
                    <m:t>9</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m:t>
                  </m:r>
                  <m:r>
                    <w:rPr>
                      <w:rFonts w:ascii="Cambria Math" w:hAnsi="Cambria Math"/>
                    </w:rPr>
                    <m:t>1</m:t>
                  </m:r>
                  <m:r>
                    <m:rPr>
                      <m:sty m:val="p"/>
                    </m:rPr>
                    <w:rPr>
                      <w:rFonts w:ascii="Cambria Math" w:hAnsi="Cambria Math"/>
                    </w:rPr>
                    <m:t>)</m:t>
                  </m:r>
                </m:sup>
              </m:sSubSup>
            </m:e>
          </m:d>
          <m:r>
            <m:rPr>
              <m:sty m:val="p"/>
            </m:rPr>
            <w:rPr>
              <w:rFonts w:ascii="Cambria Math" w:hAnsi="Cambria Math"/>
            </w:rPr>
            <m:t>.</m:t>
          </m:r>
        </m:oMath>
      </m:oMathPara>
    </w:p>
    <w:p w14:paraId="3DE5822A" w14:textId="77777777" w:rsidR="00F614DE" w:rsidRDefault="00000000">
      <w:pPr>
        <w:pStyle w:val="FirstParagraph"/>
      </w:pPr>
      <w:r>
        <w:t xml:space="preserve">The element one-hot encoding </w:t>
      </w:r>
      <m:oMath>
        <m:sSubSup>
          <m:sSubSupPr>
            <m:ctrlPr>
              <w:rPr>
                <w:rFonts w:ascii="Cambria Math" w:hAnsi="Cambria Math"/>
              </w:rPr>
            </m:ctrlPr>
          </m:sSubSupPr>
          <m:e>
            <m:r>
              <m:rPr>
                <m:sty m:val="bi"/>
              </m:rPr>
              <w:rPr>
                <w:rFonts w:ascii="Cambria Math" w:hAnsi="Cambria Math"/>
              </w:rPr>
              <m:t>e</m:t>
            </m:r>
          </m:e>
          <m:sub>
            <m:r>
              <w:rPr>
                <w:rFonts w:ascii="Cambria Math" w:hAnsi="Cambria Math"/>
              </w:rPr>
              <m:t>i</m:t>
            </m:r>
          </m:sub>
          <m:sup>
            <m:r>
              <m:rPr>
                <m:sty m:val="p"/>
              </m:rPr>
              <w:rPr>
                <w:rFonts w:ascii="Cambria Math" w:hAnsi="Cambria Math"/>
              </w:rPr>
              <m:t>(</m:t>
            </m:r>
            <m:r>
              <w:rPr>
                <w:rFonts w:ascii="Cambria Math" w:hAnsi="Cambria Math"/>
              </w:rPr>
              <m:t>6</m:t>
            </m:r>
            <m:r>
              <m:rPr>
                <m:sty m:val="p"/>
              </m:rPr>
              <w:rPr>
                <w:rFonts w:ascii="Cambria Math" w:hAnsi="Cambria Math"/>
              </w:rPr>
              <m:t>)</m:t>
            </m:r>
          </m:sup>
        </m:sSubSup>
      </m:oMath>
      <w:r>
        <w:t xml:space="preserve"> represents C, N, O, S, P and other elements, in that order. The residue one-hot encoding </w:t>
      </w:r>
      <m:oMath>
        <m:sSubSup>
          <m:sSubSupPr>
            <m:ctrlPr>
              <w:rPr>
                <w:rFonts w:ascii="Cambria Math" w:hAnsi="Cambria Math"/>
              </w:rPr>
            </m:ctrlPr>
          </m:sSubSupPr>
          <m:e>
            <m:r>
              <m:rPr>
                <m:sty m:val="bi"/>
              </m:rPr>
              <w:rPr>
                <w:rFonts w:ascii="Cambria Math" w:hAnsi="Cambria Math"/>
              </w:rPr>
              <m:t>q</m:t>
            </m:r>
          </m:e>
          <m:sub>
            <m:r>
              <w:rPr>
                <w:rFonts w:ascii="Cambria Math" w:hAnsi="Cambria Math"/>
              </w:rPr>
              <m:t>i</m:t>
            </m:r>
          </m:sub>
          <m:sup>
            <m:r>
              <m:rPr>
                <m:sty m:val="p"/>
              </m:rPr>
              <w:rPr>
                <w:rFonts w:ascii="Cambria Math" w:hAnsi="Cambria Math"/>
              </w:rPr>
              <m:t>(</m:t>
            </m:r>
            <m:r>
              <w:rPr>
                <w:rFonts w:ascii="Cambria Math" w:hAnsi="Cambria Math"/>
              </w:rPr>
              <m:t>25</m:t>
            </m:r>
            <m:r>
              <m:rPr>
                <m:sty m:val="p"/>
              </m:rPr>
              <w:rPr>
                <w:rFonts w:ascii="Cambria Math" w:hAnsi="Cambria Math"/>
              </w:rPr>
              <m:t>)</m:t>
            </m:r>
          </m:sup>
        </m:sSubSup>
      </m:oMath>
      <w:r>
        <w:t xml:space="preserve"> includes 20 standard amino acids, the four nucleotides A/U/C/G and an unknown category. DNA bases and common modified residues are mapped to their corresponding standard parent categories. This mapping provides a unified input space for protein, RNA and DNA receptors.</w:t>
      </w:r>
    </w:p>
    <w:p w14:paraId="28BF6252" w14:textId="77777777" w:rsidR="00F614DE" w:rsidRDefault="00000000">
      <w:pPr>
        <w:pStyle w:val="11"/>
      </w:pPr>
      <w:r>
        <w:t xml:space="preserve">The eight features in </w:t>
      </w:r>
      <m:oMath>
        <m:sSubSup>
          <m:sSubSupPr>
            <m:ctrlPr>
              <w:rPr>
                <w:rFonts w:ascii="Cambria Math" w:hAnsi="Cambria Math"/>
              </w:rPr>
            </m:ctrlPr>
          </m:sSubSupPr>
          <m:e>
            <m:r>
              <m:rPr>
                <m:sty m:val="bi"/>
              </m:rPr>
              <w:rPr>
                <w:rFonts w:ascii="Cambria Math" w:hAnsi="Cambria Math"/>
              </w:rPr>
              <m:t>p</m:t>
            </m:r>
          </m:e>
          <m:sub>
            <m:r>
              <w:rPr>
                <w:rFonts w:ascii="Cambria Math" w:hAnsi="Cambria Math"/>
              </w:rPr>
              <m:t>i</m:t>
            </m:r>
          </m:sub>
          <m:sup>
            <m:r>
              <m:rPr>
                <m:sty m:val="p"/>
              </m:rPr>
              <w:rPr>
                <w:rFonts w:ascii="Cambria Math" w:hAnsi="Cambria Math"/>
              </w:rPr>
              <m:t>(</m:t>
            </m:r>
            <m:r>
              <w:rPr>
                <w:rFonts w:ascii="Cambria Math" w:hAnsi="Cambria Math"/>
              </w:rPr>
              <m:t>8</m:t>
            </m:r>
            <m:r>
              <m:rPr>
                <m:sty m:val="p"/>
              </m:rPr>
              <w:rPr>
                <w:rFonts w:ascii="Cambria Math" w:hAnsi="Cambria Math"/>
              </w:rPr>
              <m:t>)</m:t>
            </m:r>
          </m:sup>
        </m:sSubSup>
      </m:oMath>
      <w:r>
        <w:t xml:space="preserve"> describe the physicochemical categories of the atom’s residue. In order, they encode polar, non-polar, acidic, basic, neutral, positively charged, negatively charged and uncharged properties. The relative atomic mass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is normalised by dividing by 32.</w:t>
      </w:r>
    </w:p>
    <w:p w14:paraId="512BAE31" w14:textId="77777777" w:rsidR="00F614DE" w:rsidRDefault="00000000">
      <w:pPr>
        <w:pStyle w:val="11"/>
      </w:pPr>
      <w:r>
        <w:t xml:space="preserve">The nine-dimensional component </w:t>
      </w:r>
      <m:oMath>
        <m:sSubSup>
          <m:sSubSupPr>
            <m:ctrlPr>
              <w:rPr>
                <w:rFonts w:ascii="Cambria Math" w:hAnsi="Cambria Math"/>
              </w:rPr>
            </m:ctrlPr>
          </m:sSubSupPr>
          <m:e>
            <m:r>
              <m:rPr>
                <m:sty m:val="bi"/>
              </m:rPr>
              <w:rPr>
                <w:rFonts w:ascii="Cambria Math" w:hAnsi="Cambria Math"/>
              </w:rPr>
              <m:t>h</m:t>
            </m:r>
          </m:e>
          <m:sub>
            <m:r>
              <w:rPr>
                <w:rFonts w:ascii="Cambria Math" w:hAnsi="Cambria Math"/>
              </w:rPr>
              <m:t>i</m:t>
            </m:r>
          </m:sub>
          <m:sup>
            <m:r>
              <m:rPr>
                <m:sty m:val="p"/>
              </m:rPr>
              <w:rPr>
                <w:rFonts w:ascii="Cambria Math" w:hAnsi="Cambria Math"/>
              </w:rPr>
              <m:t>(</m:t>
            </m:r>
            <m:r>
              <w:rPr>
                <w:rFonts w:ascii="Cambria Math" w:hAnsi="Cambria Math"/>
              </w:rPr>
              <m:t>9</m:t>
            </m:r>
            <m:r>
              <m:rPr>
                <m:sty m:val="p"/>
              </m:rPr>
              <w:rPr>
                <w:rFonts w:ascii="Cambria Math" w:hAnsi="Cambria Math"/>
              </w:rPr>
              <m:t>)</m:t>
            </m:r>
          </m:sup>
        </m:sSubSup>
      </m:oMath>
      <w:r>
        <w:t xml:space="preserve"> describes the local packing environment around the atom. We partitioned its 0–18 Å neighbourhood into nine concentric shells: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18</m:t>
        </m:r>
        <m:r>
          <m:rPr>
            <m:sty m:val="p"/>
          </m:rPr>
          <w:rPr>
            <w:rFonts w:ascii="Cambria Math" w:hAnsi="Cambria Math"/>
          </w:rPr>
          <m:t>]</m:t>
        </m:r>
      </m:oMath>
      <w:r>
        <w:t xml:space="preserve"> Å. We counted the other receptor atoms in each shell, </w:t>
      </w:r>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oMath>
      <w:r>
        <w:t>, and compressed the dynamic range of these counts using:</w:t>
      </w:r>
    </w:p>
    <w:p w14:paraId="13C675CE" w14:textId="77777777" w:rsidR="00F614DE"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e>
          </m:d>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m:oMathPara>
    </w:p>
    <w:p w14:paraId="3FA217CF" w14:textId="77777777" w:rsidR="00F614DE" w:rsidRDefault="00000000">
      <w:pPr>
        <w:pStyle w:val="FirstParagraph"/>
      </w:pPr>
      <w:r>
        <w:t xml:space="preserve">The final feature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indicates whether the atom belongs to the backbone. It equals 1 for protein N, CA, C and O atoms, and for nucleic acid P, O5′, C5′, C4′, C3′ and O3′ atoms. All other atoms receive a value of 0, completing the 50-dimensional vector.</w:t>
      </w:r>
    </w:p>
    <w:p w14:paraId="48782DF9" w14:textId="77777777" w:rsidR="00F614DE" w:rsidRDefault="00000000">
      <w:pPr>
        <w:pStyle w:val="11"/>
      </w:pPr>
      <w:r>
        <w:lastRenderedPageBreak/>
        <w:t>Find and Match use the same receptor-atom feature construction rules, whereas we follow the PocketXMol official process when fine-tuning it. Under the shared encoding scheme, each atom has a consistent initial representation across tasks and local regions.</w:t>
      </w:r>
    </w:p>
    <w:p w14:paraId="45889820" w14:textId="77777777" w:rsidR="00F614DE" w:rsidRDefault="00000000">
      <w:pPr>
        <w:pStyle w:val="2"/>
      </w:pPr>
      <w:bookmarkStart w:id="25" w:name="stage-1-find"/>
      <w:bookmarkEnd w:id="22"/>
      <w:bookmarkEnd w:id="24"/>
      <w:r>
        <w:t>Stage 1: Find</w:t>
      </w:r>
    </w:p>
    <w:p w14:paraId="2440E855" w14:textId="77777777" w:rsidR="00F614DE" w:rsidRDefault="00000000">
      <w:pPr>
        <w:pStyle w:val="3"/>
      </w:pPr>
      <w:bookmarkStart w:id="26" w:name="task-definition"/>
      <w:r>
        <w:t>Task definition</w:t>
      </w:r>
    </w:p>
    <w:p w14:paraId="691DBD26" w14:textId="77777777" w:rsidR="00F614DE" w:rsidRDefault="00000000">
      <w:pPr>
        <w:pStyle w:val="FirstParagraph"/>
      </w:pPr>
      <w:r>
        <w:t xml:space="preserve">Let </w:t>
      </w:r>
      <m:oMath>
        <m:r>
          <m:rPr>
            <m:scr m:val="script"/>
            <m:sty m:val="p"/>
          </m:rPr>
          <w:rPr>
            <w:rFonts w:ascii="Cambria Math" w:hAnsi="Cambria Math"/>
          </w:rPr>
          <m:t>L={(</m:t>
        </m:r>
        <m:sSub>
          <m:sSubPr>
            <m:ctrlPr>
              <w:rPr>
                <w:rFonts w:ascii="Cambria Math" w:hAnsi="Cambria Math"/>
              </w:rPr>
            </m:ctrlPr>
          </m:sSubPr>
          <m:e>
            <m:r>
              <m:rPr>
                <m:scr m:val="script"/>
                <m:sty m:val="bi"/>
              </m:rP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m</m:t>
            </m:r>
          </m:sub>
        </m:sSub>
      </m:oMath>
      <w:r>
        <w:t xml:space="preserve"> denote the set of non-hydrogen atoms from all ligands in a sample. Here, </w:t>
      </w:r>
      <m:oMath>
        <m:sSub>
          <m:sSubPr>
            <m:ctrlPr>
              <w:rPr>
                <w:rFonts w:ascii="Cambria Math" w:hAnsi="Cambria Math"/>
              </w:rPr>
            </m:ctrlPr>
          </m:sSubPr>
          <m:e>
            <m:r>
              <m:rPr>
                <m:scr m:val="script"/>
                <m:sty m:val="bi"/>
              </m:rPr>
              <w:rPr>
                <w:rFonts w:ascii="Cambria Math" w:hAnsi="Cambria Math"/>
              </w:rPr>
              <m:t>l</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gives the world coordinates of ligand atom </w:t>
      </w:r>
      <m:oMath>
        <m:r>
          <w:rPr>
            <w:rFonts w:ascii="Cambria Math" w:hAnsi="Cambria Math"/>
          </w:rPr>
          <m:t>m</m:t>
        </m:r>
      </m:oMath>
      <w:r>
        <w:t xml:space="preserve">, and </w:t>
      </w:r>
      <m:oMath>
        <m:sSub>
          <m:sSubPr>
            <m:ctrlPr>
              <w:rPr>
                <w:rFonts w:ascii="Cambria Math" w:hAnsi="Cambria Math"/>
              </w:rPr>
            </m:ctrlPr>
          </m:sSubPr>
          <m:e>
            <m:r>
              <w:rPr>
                <w:rFonts w:ascii="Cambria Math" w:hAnsi="Cambria Math"/>
              </w:rPr>
              <m:t>e</m:t>
            </m:r>
          </m:e>
          <m:sub>
            <m:r>
              <w:rPr>
                <w:rFonts w:ascii="Cambria Math" w:hAnsi="Cambria Math"/>
              </w:rPr>
              <m:t>m</m:t>
            </m:r>
          </m:sub>
        </m:sSub>
      </m:oMath>
      <w:r>
        <w:t xml:space="preserve"> denotes its element type. Let </w:t>
      </w:r>
      <m:oMath>
        <m:sSub>
          <m:sSubPr>
            <m:ctrlPr>
              <w:rPr>
                <w:rFonts w:ascii="Cambria Math" w:hAnsi="Cambria Math"/>
              </w:rPr>
            </m:ctrlPr>
          </m:sSubPr>
          <m:e>
            <m:r>
              <m:rPr>
                <m:sty m:val="bi"/>
              </m:rPr>
              <w:rPr>
                <w:rFonts w:ascii="Cambria Math" w:hAnsi="Cambria Math"/>
              </w:rPr>
              <m:t>c</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t xml:space="preserve"> denote the physical coordinates of the centre of voxel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Let </w:t>
      </w:r>
      <m:oMath>
        <m:sSub>
          <m:sSubPr>
            <m:ctrlPr>
              <w:rPr>
                <w:rFonts w:ascii="Cambria Math" w:hAnsi="Cambria Math"/>
              </w:rPr>
            </m:ctrlPr>
          </m:sSubPr>
          <m:e>
            <m:r>
              <w:rPr>
                <w:rFonts w:ascii="Cambria Math" w:hAnsi="Cambria Math"/>
              </w:rPr>
              <m:t>r</m:t>
            </m:r>
          </m:e>
          <m:sub>
            <m:r>
              <m:rPr>
                <m:sty m:val="p"/>
              </m:rPr>
              <w:rPr>
                <w:rFonts w:ascii="Cambria Math" w:hAnsi="Cambria Math"/>
              </w:rPr>
              <m:t>vdW</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oMath>
      <w:r>
        <w:t xml:space="preserve"> denote the van der Waals radius of element </w:t>
      </w:r>
      <m:oMath>
        <m:sSub>
          <m:sSubPr>
            <m:ctrlPr>
              <w:rPr>
                <w:rFonts w:ascii="Cambria Math" w:hAnsi="Cambria Math"/>
              </w:rPr>
            </m:ctrlPr>
          </m:sSubPr>
          <m:e>
            <m:r>
              <w:rPr>
                <w:rFonts w:ascii="Cambria Math" w:hAnsi="Cambria Math"/>
              </w:rPr>
              <m:t>e</m:t>
            </m:r>
          </m:e>
          <m:sub>
            <m:r>
              <w:rPr>
                <w:rFonts w:ascii="Cambria Math" w:hAnsi="Cambria Math"/>
              </w:rPr>
              <m:t>m</m:t>
            </m:r>
          </m:sub>
        </m:sSub>
      </m:oMath>
      <w:r>
        <w:t xml:space="preserve">. We define the ground-truth semantic label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 xml:space="preserve"> for each voxel as:</w:t>
      </w:r>
    </w:p>
    <w:p w14:paraId="34EE4474" w14:textId="77777777" w:rsidR="00F614DE" w:rsidRDefault="00000000">
      <w:pPr>
        <w:pStyle w:val="11"/>
        <w:keepLines/>
        <w:spacing w:before="180" w:after="220" w:line="240" w:lineRule="auto"/>
        <w:ind w:firstLine="0"/>
        <w:jc w:val="center"/>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up>
              <m:r>
                <m:rPr>
                  <m:sty m:val="p"/>
                </m:rPr>
                <w:rPr>
                  <w:rFonts w:ascii="Cambria Math" w:hAnsi="Cambria Math"/>
                </w:rPr>
                <m:t>*</m:t>
              </m:r>
            </m:sup>
          </m:sSubSup>
          <m:r>
            <m:rPr>
              <m:scr m:val="double-struck"/>
              <m:sty m:val="p"/>
            </m:rPr>
            <w:rPr>
              <w:rFonts w:ascii="Cambria Math" w:hAnsi="Cambria Math"/>
            </w:rPr>
            <m:t>=I</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c</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Sub>
                      <m:r>
                        <m:rPr>
                          <m:sty m:val="p"/>
                        </m:rPr>
                        <w:rPr>
                          <w:rFonts w:ascii="Cambria Math" w:hAnsi="Cambria Math"/>
                        </w:rPr>
                        <m:t>-</m:t>
                      </m:r>
                      <m:sSub>
                        <m:sSubPr>
                          <m:ctrlPr>
                            <w:rPr>
                              <w:rFonts w:ascii="Cambria Math" w:hAnsi="Cambria Math"/>
                            </w:rPr>
                          </m:ctrlPr>
                        </m:sSubPr>
                        <m:e>
                          <m:r>
                            <m:rPr>
                              <m:scr m:val="script"/>
                              <m:sty m:val="bi"/>
                            </m:rPr>
                            <w:rPr>
                              <w:rFonts w:ascii="Cambria Math" w:hAnsi="Cambria Math"/>
                            </w:rPr>
                            <m:t>l</m:t>
                          </m:r>
                        </m:e>
                        <m:sub>
                          <m:r>
                            <w:rPr>
                              <w:rFonts w:ascii="Cambria Math" w:hAnsi="Cambria Math"/>
                            </w:rPr>
                            <m:t>m</m:t>
                          </m:r>
                        </m:sub>
                      </m:sSub>
                    </m:e>
                  </m:d>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vdW</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e>
          </m:d>
          <m:r>
            <m:rPr>
              <m:sty m:val="p"/>
            </m:rPr>
            <w:rPr>
              <w:rFonts w:ascii="Cambria Math" w:hAnsi="Cambria Math"/>
            </w:rPr>
            <m:t>.</m:t>
          </m:r>
        </m:oMath>
      </m:oMathPara>
    </w:p>
    <w:p w14:paraId="33C4F454" w14:textId="77777777" w:rsidR="00F614DE" w:rsidRDefault="00000000">
      <w:pPr>
        <w:pStyle w:val="FirstParagraph"/>
      </w:pPr>
      <w:r>
        <w:t xml:space="preserve">Given the receptor-atom set </w:t>
      </w:r>
      <m:oMath>
        <m:r>
          <w:rPr>
            <w:rFonts w:ascii="Cambria Math" w:hAnsi="Cambria Math"/>
          </w:rPr>
          <m:t>A</m:t>
        </m:r>
      </m:oMath>
      <w:r>
        <w:t xml:space="preserve"> defined above and the experimental cryo-EM density map </w:t>
      </w:r>
      <m:oMath>
        <m:r>
          <w:rPr>
            <w:rFonts w:ascii="Cambria Math" w:hAnsi="Cambria Math"/>
          </w:rPr>
          <m:t>M</m:t>
        </m:r>
      </m:oMath>
      <w:r>
        <w:t xml:space="preserve">, Find predicts ligand-region probabilities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D</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t xml:space="preserve">, and corresponding to </w:t>
      </w:r>
      <m:oMath>
        <m:sSubSup>
          <m:sSubSupPr>
            <m:ctrlPr>
              <w:rPr>
                <w:rFonts w:ascii="Cambria Math" w:hAnsi="Cambria Math"/>
              </w:rPr>
            </m:ctrlPr>
          </m:sSubSupPr>
          <m:e>
            <m:r>
              <w:rPr>
                <w:rFonts w:ascii="Cambria Math" w:hAnsi="Cambria Math"/>
              </w:rPr>
              <m:t>Y</m:t>
            </m:r>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up>
            <m:r>
              <m:rPr>
                <m:sty m:val="p"/>
              </m:rPr>
              <w:rPr>
                <w:rFonts w:ascii="Cambria Math" w:hAnsi="Cambria Math"/>
              </w:rPr>
              <m:t>*</m:t>
            </m:r>
          </m:sup>
        </m:sSubSup>
      </m:oMath>
      <w:r>
        <w:t xml:space="preserve">, the value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ub>
        </m:sSub>
      </m:oMath>
      <w:r>
        <w:t xml:space="preserve"> is the predicted probability that voxel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belongs to a ligand region. These probabilities are the primary supervised output during Find training.</w:t>
      </w:r>
    </w:p>
    <w:p w14:paraId="25DDFA5B" w14:textId="77777777" w:rsidR="00F614DE" w:rsidRDefault="00000000">
      <w:pPr>
        <w:pStyle w:val="3"/>
      </w:pPr>
      <w:bookmarkStart w:id="27" w:name="network-architecture"/>
      <w:bookmarkEnd w:id="26"/>
      <w:r>
        <w:t>Network architecture</w:t>
      </w:r>
    </w:p>
    <w:p w14:paraId="4FDA459B" w14:textId="77777777" w:rsidR="00F614DE" w:rsidRDefault="00000000">
      <w:pPr>
        <w:pStyle w:val="FirstParagraph"/>
      </w:pPr>
      <w:r>
        <w:t>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14:paraId="03AD2F44" w14:textId="77777777" w:rsidR="00F614DE" w:rsidRDefault="00000000">
      <w:pPr>
        <w:pStyle w:val="11"/>
      </w:pPr>
      <w:r>
        <w:t>The receptor embedding head supplies processed atom representations to both the voxel branch and point-cloud branch. Before the voxel branch, it embeds receptor atoms, encodes their centre positions</w:t>
      </w:r>
      <w:r>
        <w:rPr>
          <w:rStyle w:val="MDCITEeJyLdihILMo2MjAySkssLinIz8wrKSlKzCtOyyKTS2KBQC1agv4"/>
          <w:vertAlign w:val="superscript"/>
        </w:rPr>
        <w:t>25</w:t>
      </w:r>
      <w:r>
        <w:t xml:space="preserve"> </w:t>
      </w:r>
      <w:r>
        <w:lastRenderedPageBreak/>
        <w:t>and softly scatters the encoded features onto the voxel grid. The projected features are concatenated with the 56 density channels as input to a 3D U-Net</w:t>
      </w:r>
      <w:r>
        <w:rPr>
          <w:rStyle w:val="MDCITEeJyLdkjOTE7NNjIwNDNOKc1LLYkFADgBhQ"/>
          <w:vertAlign w:val="superscript"/>
        </w:rPr>
        <w:t>15</w:t>
      </w:r>
      <w:r>
        <w:t>. Before the point-cloud branch, Point Transformer V3</w:t>
      </w:r>
      <w:r>
        <w:rPr>
          <w:rStyle w:val="MDCITEeJyLdigvNTIwMikoKTOOBQAdWAQ6"/>
          <w:vertAlign w:val="superscript"/>
        </w:rPr>
        <w:t>16</w:t>
      </w:r>
      <w:r>
        <w:t xml:space="preserve"> attention modules and progressive cropping process the initial atom features to provide the point-cloud input.</w:t>
      </w:r>
    </w:p>
    <w:p w14:paraId="25FB0305" w14:textId="77777777" w:rsidR="00F614DE" w:rsidRDefault="00000000">
      <w:pPr>
        <w:pStyle w:val="11"/>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 </w:t>
      </w:r>
      <m:oMath>
        <m:r>
          <w:rPr>
            <w:rFonts w:ascii="Cambria Math" w:hAnsi="Cambria Math"/>
          </w:rPr>
          <m:t>P</m:t>
        </m:r>
      </m:oMath>
      <w:r>
        <w:t xml:space="preserve"> from regions with high predicted ligand-region probabilities. Convolutional layers extract surrounding density information to initialise their features. These pseudo atoms enter the point-cloud branch together with receptor atoms </w:t>
      </w:r>
      <m:oMath>
        <m:r>
          <w:rPr>
            <w:rFonts w:ascii="Cambria Math" w:hAnsi="Cambria Math"/>
          </w:rPr>
          <m:t>A</m:t>
        </m:r>
      </m:oMath>
      <w:r>
        <w:t xml:space="preserve"> encoded by the receptor embedding head.</w:t>
      </w:r>
    </w:p>
    <w:p w14:paraId="29AF9CF3" w14:textId="77777777" w:rsidR="00F614DE" w:rsidRDefault="00000000">
      <w:pPr>
        <w:pStyle w:val="11"/>
      </w:pPr>
      <w:r>
        <w:t>The point-cloud branch uses the U-Net-style encoder–decoder architecture of Point Transformer V3</w:t>
      </w:r>
      <w:r>
        <w:rPr>
          <w:rStyle w:val="MDCITEeJyLdigvNTIwMikoKTOOBQAdWAQ6"/>
          <w:vertAlign w:val="superscript"/>
        </w:rPr>
        <w:t>16</w:t>
      </w:r>
      <w:r>
        <w:t xml:space="preserve">. Space-filling curves jointly serialise receptor atoms </w:t>
      </w:r>
      <m:oMath>
        <m:r>
          <w:rPr>
            <w:rFonts w:ascii="Cambria Math" w:hAnsi="Cambria Math"/>
          </w:rPr>
          <m:t>A</m:t>
        </m:r>
      </m:oMath>
      <w:r>
        <w:t xml:space="preserve"> and pseudo atoms </w:t>
      </w:r>
      <m:oMath>
        <m:r>
          <w:rPr>
            <w:rFonts w:ascii="Cambria Math" w:hAnsi="Cambria Math"/>
          </w:rPr>
          <m:t>P</m:t>
        </m:r>
      </m:oMath>
      <w:r>
        <w:t xml:space="preserve">, while point-cloud convolutions provide conditional positional encoding. At multiple resolutions, the network performs learnable weighted sampling over the </w:t>
      </w:r>
      <m:oMath>
        <m:sSup>
          <m:sSupPr>
            <m:ctrlPr>
              <w:rPr>
                <w:rFonts w:ascii="Cambria Math" w:hAnsi="Cambria Math"/>
              </w:rPr>
            </m:ctrlPr>
          </m:sSupPr>
          <m:e>
            <m:r>
              <w:rPr>
                <w:rFonts w:ascii="Cambria Math" w:hAnsi="Cambria Math"/>
              </w:rPr>
              <m:t>3</m:t>
            </m:r>
          </m:e>
          <m:sup>
            <m:r>
              <w:rPr>
                <w:rFonts w:ascii="Cambria Math" w:hAnsi="Cambria Math"/>
              </w:rPr>
              <m:t>3</m:t>
            </m:r>
          </m:sup>
        </m:sSup>
      </m:oMath>
      <w:r>
        <w:t xml:space="preserve"> neighbourhoods of </w:t>
      </w:r>
      <m:oMath>
        <m:r>
          <w:rPr>
            <w:rFonts w:ascii="Cambria Math" w:hAnsi="Cambria Math"/>
          </w:rPr>
          <m:t>A</m:t>
        </m:r>
      </m:oMath>
      <w:r>
        <w:t xml:space="preserve"> and </w:t>
      </w:r>
      <m:oMath>
        <m:r>
          <w:rPr>
            <w:rFonts w:ascii="Cambria Math" w:hAnsi="Cambria Math"/>
          </w:rPr>
          <m:t>P</m:t>
        </m:r>
      </m:oMath>
      <w:r>
        <w:t xml:space="preserve"> 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14:paraId="5124F0B7" w14:textId="77777777" w:rsidR="00F614DE" w:rsidRDefault="00000000">
      <w:pPr>
        <w:pStyle w:val="11"/>
      </w:pPr>
      <w:r>
        <w:t>Following AlphaFold3</w:t>
      </w:r>
      <w:r>
        <w:rPr>
          <w:rStyle w:val="MDCITEeJyLdkhMKkrMLc7PMzIwMknMKchITMvPSTGOBQB0aQjy"/>
          <w:vertAlign w:val="superscript"/>
        </w:rPr>
        <w:t>17</w:t>
      </w:r>
      <w:r>
        <w:t>,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p w14:paraId="11337F8A" w14:textId="77777777" w:rsidR="00F614DE" w:rsidRDefault="00000000">
      <w:pPr>
        <w:pStyle w:val="3"/>
      </w:pPr>
      <w:bookmarkStart w:id="28" w:name="losses-and-supervision"/>
      <w:bookmarkEnd w:id="27"/>
      <w:r>
        <w:lastRenderedPageBreak/>
        <w:t>Losses and supervision</w:t>
      </w:r>
    </w:p>
    <w:p w14:paraId="7FB0898D" w14:textId="77777777" w:rsidR="00F614DE" w:rsidRDefault="00000000">
      <w:pPr>
        <w:pStyle w:val="FirstParagraph"/>
      </w:pPr>
      <w:r>
        <w:t>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14:paraId="3299DDCF" w14:textId="77777777" w:rsidR="00F614DE" w:rsidRDefault="00000000">
      <w:pPr>
        <w:pStyle w:val="11"/>
        <w:keepLines/>
        <w:spacing w:before="180" w:after="220" w:line="240" w:lineRule="auto"/>
        <w:ind w:firstLine="0"/>
        <w:jc w:val="center"/>
      </w:pPr>
      <m:oMathPara>
        <m:oMathParaPr>
          <m:jc m:val="center"/>
        </m:oMathParaPr>
        <m:oMath>
          <m:eqArr>
            <m:eqArrPr>
              <m:ctrlPr>
                <w:rPr>
                  <w:rFonts w:ascii="Cambria Math" w:hAnsi="Cambria Math"/>
                </w:rPr>
              </m:ctrlPr>
            </m:eqArrPr>
            <m:e>
              <m:r>
                <w:rPr>
                  <w:rFonts w:ascii="Cambria Math" w:hAnsi="Cambria Math"/>
                  <w:sz w:val="19"/>
                </w:rPr>
                <m:t>&amp;</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Find</m:t>
                  </m:r>
                </m:sub>
              </m:sSub>
              <m:r>
                <m:rPr>
                  <m:sty m:val="p"/>
                </m:rPr>
                <w:rPr>
                  <w:rFonts w:ascii="Cambria Math" w:hAnsi="Cambria Math"/>
                  <w:sz w:val="19"/>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ligand</m:t>
                          </m:r>
                          <m:r>
                            <m:rPr>
                              <m:nor/>
                            </m:rPr>
                            <w:rPr>
                              <w:sz w:val="19"/>
                            </w:rPr>
                            <m:t>-</m:t>
                          </m:r>
                          <m:r>
                            <m:rPr>
                              <m:sty m:val="p"/>
                            </m:rPr>
                            <w:rPr>
                              <w:rFonts w:ascii="Cambria Math" w:hAnsi="Cambria Math"/>
                              <w:sz w:val="19"/>
                            </w:rPr>
                            <m:t>area</m:t>
                          </m:r>
                        </m:sub>
                      </m:sSub>
                      <m:r>
                        <m:rPr>
                          <m:sty m:val="p"/>
                        </m:rPr>
                        <w:rPr>
                          <w:rFonts w:ascii="Cambria Math" w:hAnsi="Cambria Math"/>
                          <w:sz w:val="19"/>
                        </w:rPr>
                        <m:t>+</m:t>
                      </m:r>
                      <m:r>
                        <w:rPr>
                          <w:rFonts w:ascii="Cambria Math" w:hAnsi="Cambria Math"/>
                          <w:sz w:val="19"/>
                        </w:rPr>
                        <m:t>0.1</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receptor</m:t>
                          </m:r>
                          <m:r>
                            <m:rPr>
                              <m:nor/>
                            </m:rPr>
                            <w:rPr>
                              <w:sz w:val="19"/>
                            </w:rPr>
                            <m:t>-</m:t>
                          </m:r>
                          <m:r>
                            <m:rPr>
                              <m:sty m:val="p"/>
                            </m:rPr>
                            <w:rPr>
                              <w:rFonts w:ascii="Cambria Math" w:hAnsi="Cambria Math"/>
                              <w:sz w:val="19"/>
                            </w:rPr>
                            <m:t>area</m:t>
                          </m:r>
                        </m:sub>
                      </m:sSub>
                      <m:r>
                        <m:rPr>
                          <m:sty m:val="p"/>
                        </m:rPr>
                        <w:rPr>
                          <w:rFonts w:ascii="Cambria Math" w:hAnsi="Cambria Math"/>
                          <w:sz w:val="19"/>
                        </w:rPr>
                        <m:t>+</m:t>
                      </m:r>
                      <m:r>
                        <w:rPr>
                          <w:rFonts w:ascii="Cambria Math" w:hAnsi="Cambria Math"/>
                          <w:sz w:val="19"/>
                        </w:rPr>
                        <m:t>0.3</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ligand</m:t>
                          </m:r>
                          <m:r>
                            <m:rPr>
                              <m:nor/>
                            </m:rPr>
                            <w:rPr>
                              <w:sz w:val="19"/>
                            </w:rPr>
                            <m:t>-</m:t>
                          </m:r>
                          <m:r>
                            <m:rPr>
                              <m:sty m:val="p"/>
                            </m:rPr>
                            <w:rPr>
                              <w:rFonts w:ascii="Cambria Math" w:hAnsi="Cambria Math"/>
                              <w:sz w:val="19"/>
                            </w:rPr>
                            <m:t>dist</m:t>
                          </m:r>
                        </m:sub>
                      </m:sSub>
                      <m:r>
                        <m:rPr>
                          <m:sty m:val="p"/>
                        </m:rPr>
                        <w:rPr>
                          <w:rFonts w:ascii="Cambria Math" w:hAnsi="Cambria Math"/>
                          <w:sz w:val="19"/>
                        </w:rPr>
                        <m:t>+</m:t>
                      </m:r>
                      <m:r>
                        <w:rPr>
                          <w:rFonts w:ascii="Cambria Math" w:hAnsi="Cambria Math"/>
                          <w:sz w:val="19"/>
                        </w:rPr>
                        <m:t>0.05</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protein</m:t>
                          </m:r>
                          <m:r>
                            <m:rPr>
                              <m:nor/>
                            </m:rPr>
                            <w:rPr>
                              <w:sz w:val="19"/>
                            </w:rPr>
                            <m:t>-</m:t>
                          </m:r>
                          <m:r>
                            <m:rPr>
                              <m:sty m:val="p"/>
                            </m:rPr>
                            <w:rPr>
                              <w:rFonts w:ascii="Cambria Math" w:hAnsi="Cambria Math"/>
                              <w:sz w:val="19"/>
                            </w:rPr>
                            <m:t>mainchain</m:t>
                          </m:r>
                        </m:sub>
                      </m:sSub>
                      <m:r>
                        <m:rPr>
                          <m:sty m:val="p"/>
                        </m:rPr>
                        <w:rPr>
                          <w:rFonts w:ascii="Cambria Math" w:hAnsi="Cambria Math"/>
                          <w:sz w:val="19"/>
                        </w:rPr>
                        <m:t>+</m:t>
                      </m:r>
                      <m:r>
                        <w:rPr>
                          <w:rFonts w:ascii="Cambria Math" w:hAnsi="Cambria Math"/>
                          <w:sz w:val="19"/>
                        </w:rPr>
                        <m:t>0.05</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nucleic</m:t>
                          </m:r>
                          <m:r>
                            <m:rPr>
                              <m:nor/>
                            </m:rPr>
                            <w:rPr>
                              <w:sz w:val="19"/>
                            </w:rPr>
                            <m:t>-</m:t>
                          </m:r>
                          <m:r>
                            <m:rPr>
                              <m:sty m:val="p"/>
                            </m:rPr>
                            <w:rPr>
                              <w:rFonts w:ascii="Cambria Math" w:hAnsi="Cambria Math"/>
                              <w:sz w:val="19"/>
                            </w:rPr>
                            <m:t>mainchain</m:t>
                          </m:r>
                        </m:sub>
                      </m:sSub>
                    </m:e>
                  </m:groupChr>
                </m:e>
                <m:lim>
                  <m:r>
                    <m:rPr>
                      <m:nor/>
                    </m:rPr>
                    <w:rPr>
                      <w:sz w:val="19"/>
                    </w:rPr>
                    <m:t>voxel branch</m:t>
                  </m:r>
                </m:lim>
              </m:limLow>
            </m:e>
            <m:e>
              <m:r>
                <w:rPr>
                  <w:rFonts w:ascii="Cambria Math" w:hAnsi="Cambria Math"/>
                  <w:sz w:val="19"/>
                </w:rPr>
                <m:t>&amp;</m:t>
              </m:r>
              <m:r>
                <m:rPr>
                  <m:sty m:val="p"/>
                </m:rPr>
                <w:rPr>
                  <w:rFonts w:ascii="Cambria Math" w:hAnsi="Cambria Math"/>
                  <w:sz w:val="19"/>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receptor</m:t>
                          </m:r>
                          <m:r>
                            <m:rPr>
                              <m:nor/>
                            </m:rPr>
                            <w:rPr>
                              <w:sz w:val="19"/>
                            </w:rPr>
                            <m:t>-</m:t>
                          </m:r>
                          <m:r>
                            <m:rPr>
                              <m:sty m:val="p"/>
                            </m:rPr>
                            <w:rPr>
                              <w:rFonts w:ascii="Cambria Math" w:hAnsi="Cambria Math"/>
                              <w:sz w:val="19"/>
                            </w:rPr>
                            <m:t>prob</m:t>
                          </m:r>
                        </m:sub>
                      </m:sSub>
                      <m:r>
                        <m:rPr>
                          <m:sty m:val="p"/>
                        </m:rPr>
                        <w:rPr>
                          <w:rFonts w:ascii="Cambria Math" w:hAnsi="Cambria Math"/>
                          <w:sz w:val="19"/>
                        </w:rPr>
                        <m:t>+</m:t>
                      </m:r>
                      <m:r>
                        <w:rPr>
                          <w:rFonts w:ascii="Cambria Math" w:hAnsi="Cambria Math"/>
                          <w:sz w:val="19"/>
                        </w:rPr>
                        <m:t>0.1</m:t>
                      </m:r>
                      <m:sSub>
                        <m:sSubPr>
                          <m:ctrlPr>
                            <w:rPr>
                              <w:rFonts w:ascii="Cambria Math" w:hAnsi="Cambria Math"/>
                            </w:rPr>
                          </m:ctrlPr>
                        </m:sSubPr>
                        <m:e>
                          <m:r>
                            <m:rPr>
                              <m:scr m:val="script"/>
                              <m:sty m:val="p"/>
                            </m:rPr>
                            <w:rPr>
                              <w:rFonts w:ascii="Cambria Math" w:hAnsi="Cambria Math"/>
                              <w:sz w:val="19"/>
                            </w:rPr>
                            <m:t>L</m:t>
                          </m:r>
                        </m:e>
                        <m:sub>
                          <m:r>
                            <m:rPr>
                              <m:sty m:val="p"/>
                            </m:rPr>
                            <w:rPr>
                              <w:rFonts w:ascii="Cambria Math" w:hAnsi="Cambria Math"/>
                              <w:sz w:val="19"/>
                            </w:rPr>
                            <m:t>pseudo</m:t>
                          </m:r>
                          <m:r>
                            <m:rPr>
                              <m:nor/>
                            </m:rPr>
                            <w:rPr>
                              <w:sz w:val="19"/>
                            </w:rPr>
                            <m:t>-</m:t>
                          </m:r>
                          <m:r>
                            <m:rPr>
                              <m:sty m:val="p"/>
                            </m:rPr>
                            <w:rPr>
                              <w:rFonts w:ascii="Cambria Math" w:hAnsi="Cambria Math"/>
                              <w:sz w:val="19"/>
                            </w:rPr>
                            <m:t>prob</m:t>
                          </m:r>
                        </m:sub>
                      </m:sSub>
                    </m:e>
                  </m:groupChr>
                </m:e>
                <m:lim>
                  <m:r>
                    <m:rPr>
                      <m:nor/>
                    </m:rPr>
                    <w:rPr>
                      <w:sz w:val="19"/>
                    </w:rPr>
                    <m:t>point-cloud branch</m:t>
                  </m:r>
                </m:lim>
              </m:limLow>
              <m:r>
                <m:rPr>
                  <m:sty m:val="p"/>
                </m:rPr>
                <w:rPr>
                  <w:rFonts w:ascii="Cambria Math" w:hAnsi="Cambria Math"/>
                  <w:sz w:val="19"/>
                </w:rPr>
                <m:t>.</m:t>
              </m:r>
            </m:e>
          </m:eqArr>
        </m:oMath>
      </m:oMathPara>
    </w:p>
    <w:p w14:paraId="53DF2424" w14:textId="77777777" w:rsidR="00F614DE" w:rsidRDefault="00000000">
      <w:pPr>
        <w:pStyle w:val="FirstParagraph"/>
      </w:pPr>
      <w:r>
        <w:t xml:space="preserve">For the voxel branch,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ligand</m:t>
            </m:r>
            <m:r>
              <m:rPr>
                <m:nor/>
              </m:rPr>
              <m:t>-</m:t>
            </m:r>
            <m:r>
              <m:rPr>
                <m:sty m:val="p"/>
              </m:rPr>
              <w:rPr>
                <w:rFonts w:ascii="Cambria Math" w:hAnsi="Cambria Math"/>
              </w:rPr>
              <m:t>area</m:t>
            </m:r>
          </m:sub>
        </m:sSub>
      </m:oMath>
      <w:r>
        <w:t xml:space="preserve"> is the primary supervision term. It compares ligand-region probabilities </w:t>
      </w:r>
      <m:oMath>
        <m:acc>
          <m:accPr>
            <m:ctrlPr>
              <w:rPr>
                <w:rFonts w:ascii="Cambria Math" w:hAnsi="Cambria Math"/>
              </w:rPr>
            </m:ctrlPr>
          </m:accPr>
          <m:e>
            <m:r>
              <w:rPr>
                <w:rFonts w:ascii="Cambria Math" w:hAnsi="Cambria Math"/>
              </w:rPr>
              <m:t>Y</m:t>
            </m:r>
          </m:e>
        </m:acc>
      </m:oMath>
      <w:r>
        <w:t xml:space="preserve"> from the main output head with the ground-truth binary labels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w:t>
      </w:r>
    </w:p>
    <w:p w14:paraId="327A6008" w14:textId="77777777" w:rsidR="00F614DE" w:rsidRDefault="00000000">
      <w:pPr>
        <w:pStyle w:val="11"/>
      </w:pPr>
      <w:r>
        <w:t xml:space="preserve">Receptor-binding regions comprise voxels containing receptor atoms with a ligand atom within 4 Å. The loss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receptor</m:t>
            </m:r>
            <m:r>
              <m:rPr>
                <m:nor/>
              </m:rPr>
              <m:t>-</m:t>
            </m:r>
            <m:r>
              <m:rPr>
                <m:sty m:val="p"/>
              </m:rPr>
              <w:rPr>
                <w:rFonts w:ascii="Cambria Math" w:hAnsi="Cambria Math"/>
              </w:rPr>
              <m:t>area</m:t>
            </m:r>
          </m:sub>
        </m:sSub>
      </m:oMath>
      <w:r>
        <w:t xml:space="preserve"> provides supervision for the corresponding receptor-binding-region output head. The ligand-distance loss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ligand</m:t>
            </m:r>
            <m:r>
              <m:rPr>
                <m:nor/>
              </m:rPr>
              <m:t>-</m:t>
            </m:r>
            <m:r>
              <m:rPr>
                <m:sty m:val="p"/>
              </m:rPr>
              <w:rPr>
                <w:rFonts w:ascii="Cambria Math" w:hAnsi="Cambria Math"/>
              </w:rPr>
              <m:t>dist</m:t>
            </m:r>
          </m:sub>
        </m:sSub>
      </m:oMath>
      <w:r>
        <w:t xml:space="preserve"> supervises the predicted inverse distance to the nearest ligand atom.</w:t>
      </w:r>
    </w:p>
    <w:p w14:paraId="1BC2DC6A" w14:textId="77777777" w:rsidR="00F614DE" w:rsidRDefault="00000000">
      <w:pPr>
        <w:pStyle w:val="11"/>
      </w:pPr>
      <w:r>
        <w:t xml:space="preserve">The protein backbone head predicts probabilities over five channels: background, N, CA, C and O. The nucleic acid backbone head predicts probabilities over seven channels: background, P, O5′, C5′, C4′, C3′ and O3′. The corresponding heads are supervised by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protein</m:t>
            </m:r>
            <m:r>
              <m:rPr>
                <m:nor/>
              </m:rPr>
              <m:t>-</m:t>
            </m:r>
            <m:r>
              <m:rPr>
                <m:sty m:val="p"/>
              </m:rPr>
              <w:rPr>
                <w:rFonts w:ascii="Cambria Math" w:hAnsi="Cambria Math"/>
              </w:rPr>
              <m:t>mainchain</m:t>
            </m:r>
          </m:sub>
        </m:sSub>
      </m:oMath>
      <w:r>
        <w:t xml:space="preserve"> and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nucleic</m:t>
            </m:r>
            <m:r>
              <m:rPr>
                <m:nor/>
              </m:rPr>
              <m:t>-</m:t>
            </m:r>
            <m:r>
              <m:rPr>
                <m:sty m:val="p"/>
              </m:rPr>
              <w:rPr>
                <w:rFonts w:ascii="Cambria Math" w:hAnsi="Cambria Math"/>
              </w:rPr>
              <m:t>mainchain</m:t>
            </m:r>
          </m:sub>
        </m:sSub>
      </m:oMath>
      <w:r>
        <w:t>, respectively.</w:t>
      </w:r>
    </w:p>
    <w:p w14:paraId="1D8E8941" w14:textId="77777777" w:rsidR="00F614DE" w:rsidRDefault="00000000">
      <w:pPr>
        <w:pStyle w:val="11"/>
      </w:pPr>
      <w:r>
        <w:t xml:space="preserve">The point-cloud branch performs binary classification of receptor atoms and sampled pseudo atoms. A receptor atom is positive if and only if a ligand atom lies within 4 Å. A pseudo atom is positive if and only if it lies within a ligand region. The loss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receptor</m:t>
            </m:r>
            <m:r>
              <m:rPr>
                <m:nor/>
              </m:rPr>
              <m:t>-</m:t>
            </m:r>
            <m:r>
              <m:rPr>
                <m:sty m:val="p"/>
              </m:rPr>
              <w:rPr>
                <w:rFonts w:ascii="Cambria Math" w:hAnsi="Cambria Math"/>
              </w:rPr>
              <m:t>prob</m:t>
            </m:r>
          </m:sub>
        </m:sSub>
      </m:oMath>
      <w:r>
        <w:t xml:space="preserve"> supervises receptor atoms, whereas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pseudo</m:t>
            </m:r>
            <m:r>
              <m:rPr>
                <m:nor/>
              </m:rPr>
              <m:t>-</m:t>
            </m:r>
            <m:r>
              <m:rPr>
                <m:sty m:val="p"/>
              </m:rPr>
              <w:rPr>
                <w:rFonts w:ascii="Cambria Math" w:hAnsi="Cambria Math"/>
              </w:rPr>
              <m:t>prob</m:t>
            </m:r>
          </m:sub>
        </m:sSub>
      </m:oMath>
      <w:r>
        <w:t xml:space="preserve"> supervises pseudo atoms.</w:t>
      </w:r>
    </w:p>
    <w:p w14:paraId="003445AE" w14:textId="77777777" w:rsidR="00F614DE" w:rsidRDefault="00000000">
      <w:pPr>
        <w:pStyle w:val="11"/>
      </w:pPr>
      <w:r>
        <w:t>The ligand-distance loss uses mean squared error (MSE) for the distance prediction. All other losses combine focal loss (</w:t>
      </w:r>
      <m:oMath>
        <m:r>
          <w:rPr>
            <w:rFonts w:ascii="Cambria Math" w:hAnsi="Cambria Math"/>
          </w:rPr>
          <m:t>γ</m:t>
        </m:r>
        <m:r>
          <m:rPr>
            <m:sty m:val="p"/>
          </m:rPr>
          <w:rPr>
            <w:rFonts w:ascii="Cambria Math" w:hAnsi="Cambria Math"/>
          </w:rPr>
          <m:t>=</m:t>
        </m:r>
        <m:r>
          <w:rPr>
            <w:rFonts w:ascii="Cambria Math" w:hAnsi="Cambria Math"/>
          </w:rPr>
          <m:t>2</m:t>
        </m:r>
      </m:oMath>
      <w:r>
        <w:t>)</w:t>
      </w:r>
      <w:r>
        <w:rPr>
          <w:rStyle w:val="MDCITEeJyLdsjJzDMyMDRPy09OzIkFACcmBQs"/>
          <w:vertAlign w:val="superscript"/>
        </w:rPr>
        <w:t>26</w:t>
      </w:r>
      <w:r>
        <w:t xml:space="preserve"> and Dice loss</w:t>
      </w:r>
      <w:r>
        <w:rPr>
          <w:rStyle w:val="MDCITEeJyLdsjNzMlJLUksyjQyMDQry0stiQUATPQHQg"/>
          <w:vertAlign w:val="superscript"/>
        </w:rPr>
        <w:t>27</w:t>
      </w:r>
      <w:r>
        <w:t xml:space="preserve"> with weights of 0.7 and 0.3, respectively.</w:t>
      </w:r>
    </w:p>
    <w:p w14:paraId="7061C720" w14:textId="77777777" w:rsidR="00F614DE" w:rsidRDefault="00000000">
      <w:pPr>
        <w:pStyle w:val="3"/>
      </w:pPr>
      <w:bookmarkStart w:id="29" w:name="inference-and-post-processing"/>
      <w:bookmarkEnd w:id="28"/>
      <w:r>
        <w:lastRenderedPageBreak/>
        <w:t>Inference and post-processing</w:t>
      </w:r>
    </w:p>
    <w:p w14:paraId="72210930" w14:textId="77777777" w:rsidR="00F614DE" w:rsidRDefault="00000000">
      <w:pPr>
        <w:pStyle w:val="FirstParagraph"/>
      </w:pPr>
      <w:r>
        <w:t xml:space="preserve">As in training, Find uses </w:t>
      </w:r>
      <m:oMath>
        <m:sSup>
          <m:sSupPr>
            <m:ctrlPr>
              <w:rPr>
                <w:rFonts w:ascii="Cambria Math" w:hAnsi="Cambria Math"/>
              </w:rPr>
            </m:ctrlPr>
          </m:sSupPr>
          <m:e>
            <m:r>
              <w:rPr>
                <w:rFonts w:ascii="Cambria Math" w:hAnsi="Cambria Math"/>
              </w:rPr>
              <m:t>80</m:t>
            </m:r>
          </m:e>
          <m:sup>
            <m:r>
              <w:rPr>
                <w:rFonts w:ascii="Cambria Math" w:hAnsi="Cambria Math"/>
              </w:rPr>
              <m:t>3</m:t>
            </m:r>
          </m:sup>
        </m:sSup>
      </m:oMath>
      <w:r>
        <w:t xml:space="preserve"> voxel blocks as its basic input during inference. Sliding-window inference with a stride of 30 and a Gaussian kernel with </w:t>
      </w:r>
      <m:oMath>
        <m:r>
          <w:rPr>
            <w:rFonts w:ascii="Cambria Math" w:hAnsi="Cambria Math"/>
          </w:rPr>
          <m:t>σ</m:t>
        </m:r>
        <m:r>
          <m:rPr>
            <m:sty m:val="p"/>
          </m:rPr>
          <w:rPr>
            <w:rFonts w:ascii="Cambria Math" w:hAnsi="Cambria Math"/>
          </w:rPr>
          <m:t>=</m:t>
        </m:r>
        <m:r>
          <w:rPr>
            <w:rFonts w:ascii="Cambria Math" w:hAnsi="Cambria Math"/>
          </w:rPr>
          <m:t>0.5</m:t>
        </m:r>
      </m:oMath>
      <w:r>
        <w:t xml:space="preserve"> produces the full ligand-region probability map </w:t>
      </w:r>
      <m:oMath>
        <m:acc>
          <m:accPr>
            <m:ctrlPr>
              <w:rPr>
                <w:rFonts w:ascii="Cambria Math" w:hAnsi="Cambria Math"/>
              </w:rPr>
            </m:ctrlPr>
          </m:accPr>
          <m:e>
            <m:r>
              <w:rPr>
                <w:rFonts w:ascii="Cambria Math" w:hAnsi="Cambria Math"/>
              </w:rPr>
              <m:t>Y</m:t>
            </m:r>
          </m:e>
        </m:acc>
      </m:oMath>
      <w:r>
        <w:rPr>
          <w:rStyle w:val="MDCITEeJyLdsgsTs0rTk01MjAyzMsrzUstiQUASzkHQg"/>
          <w:vertAlign w:val="superscript"/>
        </w:rPr>
        <w:t>28</w:t>
      </w:r>
      <w:r>
        <w:t xml:space="preserve">. We threshold this map at a fixed probability </w:t>
      </w:r>
      <m:oMath>
        <m:sSub>
          <m:sSubPr>
            <m:ctrlPr>
              <w:rPr>
                <w:rFonts w:ascii="Cambria Math" w:hAnsi="Cambria Math"/>
              </w:rPr>
            </m:ctrlPr>
          </m:sSubPr>
          <m:e>
            <m:r>
              <w:rPr>
                <w:rFonts w:ascii="Cambria Math" w:hAnsi="Cambria Math"/>
              </w:rPr>
              <m:t>t</m:t>
            </m:r>
          </m:e>
          <m:sub>
            <m:r>
              <m:rPr>
                <m:sty m:val="p"/>
              </m:rPr>
              <w:rPr>
                <w:rFonts w:ascii="Cambria Math" w:hAnsi="Cambria Math"/>
              </w:rPr>
              <m:t>sem</m:t>
            </m:r>
          </m:sub>
        </m:sSub>
      </m:oMath>
      <w:r>
        <w:t xml:space="preserve"> to obtain candidate blobs, which are then filtered by Gaussian scoring. We selected </w:t>
      </w:r>
      <m:oMath>
        <m:sSub>
          <m:sSubPr>
            <m:ctrlPr>
              <w:rPr>
                <w:rFonts w:ascii="Cambria Math" w:hAnsi="Cambria Math"/>
              </w:rPr>
            </m:ctrlPr>
          </m:sSubPr>
          <m:e>
            <m:r>
              <w:rPr>
                <w:rFonts w:ascii="Cambria Math" w:hAnsi="Cambria Math"/>
              </w:rPr>
              <m:t>t</m:t>
            </m:r>
          </m:e>
          <m:sub>
            <m:r>
              <m:rPr>
                <m:sty m:val="p"/>
              </m:rPr>
              <w:rPr>
                <w:rFonts w:ascii="Cambria Math" w:hAnsi="Cambria Math"/>
              </w:rPr>
              <m:t>sem</m:t>
            </m:r>
          </m:sub>
        </m:sSub>
      </m:oMath>
      <w:r>
        <w:t xml:space="preserve"> to maximise the semantic F1 score on the calibration set. Gaussian-scoring parameters were also searched on the calibration set, then fixed together with the probability threshold for testing.</w:t>
      </w:r>
    </w:p>
    <w:p w14:paraId="786A7AAF" w14:textId="77777777" w:rsidR="00F614DE" w:rsidRDefault="00000000">
      <w:pPr>
        <w:pStyle w:val="11"/>
      </w:pPr>
      <w:r>
        <w:t xml:space="preserve">During inference, we apply 26-connected-component analysis to voxels satisfying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sem</m:t>
            </m:r>
          </m:sub>
        </m:sSub>
      </m:oMath>
      <w:r>
        <w:t xml:space="preserve">, yielding candidate ligand regions (blobs)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t>. We then compute a Gaussian score for each of these candidate regions as follows.</w:t>
      </w:r>
    </w:p>
    <w:p w14:paraId="27F17C58" w14:textId="77777777" w:rsidR="00F614DE" w:rsidRDefault="00000000">
      <w:pPr>
        <w:pStyle w:val="11"/>
      </w:pPr>
      <w:r>
        <w:t xml:space="preserve">For candidate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let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j</m:t>
            </m:r>
          </m:sub>
        </m:sSub>
      </m:oMath>
      <w:r>
        <w:t xml:space="preserve"> denote the mean ligand-region probability within the candidate region. Let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denote the binding probability of receptor atom </w:t>
      </w:r>
      <m:oMath>
        <m:r>
          <w:rPr>
            <w:rFonts w:ascii="Cambria Math" w:hAnsi="Cambria Math"/>
          </w:rPr>
          <m:t>i</m:t>
        </m:r>
      </m:oMath>
      <w:r>
        <w:t xml:space="preserve">. Let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denote the physical distance from that atom to the nearest voxel centre in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The Gaussian candidate score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for blob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is defined as:</w:t>
      </w:r>
    </w:p>
    <w:p w14:paraId="763BFDAE" w14:textId="77777777" w:rsidR="00F614DE" w:rsidRDefault="00000000">
      <w:pPr>
        <w:pStyle w:val="11"/>
        <w:keepLines/>
        <w:spacing w:before="180" w:after="220" w:line="240" w:lineRule="auto"/>
        <w:ind w:firstLine="0"/>
        <w:jc w:val="center"/>
      </w:pPr>
      <m:oMathPara>
        <m:oMathParaPr>
          <m:jc m:val="center"/>
        </m:oMathParaPr>
        <m:oMath>
          <m:eqArr>
            <m:eqArrPr>
              <m:ctrlPr>
                <w:rPr>
                  <w:rFonts w:ascii="Cambria Math" w:hAnsi="Cambria Math"/>
                </w:rPr>
              </m:ctrlPr>
            </m:eqArrPr>
            <m:e>
              <m:r>
                <w:rPr>
                  <w:rFonts w:ascii="Cambria Math" w:hAnsi="Cambria Math"/>
                </w:rPr>
                <m:t>&amp;</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sSub>
                <m:sSubPr>
                  <m:ctrlPr>
                    <w:rPr>
                      <w:rFonts w:ascii="Cambria Math" w:hAnsi="Cambria Math"/>
                    </w:rPr>
                  </m:ctrlPr>
                </m:sSubPr>
                <m:e>
                  <m:r>
                    <w:rPr>
                      <w:rFonts w:ascii="Cambria Math" w:hAnsi="Cambria Math"/>
                    </w:rPr>
                    <m:t>q</m:t>
                  </m:r>
                </m:e>
                <m:sub>
                  <m:r>
                    <w:rPr>
                      <w:rFonts w:ascii="Cambria Math" w:hAnsi="Cambria Math"/>
                    </w:rPr>
                    <m:t>i</m:t>
                  </m:r>
                </m:sub>
              </m:sSub>
              <m:r>
                <m:rPr>
                  <m:scr m:val="double-struck"/>
                  <m:sty m:val="p"/>
                </m:rPr>
                <w:rPr>
                  <w:rFonts w:ascii="Cambria Math" w:hAnsi="Cambria Math"/>
                </w:rPr>
                <m:t>I</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5Å</m:t>
                  </m:r>
                </m:e>
              </m:d>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cr m:val="double-struck"/>
                  <m:sty m:val="p"/>
                </m:rPr>
                <w:rPr>
                  <w:rFonts w:ascii="Cambria Math" w:hAnsi="Cambria Math"/>
                </w:rPr>
                <m:t>)I</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5Å</m:t>
                  </m:r>
                </m:e>
              </m:d>
              <m:r>
                <m:rPr>
                  <m:sty m:val="p"/>
                </m:rPr>
                <w:rPr>
                  <w:rFonts w:ascii="Cambria Math" w:hAnsi="Cambria Math"/>
                </w:rPr>
                <m:t>,</m:t>
              </m:r>
            </m:e>
            <m:e>
              <m:r>
                <w:rPr>
                  <w:rFonts w:ascii="Cambria Math" w:hAnsi="Cambria Math"/>
                </w:rPr>
                <m:t>&amp;</m:t>
              </m:r>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2</m:t>
                          </m:r>
                        </m:sup>
                      </m:sSubSup>
                    </m:num>
                    <m:den>
                      <m:r>
                        <w:rPr>
                          <w:rFonts w:ascii="Cambria Math" w:hAnsi="Cambria Math"/>
                        </w:rPr>
                        <m:t>2</m:t>
                      </m:r>
                      <m:sSup>
                        <m:sSupPr>
                          <m:ctrlPr>
                            <w:rPr>
                              <w:rFonts w:ascii="Cambria Math" w:hAnsi="Cambria Math"/>
                            </w:rPr>
                          </m:ctrlPr>
                        </m:sSupPr>
                        <m:e>
                          <m:r>
                            <w:rPr>
                              <w:rFonts w:ascii="Cambria Math" w:hAnsi="Cambria Math"/>
                            </w:rPr>
                            <m:t>τ</m:t>
                          </m:r>
                        </m:e>
                        <m:sup>
                          <m:r>
                            <w:rPr>
                              <w:rFonts w:ascii="Cambria Math" w:hAnsi="Cambria Math"/>
                            </w:rPr>
                            <m:t>2</m:t>
                          </m:r>
                        </m:sup>
                      </m:sSup>
                    </m:den>
                  </m:f>
                </m:e>
              </m:d>
              <m:r>
                <m:rPr>
                  <m:sty m:val="p"/>
                </m:rPr>
                <w:rPr>
                  <w:rFonts w:ascii="Cambria Math" w:hAnsi="Cambria Math"/>
                </w:rPr>
                <m:t>.</m:t>
              </m:r>
            </m:e>
          </m:eqArr>
        </m:oMath>
      </m:oMathPara>
    </w:p>
    <w:p w14:paraId="767FE183" w14:textId="77777777" w:rsidR="00F614DE" w:rsidRDefault="00000000">
      <w:pPr>
        <w:pStyle w:val="FirstParagraph"/>
      </w:pPr>
      <w:r>
        <w:t xml:space="preserve">Candidate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is predicted as positive if and only if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exceeds the fixed Gaussian-score threshold </w:t>
      </w:r>
      <m:oMath>
        <m:acc>
          <m:accPr>
            <m:chr m:val="‾"/>
            <m:ctrlPr>
              <w:rPr>
                <w:rFonts w:ascii="Cambria Math" w:hAnsi="Cambria Math"/>
              </w:rPr>
            </m:ctrlPr>
          </m:accPr>
          <m:e>
            <m:r>
              <w:rPr>
                <w:rFonts w:ascii="Cambria Math" w:hAnsi="Cambria Math"/>
              </w:rPr>
              <m:t>s</m:t>
            </m:r>
          </m:e>
        </m:acc>
      </m:oMath>
      <w:r>
        <w:t xml:space="preserve"> and its voxel count exceeds </w:t>
      </w: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We searched the Gaussian width </w:t>
      </w:r>
      <m:oMath>
        <m:r>
          <w:rPr>
            <w:rFonts w:ascii="Cambria Math" w:hAnsi="Cambria Math"/>
          </w:rPr>
          <m:t>τ</m:t>
        </m:r>
      </m:oMath>
      <w:r>
        <w:t xml:space="preserve">, coefficients </w:t>
      </w:r>
      <m:oMath>
        <m:sSub>
          <m:sSubPr>
            <m:ctrlPr>
              <w:rPr>
                <w:rFonts w:ascii="Cambria Math" w:hAnsi="Cambria Math"/>
              </w:rPr>
            </m:ctrlPr>
          </m:sSubPr>
          <m:e>
            <m:r>
              <w:rPr>
                <w:rFonts w:ascii="Cambria Math" w:hAnsi="Cambria Math"/>
              </w:rPr>
              <m:t>λ</m:t>
            </m:r>
          </m:e>
          <m:sub>
            <m:r>
              <m:rPr>
                <m:sty m:val="p"/>
              </m:rPr>
              <w:rPr>
                <w:rFonts w:ascii="Cambria Math" w:hAnsi="Cambria Math"/>
              </w:rPr>
              <m:t>+</m:t>
            </m:r>
          </m:sub>
        </m:sSub>
      </m:oMath>
      <w:r>
        <w:t xml:space="preserve"> and </w:t>
      </w:r>
      <m:oMath>
        <m:sSub>
          <m:sSubPr>
            <m:ctrlPr>
              <w:rPr>
                <w:rFonts w:ascii="Cambria Math" w:hAnsi="Cambria Math"/>
              </w:rPr>
            </m:ctrlPr>
          </m:sSubPr>
          <m:e>
            <m:r>
              <w:rPr>
                <w:rFonts w:ascii="Cambria Math" w:hAnsi="Cambria Math"/>
              </w:rPr>
              <m:t>λ</m:t>
            </m:r>
          </m:e>
          <m:sub>
            <m:r>
              <m:rPr>
                <m:sty m:val="p"/>
              </m:rPr>
              <w:rPr>
                <w:rFonts w:ascii="Cambria Math" w:hAnsi="Cambria Math"/>
              </w:rPr>
              <m:t>-</m:t>
            </m:r>
          </m:sub>
        </m:sSub>
      </m:oMath>
      <w:r>
        <w:t xml:space="preserve">, score threshold </w:t>
      </w:r>
      <m:oMath>
        <m:acc>
          <m:accPr>
            <m:chr m:val="‾"/>
            <m:ctrlPr>
              <w:rPr>
                <w:rFonts w:ascii="Cambria Math" w:hAnsi="Cambria Math"/>
              </w:rPr>
            </m:ctrlPr>
          </m:accPr>
          <m:e>
            <m:r>
              <w:rPr>
                <w:rFonts w:ascii="Cambria Math" w:hAnsi="Cambria Math"/>
              </w:rPr>
              <m:t>s</m:t>
            </m:r>
          </m:e>
        </m:acc>
      </m:oMath>
      <w:r>
        <w:t xml:space="preserve"> and minimum voxel count </w:t>
      </w:r>
      <m:oMath>
        <m:sSub>
          <m:sSubPr>
            <m:ctrlPr>
              <w:rPr>
                <w:rFonts w:ascii="Cambria Math" w:hAnsi="Cambria Math"/>
              </w:rPr>
            </m:ctrlPr>
          </m:sSubPr>
          <m:e>
            <m:r>
              <w:rPr>
                <w:rFonts w:ascii="Cambria Math" w:hAnsi="Cambria Math"/>
              </w:rPr>
              <m:t>v</m:t>
            </m:r>
          </m:e>
          <m:sub>
            <m:r>
              <w:rPr>
                <w:rFonts w:ascii="Cambria Math" w:hAnsi="Cambria Math"/>
              </w:rPr>
              <m:t>min</m:t>
            </m:r>
          </m:sub>
        </m:sSub>
      </m:oMath>
      <w:r>
        <w:t xml:space="preserve"> on the calibration set. After calibration, all selected parameters remained fixed throughout subsequent testing.</w:t>
      </w:r>
    </w:p>
    <w:p w14:paraId="22FB4E9C" w14:textId="77777777" w:rsidR="00F614DE" w:rsidRDefault="00000000">
      <w:pPr>
        <w:pStyle w:val="11"/>
      </w:pPr>
      <w:r>
        <w:t>The first score term measures the candidate’s own density confidence. The second rewards nearby receptor atoms predicted to be close to a ligand, whereas the third penalises nearby receptor atoms predicted to be distant from ligands.</w:t>
      </w:r>
    </w:p>
    <w:p w14:paraId="1E037F6E" w14:textId="77777777" w:rsidR="00F614DE" w:rsidRDefault="00000000">
      <w:pPr>
        <w:pStyle w:val="3"/>
      </w:pPr>
      <w:bookmarkStart w:id="30" w:name="stage-1evaluation-metrics"/>
      <w:bookmarkEnd w:id="29"/>
      <w:r>
        <w:lastRenderedPageBreak/>
        <w:t>Stage 1:Evaluation metrics</w:t>
      </w:r>
    </w:p>
    <w:p w14:paraId="073C60C0" w14:textId="77777777" w:rsidR="00F614DE" w:rsidRDefault="00000000">
      <w:pPr>
        <w:pStyle w:val="FirstParagraph"/>
      </w:pPr>
      <w:r>
        <w:t xml:space="preserve">For each PDB entry, let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m:rPr>
                    <m:sty m:val="p"/>
                  </m:rPr>
                  <w:rPr>
                    <w:rFonts w:ascii="Cambria Math" w:hAnsi="Cambria Math"/>
                  </w:rPr>
                  <m:t>pred</m:t>
                </m:r>
              </m:sub>
            </m:sSub>
          </m:sup>
        </m:sSubSup>
      </m:oMath>
      <w:r>
        <w:t xml:space="preserve"> denote the final predicted candidate regions and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m:rPr>
                    <m:sty m:val="p"/>
                  </m:rPr>
                  <w:rPr>
                    <w:rFonts w:ascii="Cambria Math" w:hAnsi="Cambria Math"/>
                  </w:rPr>
                  <m:t>gt</m:t>
                </m:r>
              </m:sub>
            </m:sSub>
          </m:sup>
        </m:sSubSup>
      </m:oMath>
      <w:r>
        <w:t xml:space="preserve"> the ground-truth ligand regions. Semantic Dice measures overlap between the unions of predicted and ground-truth regions:</w:t>
      </w:r>
    </w:p>
    <w:p w14:paraId="32586BA9" w14:textId="77777777" w:rsidR="00F614DE" w:rsidRDefault="00000000">
      <w:pPr>
        <w:pStyle w:val="11"/>
        <w:keepLines/>
        <w:spacing w:before="180" w:after="220" w:line="240" w:lineRule="auto"/>
        <w:ind w:firstLine="0"/>
        <w:jc w:val="center"/>
      </w:pPr>
      <m:oMathPara>
        <m:oMathParaPr>
          <m:jc m:val="center"/>
        </m:oMathParaPr>
        <m:oMath>
          <m:r>
            <m:rPr>
              <m:sty m:val="p"/>
            </m:rPr>
            <w:rPr>
              <w:rFonts w:ascii="Cambria Math" w:hAnsi="Cambria Math"/>
            </w:rPr>
            <m:t>Dice=</m:t>
          </m:r>
          <m:f>
            <m:fPr>
              <m:ctrlPr>
                <w:rPr>
                  <w:rFonts w:ascii="Cambria Math" w:hAnsi="Cambria Math"/>
                </w:rPr>
              </m:ctrlPr>
            </m:fPr>
            <m:num>
              <m:r>
                <w:rPr>
                  <w:rFonts w:ascii="Cambria Math" w:hAnsi="Cambria Math"/>
                </w:rPr>
                <m:t>2</m:t>
              </m:r>
              <m:d>
                <m:dPr>
                  <m:begChr m:val="|"/>
                  <m:endChr m:val="|"/>
                  <m:ctrlPr>
                    <w:rPr>
                      <w:rFonts w:ascii="Cambria Math" w:hAnsi="Cambria Math"/>
                    </w:rPr>
                  </m:ctrlPr>
                </m:dPr>
                <m:e>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j</m:t>
                          </m:r>
                        </m:lim>
                      </m:limLow>
                      <m:sSub>
                        <m:sSubPr>
                          <m:ctrlPr>
                            <w:rPr>
                              <w:rFonts w:ascii="Cambria Math" w:hAnsi="Cambria Math"/>
                            </w:rPr>
                          </m:ctrlPr>
                        </m:sSubPr>
                        <m:e>
                          <m:r>
                            <w:rPr>
                              <w:rFonts w:ascii="Cambria Math" w:hAnsi="Cambria Math"/>
                            </w:rPr>
                            <m:t>G</m:t>
                          </m:r>
                        </m:e>
                        <m:sub>
                          <m:r>
                            <w:rPr>
                              <w:rFonts w:ascii="Cambria Math" w:hAnsi="Cambria Math"/>
                            </w:rPr>
                            <m:t>j</m:t>
                          </m:r>
                        </m:sub>
                      </m:sSub>
                    </m:e>
                  </m:d>
                </m:e>
              </m:d>
            </m:num>
            <m:den>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j</m:t>
                      </m:r>
                    </m:lim>
                  </m:limLow>
                  <m:sSub>
                    <m:sSubPr>
                      <m:ctrlPr>
                        <w:rPr>
                          <w:rFonts w:ascii="Cambria Math" w:hAnsi="Cambria Math"/>
                        </w:rPr>
                      </m:ctrlPr>
                    </m:sSubPr>
                    <m:e>
                      <m:r>
                        <w:rPr>
                          <w:rFonts w:ascii="Cambria Math" w:hAnsi="Cambria Math"/>
                        </w:rPr>
                        <m:t>G</m:t>
                      </m:r>
                    </m:e>
                    <m:sub>
                      <m:r>
                        <w:rPr>
                          <w:rFonts w:ascii="Cambria Math" w:hAnsi="Cambria Math"/>
                        </w:rPr>
                        <m:t>j</m:t>
                      </m:r>
                    </m:sub>
                  </m:sSub>
                </m:e>
              </m:d>
            </m:den>
          </m:f>
          <m:r>
            <m:rPr>
              <m:sty m:val="p"/>
            </m:rPr>
            <w:rPr>
              <w:rFonts w:ascii="Cambria Math" w:hAnsi="Cambria Math"/>
            </w:rPr>
            <m:t>,</m:t>
          </m:r>
        </m:oMath>
      </m:oMathPara>
    </w:p>
    <w:p w14:paraId="0526F7EF" w14:textId="77777777" w:rsidR="00F614DE" w:rsidRDefault="00000000">
      <w:pPr>
        <w:pStyle w:val="FirstParagraph"/>
      </w:pPr>
      <w:r>
        <w:t xml:space="preserve">where </w:t>
      </w:r>
      <m:oMath>
        <m:r>
          <m:rPr>
            <m:sty m:val="p"/>
          </m:rPr>
          <w:rPr>
            <w:rFonts w:ascii="Cambria Math" w:hAnsi="Cambria Math"/>
          </w:rPr>
          <m:t>|⋅|</m:t>
        </m:r>
      </m:oMath>
      <w:r>
        <w:t xml:space="preserve"> denotes voxel count; Dice does not use the instance-matching threshold.</w:t>
      </w:r>
    </w:p>
    <w:p w14:paraId="43022E84" w14:textId="77777777" w:rsidR="00F614DE" w:rsidRDefault="00000000">
      <w:pPr>
        <w:pStyle w:val="11"/>
      </w:pPr>
      <w:r>
        <w:t xml:space="preserve">For instance-level metrics, a candidate and a ground-truth instance are compatible when each covers at least a fraction </w:t>
      </w:r>
      <m:oMath>
        <m:r>
          <w:rPr>
            <w:rFonts w:ascii="Cambria Math" w:hAnsi="Cambria Math"/>
          </w:rPr>
          <m:t>τ</m:t>
        </m:r>
      </m:oMath>
      <w:r>
        <w:t xml:space="preserve"> of the other. We evaluated </w:t>
      </w:r>
      <m:oMath>
        <m:r>
          <w:rPr>
            <w:rFonts w:ascii="Cambria Math" w:hAnsi="Cambria Math"/>
          </w:rPr>
          <m:t>τ</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and used the Hungarian algorithm</w:t>
      </w:r>
      <w:r>
        <w:rPr>
          <w:rStyle w:val="MDCITEeJyLdsguzcgztDQ1zSjNS08sykzMiwUASXEHQA"/>
          <w:vertAlign w:val="superscript"/>
        </w:rPr>
        <w:t>29</w:t>
      </w:r>
      <w:r>
        <w:t xml:space="preserve"> to obtain a maximum one-to-one matching. If </w:t>
      </w:r>
      <m:oMath>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match</m:t>
            </m:r>
          </m:sup>
        </m:sSubSup>
      </m:oMath>
      <w:r>
        <w:t xml:space="preserve"> pairs are matched, instance-level precision and recall are:</w:t>
      </w:r>
    </w:p>
    <w:p w14:paraId="45BF5B9D" w14:textId="77777777" w:rsidR="00F614DE" w:rsidRDefault="00000000">
      <w:pPr>
        <w:pStyle w:val="11"/>
        <w:keepLines/>
        <w:spacing w:before="180" w:after="220" w:line="240" w:lineRule="auto"/>
        <w:ind w:firstLine="0"/>
        <w:jc w:val="center"/>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τ</m:t>
              </m:r>
            </m:sub>
            <m:sup>
              <m:r>
                <m:rPr>
                  <m:sty m:val="p"/>
                </m:rPr>
                <w:rPr>
                  <w:rFonts w:ascii="Cambria Math" w:hAnsi="Cambria Math"/>
                </w:rPr>
                <m:t>instance</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match</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pred</m:t>
                  </m:r>
                </m:sub>
              </m:sSub>
            </m:den>
          </m:f>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R</m:t>
              </m:r>
            </m:e>
            <m:sub>
              <m:r>
                <w:rPr>
                  <w:rFonts w:ascii="Cambria Math" w:hAnsi="Cambria Math"/>
                </w:rPr>
                <m:t>τ</m:t>
              </m:r>
            </m:sub>
            <m:sup>
              <m:r>
                <m:rPr>
                  <m:sty m:val="p"/>
                </m:rPr>
                <w:rPr>
                  <w:rFonts w:ascii="Cambria Math" w:hAnsi="Cambria Math"/>
                </w:rPr>
                <m:t>instance</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match</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gt</m:t>
                  </m:r>
                </m:sub>
              </m:sSub>
            </m:den>
          </m:f>
          <m:r>
            <m:rPr>
              <m:sty m:val="p"/>
            </m:rPr>
            <w:rPr>
              <w:rFonts w:ascii="Cambria Math" w:hAnsi="Cambria Math"/>
            </w:rPr>
            <m:t>.</m:t>
          </m:r>
        </m:oMath>
      </m:oMathPara>
    </w:p>
    <w:p w14:paraId="592A71D2" w14:textId="77777777" w:rsidR="00F614DE" w:rsidRDefault="00000000">
      <w:pPr>
        <w:pStyle w:val="FirstParagraph"/>
      </w:pPr>
      <w:r>
        <w:t xml:space="preserve">Precision is zero for an empty prediction set; a ground-truth instance cannot contribute more than one successful pair. Ranking candidates by confidence and varying the retained candidate set yields the instance-level precision–recall curve and its area, </w:t>
      </w:r>
      <m:oMath>
        <m:sSubSup>
          <m:sSubSupPr>
            <m:ctrlPr>
              <w:rPr>
                <w:rFonts w:ascii="Cambria Math" w:hAnsi="Cambria Math"/>
              </w:rPr>
            </m:ctrlPr>
          </m:sSubSupPr>
          <m:e>
            <m:r>
              <m:rPr>
                <m:sty m:val="p"/>
              </m:rPr>
              <w:rPr>
                <w:rFonts w:ascii="Cambria Math" w:hAnsi="Cambria Math"/>
              </w:rPr>
              <m:t>PRAUC</m:t>
            </m:r>
          </m:e>
          <m:sub>
            <m:r>
              <w:rPr>
                <w:rFonts w:ascii="Cambria Math" w:hAnsi="Cambria Math"/>
              </w:rPr>
              <m:t>τ</m:t>
            </m:r>
          </m:sub>
          <m:sup>
            <m:r>
              <m:rPr>
                <m:sty m:val="p"/>
              </m:rPr>
              <w:rPr>
                <w:rFonts w:ascii="Cambria Math" w:hAnsi="Cambria Math"/>
              </w:rPr>
              <m:t>instance</m:t>
            </m:r>
          </m:sup>
        </m:sSubSup>
      </m:oMath>
      <w:r>
        <w:t>.</w:t>
      </w:r>
    </w:p>
    <w:p w14:paraId="4C5D72AF" w14:textId="77777777" w:rsidR="00F614DE" w:rsidRDefault="00000000">
      <w:pPr>
        <w:pStyle w:val="11"/>
      </w:pPr>
      <w: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 </w:t>
      </w:r>
      <m:oMath>
        <m:r>
          <w:rPr>
            <w:rFonts w:ascii="Cambria Math" w:hAnsi="Cambria Math"/>
          </w:rPr>
          <m:t>N</m:t>
        </m:r>
      </m:oMath>
      <w:r>
        <w:t xml:space="preserve"> target instances and relative candidate count </w:t>
      </w:r>
      <m:oMath>
        <m:r>
          <w:rPr>
            <w:rFonts w:ascii="Cambria Math" w:hAnsi="Cambria Math"/>
          </w:rPr>
          <m:t>ρ</m:t>
        </m:r>
      </m:oMath>
      <w:r>
        <w:t xml:space="preserve">, at most </w:t>
      </w:r>
      <m:oMath>
        <m:r>
          <m:rPr>
            <m:sty m:val="p"/>
          </m:rPr>
          <w:rPr>
            <w:rFonts w:ascii="Cambria Math" w:hAnsi="Cambria Math"/>
          </w:rPr>
          <m:t>⌊</m:t>
        </m:r>
        <m:r>
          <w:rPr>
            <w:rFonts w:ascii="Cambria Math" w:hAnsi="Cambria Math"/>
          </w:rPr>
          <m:t>ρN</m:t>
        </m:r>
        <m:r>
          <m:rPr>
            <m:sty m:val="p"/>
          </m:rPr>
          <w:rPr>
            <w:rFonts w:ascii="Cambria Math" w:hAnsi="Cambria Math"/>
          </w:rPr>
          <m:t>⌋</m:t>
        </m:r>
      </m:oMath>
      <w:r>
        <w:t xml:space="preserve"> candidates are examined.</w:t>
      </w:r>
    </w:p>
    <w:p w14:paraId="380584E8" w14:textId="77777777" w:rsidR="00F614DE" w:rsidRDefault="00000000">
      <w:pPr>
        <w:pStyle w:val="11"/>
      </w:pPr>
      <w:r>
        <w:t xml:space="preserve">All-ligand evaluation includes 179 PDB entries and 2,502 instances; small-molecule evaluation includes 94 PDB entries and 821 instances. In the small-molecule evaluation, candidates are first assigned across all </w:t>
      </w:r>
      <w:r>
        <w:lastRenderedPageBreak/>
        <w:t>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p w14:paraId="46C8903F" w14:textId="77777777" w:rsidR="00F614DE" w:rsidRDefault="00000000">
      <w:pPr>
        <w:pStyle w:val="3"/>
      </w:pPr>
      <w:bookmarkStart w:id="31" w:name="stage-1-evaluation-metrics"/>
      <w:bookmarkEnd w:id="30"/>
      <w:r>
        <w:t>Stage 1: Evaluation metrics</w:t>
      </w:r>
    </w:p>
    <w:p w14:paraId="1752A42B" w14:textId="77777777" w:rsidR="00F614DE" w:rsidRDefault="00000000">
      <w:pPr>
        <w:pStyle w:val="FirstParagraph"/>
      </w:pPr>
      <w:r>
        <w:t xml:space="preserve">For a given PDB structure, let the model predict </w:t>
      </w:r>
      <m:oMath>
        <m:sSub>
          <m:sSubPr>
            <m:ctrlPr>
              <w:rPr>
                <w:rFonts w:ascii="Cambria Math" w:hAnsi="Cambria Math"/>
              </w:rPr>
            </m:ctrlPr>
          </m:sSubPr>
          <m:e>
            <m:r>
              <w:rPr>
                <w:rFonts w:ascii="Cambria Math" w:hAnsi="Cambria Math"/>
              </w:rPr>
              <m:t>N</m:t>
            </m:r>
          </m:e>
          <m:sub>
            <m:r>
              <w:rPr>
                <w:rFonts w:ascii="Cambria Math" w:hAnsi="Cambria Math"/>
              </w:rPr>
              <m:t>pred</m:t>
            </m:r>
          </m:sub>
        </m:sSub>
      </m:oMath>
      <w:r>
        <w:t xml:space="preserve"> three-dimensional candidate blobs,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pred</m:t>
                </m:r>
              </m:sub>
            </m:sSub>
          </m:sup>
        </m:sSubSup>
      </m:oMath>
      <w:r>
        <w:t xml:space="preserve">. The structure contains </w:t>
      </w:r>
      <m:oMath>
        <m:sSub>
          <m:sSubPr>
            <m:ctrlPr>
              <w:rPr>
                <w:rFonts w:ascii="Cambria Math" w:hAnsi="Cambria Math"/>
              </w:rPr>
            </m:ctrlPr>
          </m:sSubPr>
          <m:e>
            <m:r>
              <w:rPr>
                <w:rFonts w:ascii="Cambria Math" w:hAnsi="Cambria Math"/>
              </w:rPr>
              <m:t>N</m:t>
            </m:r>
          </m:e>
          <m:sub>
            <m:r>
              <w:rPr>
                <w:rFonts w:ascii="Cambria Math" w:hAnsi="Cambria Math"/>
              </w:rPr>
              <m:t>gt</m:t>
            </m:r>
          </m:sub>
        </m:sSub>
      </m:oMath>
      <w:r>
        <w:t xml:space="preserve"> ground-truth ligand instances,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gt</m:t>
                </m:r>
              </m:sub>
            </m:sSub>
          </m:sup>
        </m:sSubSup>
      </m:oMath>
      <w:r>
        <w:t xml:space="preserve">, where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denotes the ligand region of instance </w:t>
      </w:r>
      <m:oMath>
        <m:r>
          <w:rPr>
            <w:rFonts w:ascii="Cambria Math" w:hAnsi="Cambria Math"/>
          </w:rPr>
          <m:t>j</m:t>
        </m:r>
      </m:oMath>
      <w:r>
        <w:t xml:space="preserve">. We set the bidirectional coverage threshold to </w:t>
      </w:r>
      <m:oMath>
        <m:r>
          <w:rPr>
            <w:rFonts w:ascii="Cambria Math" w:hAnsi="Cambria Math"/>
          </w:rPr>
          <m:t>τ</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5870D2F2" w14:textId="77777777" w:rsidR="00F614DE" w:rsidRDefault="00000000">
      <w:pPr>
        <w:pStyle w:val="11"/>
      </w:pPr>
      <w:r>
        <w:t>We evaluated Find at both the semantic and instance levels. At the semantic level, the Dice score measured the overlap between the unions of predicted and ground-truth ligand regions:</w:t>
      </w:r>
    </w:p>
    <w:p w14:paraId="7B597922" w14:textId="77777777" w:rsidR="00F614DE" w:rsidRDefault="00000000">
      <w:pPr>
        <w:pStyle w:val="11"/>
        <w:keepLines/>
        <w:spacing w:before="180" w:after="220" w:line="240" w:lineRule="auto"/>
        <w:ind w:firstLine="0"/>
        <w:jc w:val="center"/>
      </w:pPr>
      <m:oMathPara>
        <m:oMathParaPr>
          <m:jc m:val="center"/>
        </m:oMathParaPr>
        <m:oMath>
          <m:r>
            <m:rPr>
              <m:sty m:val="p"/>
            </m:rPr>
            <w:rPr>
              <w:rFonts w:ascii="Cambria Math" w:hAnsi="Cambria Math"/>
            </w:rPr>
            <m:t>Dice=</m:t>
          </m:r>
          <m:f>
            <m:fPr>
              <m:ctrlPr>
                <w:rPr>
                  <w:rFonts w:ascii="Cambria Math" w:hAnsi="Cambria Math"/>
                </w:rPr>
              </m:ctrlPr>
            </m:fPr>
            <m:num>
              <m:r>
                <w:rPr>
                  <w:rFonts w:ascii="Cambria Math" w:hAnsi="Cambria Math"/>
                </w:rPr>
                <m:t>2</m:t>
              </m:r>
              <m:d>
                <m:dPr>
                  <m:begChr m:val="|"/>
                  <m:endChr m:val="|"/>
                  <m:ctrlPr>
                    <w:rPr>
                      <w:rFonts w:ascii="Cambria Math" w:hAnsi="Cambria Math"/>
                    </w:rPr>
                  </m:ctrlPr>
                </m:dPr>
                <m:e>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j</m:t>
                          </m:r>
                        </m:lim>
                      </m:limLow>
                      <m:sSub>
                        <m:sSubPr>
                          <m:ctrlPr>
                            <w:rPr>
                              <w:rFonts w:ascii="Cambria Math" w:hAnsi="Cambria Math"/>
                            </w:rPr>
                          </m:ctrlPr>
                        </m:sSubPr>
                        <m:e>
                          <m:r>
                            <w:rPr>
                              <w:rFonts w:ascii="Cambria Math" w:hAnsi="Cambria Math"/>
                            </w:rPr>
                            <m:t>G</m:t>
                          </m:r>
                        </m:e>
                        <m:sub>
                          <m:r>
                            <w:rPr>
                              <w:rFonts w:ascii="Cambria Math" w:hAnsi="Cambria Math"/>
                            </w:rPr>
                            <m:t>j</m:t>
                          </m:r>
                        </m:sub>
                      </m:sSub>
                    </m:e>
                  </m:d>
                </m:e>
              </m:d>
            </m:num>
            <m:den>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j</m:t>
                      </m:r>
                    </m:lim>
                  </m:limLow>
                  <m:sSub>
                    <m:sSubPr>
                      <m:ctrlPr>
                        <w:rPr>
                          <w:rFonts w:ascii="Cambria Math" w:hAnsi="Cambria Math"/>
                        </w:rPr>
                      </m:ctrlPr>
                    </m:sSubPr>
                    <m:e>
                      <m:r>
                        <w:rPr>
                          <w:rFonts w:ascii="Cambria Math" w:hAnsi="Cambria Math"/>
                        </w:rPr>
                        <m:t>G</m:t>
                      </m:r>
                    </m:e>
                    <m:sub>
                      <m:r>
                        <w:rPr>
                          <w:rFonts w:ascii="Cambria Math" w:hAnsi="Cambria Math"/>
                        </w:rPr>
                        <m:t>j</m:t>
                      </m:r>
                    </m:sub>
                  </m:sSub>
                </m:e>
              </m:d>
            </m:den>
          </m:f>
          <m:r>
            <m:rPr>
              <m:sty m:val="p"/>
            </m:rPr>
            <w:rPr>
              <w:rFonts w:ascii="Cambria Math" w:hAnsi="Cambria Math"/>
            </w:rPr>
            <m:t>,</m:t>
          </m:r>
        </m:oMath>
      </m:oMathPara>
    </w:p>
    <w:p w14:paraId="32890AC8" w14:textId="77777777" w:rsidR="00F614DE" w:rsidRDefault="00000000">
      <w:pPr>
        <w:pStyle w:val="FirstParagraph"/>
      </w:pPr>
      <w:r>
        <w:t xml:space="preserve">where </w:t>
      </w:r>
      <m:oMath>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m:t>
        </m:r>
      </m:oMath>
      <w:r>
        <w:t xml:space="preserve"> denotes the number of voxels in a region.</w:t>
      </w:r>
    </w:p>
    <w:p w14:paraId="4E6F7731" w14:textId="77777777" w:rsidR="00F614DE" w:rsidRDefault="00000000">
      <w:pPr>
        <w:pStyle w:val="11"/>
      </w:pPr>
      <w:r>
        <w:t xml:space="preserve">At the instance level, predicted instances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pred</m:t>
                </m:r>
              </m:sub>
            </m:sSub>
          </m:sup>
        </m:sSubSup>
      </m:oMath>
      <w:r>
        <w:t xml:space="preserve"> and ground-truth instances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gt</m:t>
                </m:r>
              </m:sub>
            </m:sSub>
          </m:sup>
        </m:sSubSup>
      </m:oMath>
      <w:r>
        <w:t xml:space="preserve"> form the two vertex sets of a bipartite graph. An edge connects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if each covers at least a fraction </w:t>
      </w:r>
      <m:oMath>
        <m:r>
          <w:rPr>
            <w:rFonts w:ascii="Cambria Math" w:hAnsi="Cambria Math"/>
          </w:rPr>
          <m:t>τ</m:t>
        </m:r>
      </m:oMath>
      <w:r>
        <w:t xml:space="preserve"> of the other. We then used the Hungarian algorithm</w:t>
      </w:r>
      <w:r>
        <w:rPr>
          <w:rStyle w:val="MDCITEeJyLdsguzcgztDQ1zSjNS08sykzMiwUASXEHQA"/>
          <w:vertAlign w:val="superscript"/>
        </w:rPr>
        <w:t>29</w:t>
      </w:r>
      <w:r>
        <w:t xml:space="preserve"> to obtain a maximum matching between the two sets. Let </w:t>
      </w:r>
      <m:oMath>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1to1</m:t>
            </m:r>
          </m:sup>
        </m:sSubSup>
      </m:oMath>
      <w:r>
        <w:t xml:space="preserve"> be the number of successfully matched instance pairs. We define one-to-one precision and recall as:</w:t>
      </w:r>
    </w:p>
    <w:p w14:paraId="253C7928" w14:textId="77777777" w:rsidR="00F614DE"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ty m:val="p"/>
                </m:rPr>
                <w:rPr>
                  <w:rFonts w:ascii="Cambria Math" w:hAnsi="Cambria Math"/>
                </w:rPr>
                <m:t>1to1P</m:t>
              </m:r>
            </m:e>
            <m:sub>
              <m:r>
                <w:rPr>
                  <w:rFonts w:ascii="Cambria Math" w:hAnsi="Cambria Math"/>
                </w:rPr>
                <m:t>τ</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1to1</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pred</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1to1R</m:t>
              </m:r>
            </m:e>
            <m:sub>
              <m:r>
                <w:rPr>
                  <w:rFonts w:ascii="Cambria Math" w:hAnsi="Cambria Math"/>
                </w:rPr>
                <m:t>τ</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τ</m:t>
                  </m:r>
                </m:sub>
                <m:sup>
                  <m:r>
                    <m:rPr>
                      <m:sty m:val="p"/>
                    </m:rPr>
                    <w:rPr>
                      <w:rFonts w:ascii="Cambria Math" w:hAnsi="Cambria Math"/>
                    </w:rPr>
                    <m:t>1to1</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gt</m:t>
                  </m:r>
                </m:sub>
              </m:sSub>
            </m:den>
          </m:f>
          <m:r>
            <m:rPr>
              <m:sty m:val="p"/>
            </m:rPr>
            <w:rPr>
              <w:rFonts w:ascii="Cambria Math" w:hAnsi="Cambria Math"/>
            </w:rPr>
            <m:t>,</m:t>
          </m:r>
        </m:oMath>
      </m:oMathPara>
    </w:p>
    <w:p w14:paraId="1C00ABA8" w14:textId="77777777" w:rsidR="00F614DE" w:rsidRDefault="00000000">
      <w:pPr>
        <w:pStyle w:val="FirstParagraph"/>
      </w:pPr>
      <w:r>
        <w:lastRenderedPageBreak/>
        <w:t xml:space="preserve">These quantities yield the one-to-one F1 score at threshold </w:t>
      </w:r>
      <m:oMath>
        <m:r>
          <w:rPr>
            <w:rFonts w:ascii="Cambria Math" w:hAnsi="Cambria Math"/>
          </w:rPr>
          <m:t>τ</m:t>
        </m:r>
      </m:oMath>
      <w:r>
        <w:t xml:space="preserve">, </w:t>
      </w:r>
      <m:oMath>
        <m:sSub>
          <m:sSubPr>
            <m:ctrlPr>
              <w:rPr>
                <w:rFonts w:ascii="Cambria Math" w:hAnsi="Cambria Math"/>
              </w:rPr>
            </m:ctrlPr>
          </m:sSubPr>
          <m:e>
            <m:r>
              <m:rPr>
                <m:sty m:val="p"/>
              </m:rPr>
              <w:rPr>
                <w:rFonts w:ascii="Cambria Math" w:hAnsi="Cambria Math"/>
              </w:rPr>
              <m:t>1to1F1</m:t>
            </m:r>
          </m:e>
          <m:sub>
            <m:r>
              <w:rPr>
                <w:rFonts w:ascii="Cambria Math" w:hAnsi="Cambria Math"/>
              </w:rPr>
              <m:t>τ</m:t>
            </m:r>
          </m:sub>
        </m:sSub>
      </m:oMath>
      <w:r>
        <w:t xml:space="preserve">. Ranking predicted instances by their mean voxel probability yields the corresponding one-to-one precision–recall area under the curve (PRAUC), </w:t>
      </w:r>
      <m:oMath>
        <m:sSub>
          <m:sSubPr>
            <m:ctrlPr>
              <w:rPr>
                <w:rFonts w:ascii="Cambria Math" w:hAnsi="Cambria Math"/>
              </w:rPr>
            </m:ctrlPr>
          </m:sSubPr>
          <m:e>
            <m:r>
              <m:rPr>
                <m:sty m:val="p"/>
              </m:rPr>
              <w:rPr>
                <w:rFonts w:ascii="Cambria Math" w:hAnsi="Cambria Math"/>
              </w:rPr>
              <m:t>1to1PRAUC</m:t>
            </m:r>
          </m:e>
          <m:sub>
            <m:r>
              <w:rPr>
                <w:rFonts w:ascii="Cambria Math" w:hAnsi="Cambria Math"/>
              </w:rPr>
              <m:t>τ</m:t>
            </m:r>
          </m:sub>
        </m:sSub>
      </m:oMath>
      <w:r>
        <w:t>. We use “1to1” and “one-to-one” interchangeably depending on the context.</w:t>
      </w:r>
    </w:p>
    <w:p w14:paraId="60C60161" w14:textId="77777777" w:rsidR="00F614DE" w:rsidRDefault="00000000">
      <w:pPr>
        <w:pStyle w:val="11"/>
      </w:pPr>
      <w:r>
        <w:t>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14:paraId="272FCCAB" w14:textId="77777777" w:rsidR="00F614DE" w:rsidRDefault="00000000">
      <w:pPr>
        <w:pStyle w:val="11"/>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 </w:t>
      </w:r>
      <m:oMath>
        <m:r>
          <w:rPr>
            <w:rFonts w:ascii="Cambria Math" w:hAnsi="Cambria Math"/>
          </w:rPr>
          <m:t>τ</m:t>
        </m:r>
        <m:r>
          <m:rPr>
            <m:sty m:val="p"/>
          </m:rPr>
          <w:rPr>
            <w:rFonts w:ascii="Cambria Math" w:hAnsi="Cambria Math"/>
          </w:rPr>
          <m:t>=</m:t>
        </m:r>
        <m:r>
          <w:rPr>
            <w:rFonts w:ascii="Cambria Math" w:hAnsi="Cambria Math"/>
          </w:rPr>
          <m:t>0.3</m:t>
        </m:r>
      </m:oMath>
      <w:r>
        <w:t xml:space="preserve"> bidirectional coverage threshold.</w:t>
      </w:r>
    </w:p>
    <w:p w14:paraId="6FCB7B35" w14:textId="77777777" w:rsidR="00F614DE" w:rsidRDefault="00000000">
      <w:pPr>
        <w:pStyle w:val="11"/>
      </w:pPr>
      <w:r>
        <w:t>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p w14:paraId="6C429E35" w14:textId="77777777" w:rsidR="00F614DE" w:rsidRDefault="00000000">
      <w:pPr>
        <w:pStyle w:val="2"/>
      </w:pPr>
      <w:bookmarkStart w:id="32" w:name="stage-2-match"/>
      <w:bookmarkEnd w:id="25"/>
      <w:bookmarkEnd w:id="31"/>
      <w:r>
        <w:t>Stage 2: Match</w:t>
      </w:r>
    </w:p>
    <w:p w14:paraId="52BC3E21" w14:textId="77777777" w:rsidR="00F614DE" w:rsidRDefault="00000000">
      <w:pPr>
        <w:pStyle w:val="3"/>
      </w:pPr>
      <w:bookmarkStart w:id="33" w:name="overview"/>
      <w:r>
        <w:t>Overview</w:t>
      </w:r>
    </w:p>
    <w:p w14:paraId="1AA860F7" w14:textId="77777777" w:rsidR="00F614DE" w:rsidRDefault="00000000">
      <w:pPr>
        <w:pStyle w:val="FirstParagraph"/>
      </w:pPr>
      <w:r>
        <w:t>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14:paraId="489CA990" w14:textId="77777777" w:rsidR="00F614DE" w:rsidRDefault="00000000">
      <w:pPr>
        <w:pStyle w:val="11"/>
      </w:pPr>
      <w:r>
        <w:t>After completing Find training and calibration, we froze its weights and performed full-map inference on 1,650 PDB entries from the training set. We saved the resulting blobs and associated candidate information for training and inference with the Match network.</w:t>
      </w:r>
    </w:p>
    <w:p w14:paraId="3D21DE3E" w14:textId="77777777" w:rsidR="00F614DE" w:rsidRDefault="00000000">
      <w:pPr>
        <w:pStyle w:val="3"/>
      </w:pPr>
      <w:bookmarkStart w:id="34" w:name="X181b68a713d2eeaa46c9ea847f44b33b75abd9c"/>
      <w:bookmarkEnd w:id="33"/>
      <w:r>
        <w:lastRenderedPageBreak/>
        <w:t>Ligand-identity representation and encoding</w:t>
      </w:r>
    </w:p>
    <w:p w14:paraId="5757BDB3" w14:textId="77777777" w:rsidR="00F614DE" w:rsidRDefault="00000000">
      <w:pPr>
        <w:pStyle w:val="FirstParagraph"/>
      </w:pPr>
      <w:r>
        <w:t xml:space="preserve">Let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denote the chemical identities in a PDB entry, represented by SMILES. For each identity, the ligand language model SMI-TED</w:t>
      </w:r>
      <w:r>
        <w:rPr>
          <w:rStyle w:val="MDCITEeJyLdijOTyxKLTYyMDItzs0sSU2JBQBDqwbV"/>
          <w:vertAlign w:val="superscript"/>
        </w:rPr>
        <w:t>19</w:t>
      </w:r>
      <w:r>
        <w:t xml:space="preserve"> produces a 768-dimensional feature vector. A linear layer embeds this vector into the language representation </w:t>
      </w:r>
      <m:oMath>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language</m:t>
            </m:r>
          </m:sup>
        </m:sSub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256</m:t>
            </m:r>
          </m:sup>
        </m:sSup>
      </m:oMath>
      <w:r>
        <w:t>.</w:t>
      </w:r>
    </w:p>
    <w:p w14:paraId="5C155950" w14:textId="77777777" w:rsidR="00F614DE" w:rsidRDefault="00000000">
      <w:pPr>
        <w:pStyle w:val="11"/>
      </w:pPr>
      <w:r>
        <w:t xml:space="preserve">In parallel, we use RDKit to generate ideal three-dimensional ligand conformations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graph</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which are encoded as three-dimensional molecular graphs. Node features comprise atomic number, formal charge and ring information, whereas edge features comprise bond type and ring information.</w:t>
      </w:r>
    </w:p>
    <w:p w14:paraId="3A10315F" w14:textId="77777777" w:rsidR="00F614DE" w:rsidRDefault="00000000">
      <w:pPr>
        <w:pStyle w:val="11"/>
      </w:pPr>
      <w:r>
        <w:t xml:space="preserve">For each SMILES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its language representation serves as the query for two attention operations</w:t>
      </w:r>
      <w:r>
        <w:rPr>
          <w:rStyle w:val="MDCITEeJyLdihLLC5PzMs0MjA0TywpSc0ryczPiwUAZH0Ikg"/>
          <w:vertAlign w:val="superscript"/>
        </w:rPr>
        <w:t>30</w:t>
      </w:r>
      <w:r>
        <w:t xml:space="preserve"> (</w:t>
      </w:r>
      <w:r>
        <w:rPr>
          <w:rStyle w:val="MDFIGREFeJyrrk7LTC9KTbMCUrq5qSUZ-Sm6ZZY1SbW1AIsuCjw"/>
        </w:rPr>
        <w:t>Fig. 13b</w:t>
      </w:r>
      <w:r>
        <w:t>). Graph attention operates on its own molecular graph, whereas context attention operates on the language representations of other SMILES in the same PDB entry:</w:t>
      </w:r>
    </w:p>
    <w:p w14:paraId="1A42E527" w14:textId="77777777" w:rsidR="00F614DE" w:rsidRDefault="00000000">
      <w:pPr>
        <w:pStyle w:val="11"/>
        <w:keepLines/>
        <w:spacing w:before="180" w:after="220" w:line="240" w:lineRule="auto"/>
        <w:ind w:firstLine="0"/>
        <w:jc w:val="center"/>
      </w:pPr>
      <m:oMathPara>
        <m:oMathParaPr>
          <m:jc m:val="center"/>
        </m:oMathParaPr>
        <m:oMath>
          <m:acc>
            <m:accPr>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i</m:t>
                  </m:r>
                </m:sub>
              </m:sSub>
            </m:e>
          </m:acc>
          <m:r>
            <m:rPr>
              <m:sty m:val="p"/>
            </m:rPr>
            <w:rPr>
              <w:rFonts w:ascii="Cambria Math" w:hAnsi="Cambria Math"/>
            </w:rPr>
            <m:t>=</m:t>
          </m:r>
          <m:r>
            <w:rPr>
              <w:rFonts w:ascii="Cambria Math" w:hAnsi="Cambria Math"/>
            </w:rPr>
            <m:t>Attention</m:t>
          </m:r>
          <m:r>
            <m:rPr>
              <m:sty m:val="p"/>
            </m:rPr>
            <w:rPr>
              <w:rFonts w:ascii="Cambria Math" w:hAnsi="Cambria Math"/>
            </w:rPr>
            <m:t>(</m:t>
          </m:r>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language</m:t>
              </m:r>
            </m:sup>
          </m:sSubSup>
          <m:r>
            <m:rPr>
              <m:sty m:val="p"/>
            </m:rPr>
            <w:rPr>
              <w:rFonts w:ascii="Cambria Math" w:hAnsi="Cambria Math"/>
            </w:rPr>
            <m:t>,</m:t>
          </m:r>
          <m:r>
            <w:rPr>
              <w:rFonts w:ascii="Cambria Math" w:hAnsi="Cambria Math"/>
            </w:rPr>
            <m:t>kv</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graph</m:t>
              </m:r>
            </m:sup>
          </m:sSubSup>
          <m:r>
            <m:rPr>
              <m:sty m:val="p"/>
            </m:rPr>
            <w:rPr>
              <w:rFonts w:ascii="Cambria Math" w:hAnsi="Cambria Math"/>
            </w:rPr>
            <m:t>),</m:t>
          </m:r>
          <m:r>
            <w:rPr>
              <w:rFonts w:ascii="Cambria Math" w:hAnsi="Cambria Math"/>
            </w:rPr>
            <m:t>  </m:t>
          </m:r>
          <m:acc>
            <m:accPr>
              <m:chr m:val="̃"/>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i</m:t>
                  </m:r>
                </m:sub>
              </m:sSub>
            </m:e>
          </m:acc>
          <m:r>
            <m:rPr>
              <m:sty m:val="p"/>
            </m:rPr>
            <w:rPr>
              <w:rFonts w:ascii="Cambria Math" w:hAnsi="Cambria Math"/>
            </w:rPr>
            <m:t>=</m:t>
          </m:r>
          <m:r>
            <w:rPr>
              <w:rFonts w:ascii="Cambria Math" w:hAnsi="Cambria Math"/>
            </w:rPr>
            <m:t>Attention</m:t>
          </m:r>
          <m:r>
            <m:rPr>
              <m:sty m:val="p"/>
            </m:rPr>
            <w:rPr>
              <w:rFonts w:ascii="Cambria Math" w:hAnsi="Cambria Math"/>
            </w:rPr>
            <m:t>(</m:t>
          </m:r>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language</m:t>
              </m:r>
            </m:sup>
          </m:sSubSup>
          <m:r>
            <m:rPr>
              <m:sty m:val="p"/>
            </m:rPr>
            <w:rPr>
              <w:rFonts w:ascii="Cambria Math" w:hAnsi="Cambria Math"/>
            </w:rPr>
            <m:t>,</m:t>
          </m:r>
          <m:r>
            <w:rPr>
              <w:rFonts w:ascii="Cambria Math" w:hAnsi="Cambria Math"/>
            </w:rPr>
            <m:t>kv</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language</m:t>
              </m:r>
            </m:sup>
          </m:sSubSup>
          <m:sSub>
            <m:sSubPr>
              <m:ctrlPr>
                <w:rPr>
                  <w:rFonts w:ascii="Cambria Math" w:hAnsi="Cambria Math"/>
                </w:rPr>
              </m:ctrlPr>
            </m:sSub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m:t>
          </m:r>
        </m:oMath>
      </m:oMathPara>
    </w:p>
    <w:p w14:paraId="135DC244" w14:textId="77777777" w:rsidR="00F614DE" w:rsidRDefault="00000000">
      <w:pPr>
        <w:pStyle w:val="FirstParagraph"/>
      </w:pPr>
      <w:r>
        <w:t xml:space="preserve">The final representation of ligand identity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language</m:t>
            </m:r>
          </m:sup>
        </m:sSubSup>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k</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k</m:t>
                </m:r>
              </m:sub>
            </m:sSub>
          </m:e>
        </m:acc>
        <m:r>
          <m:rPr>
            <m:sty m:val="p"/>
          </m:rPr>
          <w:rPr>
            <w:rFonts w:ascii="Cambria Math" w:hAnsi="Cambria Math"/>
          </w:rPr>
          <m:t>)</m:t>
        </m:r>
      </m:oMath>
      <w:r>
        <w:t>, combining its language, graph-attention and context-attention representations.</w:t>
      </w:r>
    </w:p>
    <w:p w14:paraId="0EF26DEB" w14:textId="77777777" w:rsidR="00F614DE" w:rsidRDefault="00000000">
      <w:pPr>
        <w:pStyle w:val="3"/>
      </w:pPr>
      <w:bookmarkStart w:id="35" w:name="X3ea166c1d7247fe31bf19592b3130f954c7c4b6"/>
      <w:bookmarkEnd w:id="34"/>
      <w:r>
        <w:t>Candidate encoding and auxiliary-feature injection</w:t>
      </w:r>
    </w:p>
    <w:p w14:paraId="056F813A" w14:textId="77777777" w:rsidR="00F614DE" w:rsidRDefault="00000000">
      <w:pPr>
        <w:pStyle w:val="FirstParagraph"/>
      </w:pPr>
      <w:r>
        <w:t xml:space="preserve">Let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t xml:space="preserve"> denote the candidate regions predicted by Find within the same PDB entry. Match extracts a </w:t>
      </w:r>
      <m:oMath>
        <m:sSup>
          <m:sSupPr>
            <m:ctrlPr>
              <w:rPr>
                <w:rFonts w:ascii="Cambria Math" w:hAnsi="Cambria Math"/>
              </w:rPr>
            </m:ctrlPr>
          </m:sSupPr>
          <m:e>
            <m:r>
              <w:rPr>
                <w:rFonts w:ascii="Cambria Math" w:hAnsi="Cambria Math"/>
              </w:rPr>
              <m:t>48</m:t>
            </m:r>
          </m:e>
          <m:sup>
            <m:r>
              <w:rPr>
                <w:rFonts w:ascii="Cambria Math" w:hAnsi="Cambria Math"/>
              </w:rPr>
              <m:t>3</m:t>
            </m:r>
          </m:sup>
        </m:sSup>
      </m:oMath>
      <w:r>
        <w:t xml:space="preserve"> voxel block centred on each candidate and constructs the 56-channel multi-view density bank defined above. The 50-dimensional receptor-atom features are scattered onto the same grid according to atom coordinates. Concatenating these inputs produces a base feature tensor of size </w:t>
      </w:r>
      <m:oMath>
        <m:r>
          <w:rPr>
            <w:rFonts w:ascii="Cambria Math" w:hAnsi="Cambria Math"/>
          </w:rPr>
          <m:t>106</m:t>
        </m:r>
        <m:r>
          <m:rPr>
            <m:sty m:val="p"/>
          </m:rPr>
          <w:rPr>
            <w:rFonts w:ascii="Cambria Math" w:hAnsi="Cambria Math"/>
          </w:rPr>
          <m:t>×</m:t>
        </m:r>
        <m:sSup>
          <m:sSupPr>
            <m:ctrlPr>
              <w:rPr>
                <w:rFonts w:ascii="Cambria Math" w:hAnsi="Cambria Math"/>
              </w:rPr>
            </m:ctrlPr>
          </m:sSupPr>
          <m:e>
            <m:r>
              <w:rPr>
                <w:rFonts w:ascii="Cambria Math" w:hAnsi="Cambria Math"/>
              </w:rPr>
              <m:t>48</m:t>
            </m:r>
          </m:e>
          <m:sup>
            <m:r>
              <w:rPr>
                <w:rFonts w:ascii="Cambria Math" w:hAnsi="Cambria Math"/>
              </w:rPr>
              <m:t>3</m:t>
            </m:r>
          </m:sup>
        </m:sSup>
      </m:oMath>
      <w:r>
        <w:t xml:space="preserve">. A U-Net encodes this tensor into a base summary vector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xml:space="preserve"> for the candidate.</w:t>
      </w:r>
    </w:p>
    <w:p w14:paraId="21BD5208" w14:textId="77777777" w:rsidR="00F614DE" w:rsidRDefault="00000000">
      <w:pPr>
        <w:pStyle w:val="11"/>
      </w:pPr>
      <w:r>
        <w:t>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14:paraId="7700CD14" w14:textId="77777777" w:rsidR="00F614DE" w:rsidRDefault="00000000">
      <w:pPr>
        <w:pStyle w:val="11"/>
      </w:pPr>
      <w:r>
        <w:lastRenderedPageBreak/>
        <w:t xml:space="preserve">Pooling and attention encode these auxiliary features to further modulate the base density summary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xml:space="preserve">. For each auxiliary feature type, mean and maximum pooling produce a pooled summary vector. In parallel, cross-attention uses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xml:space="preserve"> as the query and the corresponding auxiliary features as keys and values to produce an attention summary vector. The two summary vectors are concatenated and passed through a MLP. A FiLM</w:t>
      </w:r>
      <w:r>
        <w:rPr>
          <w:rStyle w:val="MDCITEeJyLdihILUqtMjIwtEjLzMmNBQAvOgWS"/>
          <w:vertAlign w:val="superscript"/>
        </w:rPr>
        <w:t>18</w:t>
      </w:r>
      <w:r>
        <w:t xml:space="preserve"> module then uses this output to modulate the base summary </w:t>
      </w:r>
      <m:oMath>
        <m:sSubSup>
          <m:sSubSupPr>
            <m:ctrlPr>
              <w:rPr>
                <w:rFonts w:ascii="Cambria Math" w:hAnsi="Cambria Math"/>
              </w:rPr>
            </m:ctrlPr>
          </m:sSubSupPr>
          <m:e>
            <m:r>
              <w:rPr>
                <w:rFonts w:ascii="Cambria Math" w:hAnsi="Cambria Math"/>
              </w:rPr>
              <m:t>h</m:t>
            </m:r>
          </m:e>
          <m:sub>
            <m:r>
              <w:rPr>
                <w:rFonts w:ascii="Cambria Math" w:hAnsi="Cambria Math"/>
              </w:rPr>
              <m:t>j</m:t>
            </m:r>
          </m:sub>
          <m:sup>
            <m:r>
              <m:rPr>
                <m:sty m:val="p"/>
              </m:rPr>
              <w:rPr>
                <w:rFonts w:ascii="Cambria Math" w:hAnsi="Cambria Math"/>
              </w:rPr>
              <m:t>vox</m:t>
            </m:r>
          </m:sup>
        </m:sSubSup>
      </m:oMath>
      <w:r>
        <w:t>. The modulated representation is used for both foreground classification and ligand-identity matching.</w:t>
      </w:r>
    </w:p>
    <w:p w14:paraId="74C85FBD" w14:textId="77777777" w:rsidR="00F614DE" w:rsidRDefault="00000000">
      <w:pPr>
        <w:pStyle w:val="3"/>
      </w:pPr>
      <w:bookmarkStart w:id="36" w:name="scoring-and-selection"/>
      <w:bookmarkEnd w:id="35"/>
      <w:r>
        <w:t>Scoring and selection</w:t>
      </w:r>
    </w:p>
    <w:p w14:paraId="460DD005" w14:textId="77777777" w:rsidR="00F614DE" w:rsidRDefault="00000000">
      <w:pPr>
        <w:pStyle w:val="FirstParagraph"/>
      </w:pPr>
      <w:r>
        <w:t xml:space="preserve">Suppose a PDB entry contains </w:t>
      </w:r>
      <m:oMath>
        <m:r>
          <w:rPr>
            <w:rFonts w:ascii="Cambria Math" w:hAnsi="Cambria Math"/>
          </w:rPr>
          <m:t>J</m:t>
        </m:r>
      </m:oMath>
      <w:r>
        <w:t xml:space="preserve"> candidates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sSubSup>
      </m:oMath>
      <w:r>
        <w:t xml:space="preserve"> and </w:t>
      </w:r>
      <m:oMath>
        <m:r>
          <w:rPr>
            <w:rFonts w:ascii="Cambria Math" w:hAnsi="Cambria Math"/>
          </w:rPr>
          <m:t>K</m:t>
        </m:r>
      </m:oMath>
      <w:r>
        <w:t xml:space="preserve"> valid SMILES identities </w:t>
      </w:r>
      <m:oMath>
        <m:r>
          <m:rPr>
            <m:scr m:val="script"/>
            <m:sty m:val="p"/>
          </m:rP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LigandSeek-Match pairs each candidate representation with every ligand-identity representation from the same PDB entry to form a </w:t>
      </w:r>
      <m:oMath>
        <m:r>
          <w:rPr>
            <w:rFonts w:ascii="Cambria Math" w:hAnsi="Cambria Math"/>
          </w:rPr>
          <m:t>J</m:t>
        </m:r>
        <m:r>
          <m:rPr>
            <m:sty m:val="p"/>
          </m:rPr>
          <w:rPr>
            <w:rFonts w:ascii="Cambria Math" w:hAnsi="Cambria Math"/>
          </w:rPr>
          <m:t>×</m:t>
        </m:r>
        <m:r>
          <w:rPr>
            <w:rFonts w:ascii="Cambria Math" w:hAnsi="Cambria Math"/>
          </w:rPr>
          <m:t>K</m:t>
        </m:r>
      </m:oMath>
      <w:r>
        <w:t xml:space="preserve"> matching-score matrix. Its entry in row </w:t>
      </w:r>
      <m:oMath>
        <m:r>
          <w:rPr>
            <w:rFonts w:ascii="Cambria Math" w:hAnsi="Cambria Math"/>
          </w:rPr>
          <m:t>j</m:t>
        </m:r>
      </m:oMath>
      <w:r>
        <w:t xml:space="preserve"> and column </w:t>
      </w:r>
      <m:oMath>
        <m:r>
          <w:rPr>
            <w:rFonts w:ascii="Cambria Math" w:hAnsi="Cambria Math"/>
          </w:rPr>
          <m:t>k</m:t>
        </m:r>
      </m:oMath>
      <w:r>
        <w:t xml:space="preserve"> is defined as:</w:t>
      </w:r>
    </w:p>
    <w:p w14:paraId="1AF21B1F" w14:textId="77777777" w:rsidR="00F614DE"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match</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55073CCB" w14:textId="77777777" w:rsidR="00F614DE" w:rsidRDefault="00000000">
      <w:pPr>
        <w:pStyle w:val="FirstParagraph"/>
      </w:pPr>
      <w:r>
        <w:t xml:space="preserve">Here,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the candidate representation, and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is the ligand-identity representation defined above. The function </w:t>
      </w:r>
      <m:oMath>
        <m:sSub>
          <m:sSubPr>
            <m:ctrlPr>
              <w:rPr>
                <w:rFonts w:ascii="Cambria Math" w:hAnsi="Cambria Math"/>
              </w:rPr>
            </m:ctrlPr>
          </m:sSubPr>
          <m:e>
            <m:r>
              <w:rPr>
                <w:rFonts w:ascii="Cambria Math" w:hAnsi="Cambria Math"/>
              </w:rPr>
              <m:t>f</m:t>
            </m:r>
          </m:e>
          <m:sub>
            <m:r>
              <m:rPr>
                <m:sty m:val="p"/>
              </m:rPr>
              <w:rPr>
                <w:rFonts w:ascii="Cambria Math" w:hAnsi="Cambria Math"/>
              </w:rPr>
              <m:t>match</m:t>
            </m:r>
          </m:sub>
        </m:sSub>
      </m:oMath>
      <w:r>
        <w:t xml:space="preserve"> applies separate learnable linear projections to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then computes their cosine similarity to produce the raw score </w:t>
      </w:r>
      <m:oMath>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xml:space="preserve">. For candidate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the ligand identity with the highest score is predicted as:</w:t>
      </w:r>
    </w:p>
    <w:p w14:paraId="11B40AFF" w14:textId="77777777" w:rsidR="00F614DE"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k</m:t>
                  </m:r>
                </m:e>
              </m:acc>
            </m:e>
            <m:sub>
              <m:r>
                <w:rPr>
                  <w:rFonts w:ascii="Cambria Math" w:hAnsi="Cambria Math"/>
                </w:rPr>
                <m:t>j</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argmax</m:t>
              </m:r>
            </m:e>
            <m:lim>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acc>
                    <m:accPr>
                      <m:ctrlPr>
                        <w:rPr>
                          <w:rFonts w:ascii="Cambria Math" w:hAnsi="Cambria Math"/>
                        </w:rPr>
                      </m:ctrlPr>
                    </m:accPr>
                    <m:e>
                      <m:r>
                        <w:rPr>
                          <w:rFonts w:ascii="Cambria Math" w:hAnsi="Cambria Math"/>
                        </w:rPr>
                        <m:t>k</m:t>
                      </m:r>
                    </m:e>
                  </m:acc>
                </m:e>
                <m:sub>
                  <m:r>
                    <w:rPr>
                      <w:rFonts w:ascii="Cambria Math" w:hAnsi="Cambria Math"/>
                    </w:rPr>
                    <m:t>j</m:t>
                  </m:r>
                </m:sub>
              </m:sSub>
            </m:sub>
          </m:sSub>
          <m:r>
            <m:rPr>
              <m:sty m:val="p"/>
            </m:rPr>
            <w:rPr>
              <w:rFonts w:ascii="Cambria Math" w:hAnsi="Cambria Math"/>
            </w:rPr>
            <m:t>.</m:t>
          </m:r>
        </m:oMath>
      </m:oMathPara>
    </w:p>
    <w:p w14:paraId="4316848B" w14:textId="77777777" w:rsidR="00F614DE" w:rsidRDefault="00000000">
      <w:pPr>
        <w:pStyle w:val="FirstParagraph"/>
      </w:pPr>
      <w:r>
        <w:t xml:space="preserve">An independent foreground head uses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to predict the foreground probability </w:t>
      </w:r>
      <m:oMath>
        <m:sSubSup>
          <m:sSubSupPr>
            <m:ctrlPr>
              <w:rPr>
                <w:rFonts w:ascii="Cambria Math" w:hAnsi="Cambria Math"/>
              </w:rPr>
            </m:ctrlPr>
          </m:sSubSupPr>
          <m:e>
            <m:r>
              <w:rPr>
                <w:rFonts w:ascii="Cambria Math" w:hAnsi="Cambria Math"/>
              </w:rPr>
              <m:t>p</m:t>
            </m:r>
          </m:e>
          <m:sub>
            <m:r>
              <w:rPr>
                <w:rFonts w:ascii="Cambria Math" w:hAnsi="Cambria Math"/>
              </w:rPr>
              <m:t>j</m:t>
            </m:r>
          </m:sub>
          <m:sup>
            <m:r>
              <m:rPr>
                <m:sty m:val="p"/>
              </m:rPr>
              <w:rPr>
                <w:rFonts w:ascii="Cambria Math" w:hAnsi="Cambria Math"/>
              </w:rPr>
              <m:t>fg</m:t>
            </m:r>
          </m:sup>
        </m:sSubSup>
      </m:oMath>
      <w:r>
        <w:t xml:space="preserve"> of candidate </w:t>
      </w:r>
      <m:oMath>
        <m:sSub>
          <m:sSubPr>
            <m:ctrlPr>
              <w:rPr>
                <w:rFonts w:ascii="Cambria Math" w:hAnsi="Cambria Math"/>
              </w:rPr>
            </m:ctrlPr>
          </m:sSubPr>
          <m:e>
            <m:r>
              <w:rPr>
                <w:rFonts w:ascii="Cambria Math" w:hAnsi="Cambria Math"/>
              </w:rPr>
              <m:t>B</m:t>
            </m:r>
          </m:e>
          <m:sub>
            <m:r>
              <w:rPr>
                <w:rFonts w:ascii="Cambria Math" w:hAnsi="Cambria Math"/>
              </w:rPr>
              <m:t>j</m:t>
            </m:r>
          </m:sub>
        </m:sSub>
      </m:oMath>
      <w:r>
        <w:t>. Thus, Match provides each candidate’s foreground probability and ligand-identity matching scores for downstream pose modelling.</w:t>
      </w:r>
    </w:p>
    <w:p w14:paraId="51E7B345" w14:textId="77777777" w:rsidR="00F614DE" w:rsidRDefault="00000000">
      <w:pPr>
        <w:pStyle w:val="3"/>
      </w:pPr>
      <w:bookmarkStart w:id="37" w:name="labels-and-loss-functions"/>
      <w:bookmarkEnd w:id="36"/>
      <w:r>
        <w:t>Labels and loss functions</w:t>
      </w:r>
    </w:p>
    <w:p w14:paraId="40D531B0" w14:textId="77777777" w:rsidR="00F614DE" w:rsidRDefault="00000000">
      <w:pPr>
        <w:pStyle w:val="FirstParagraph"/>
      </w:pPr>
      <w:r>
        <w:t xml:space="preserve">A candidate blob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14:paraId="4DDFFBB0" w14:textId="77777777" w:rsidR="00F614DE" w:rsidRDefault="00000000">
      <w:pPr>
        <w:pStyle w:val="11"/>
      </w:pPr>
      <w:r>
        <w:lastRenderedPageBreak/>
        <w:t xml:space="preserve">Match uses cross-entropy losses to supervise both ligand-identity matching and foreground classification. Let </w:t>
      </w:r>
      <m:oMath>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foreground label, and let </w:t>
      </w:r>
      <m:oMath>
        <m:sSubSup>
          <m:sSubSupPr>
            <m:ctrlPr>
              <w:rPr>
                <w:rFonts w:ascii="Cambria Math" w:hAnsi="Cambria Math"/>
              </w:rPr>
            </m:ctrlPr>
          </m:sSubSupPr>
          <m:e>
            <m:r>
              <w:rPr>
                <w:rFonts w:ascii="Cambria Math" w:hAnsi="Cambria Math"/>
              </w:rPr>
              <m:t>k</m:t>
            </m:r>
          </m:e>
          <m:sub>
            <m:r>
              <w:rPr>
                <w:rFonts w:ascii="Cambria Math" w:hAnsi="Cambria Math"/>
              </w:rPr>
              <m:t>j</m:t>
            </m:r>
          </m:sub>
          <m:sup>
            <m:r>
              <m:rPr>
                <m:sty m:val="p"/>
              </m:rPr>
              <w:rPr>
                <w:rFonts w:ascii="Cambria Math" w:hAnsi="Cambria Math"/>
              </w:rPr>
              <m:t>*</m:t>
            </m:r>
          </m:sup>
        </m:sSubSup>
      </m:oMath>
      <w:r>
        <w:t xml:space="preserve"> denote the ground-truth identity’s index in </w:t>
      </w:r>
      <m:oMath>
        <m:r>
          <m:rPr>
            <m:scr m:val="script"/>
            <m:sty m:val="p"/>
          </m:rP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oMath>
      <w:r>
        <w:t>. The foreground loss is binary cross-entropy over all training candidates:</w:t>
      </w:r>
    </w:p>
    <w:p w14:paraId="24C7651B" w14:textId="77777777" w:rsidR="00F614DE"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fg</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J</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log</m:t>
                  </m:r>
                  <m:sSubSup>
                    <m:sSubSupPr>
                      <m:ctrlPr>
                        <w:rPr>
                          <w:rFonts w:ascii="Cambria Math" w:hAnsi="Cambria Math"/>
                        </w:rPr>
                      </m:ctrlPr>
                    </m:sSubSupPr>
                    <m:e>
                      <m:r>
                        <w:rPr>
                          <w:rFonts w:ascii="Cambria Math" w:hAnsi="Cambria Math"/>
                        </w:rPr>
                        <m:t>p</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)log(</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e>
              </m:d>
            </m:e>
          </m:nary>
          <m:r>
            <m:rPr>
              <m:sty m:val="p"/>
            </m:rPr>
            <w:rPr>
              <w:rFonts w:ascii="Cambria Math" w:hAnsi="Cambria Math"/>
            </w:rPr>
            <m:t>.</m:t>
          </m:r>
        </m:oMath>
      </m:oMathPara>
    </w:p>
    <w:p w14:paraId="107E924E" w14:textId="77777777" w:rsidR="00F614DE" w:rsidRDefault="00000000">
      <w:pPr>
        <w:pStyle w:val="FirstParagraph"/>
      </w:pPr>
      <w:r>
        <w:t>The identity loss is evaluated only on ground-truth foreground candidates with valid SMILES identity targets:</w:t>
      </w:r>
    </w:p>
    <w:p w14:paraId="62BF777A" w14:textId="77777777" w:rsidR="00F614DE"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id</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m:rPr>
                      <m:sty m:val="p"/>
                    </m:rPr>
                    <w:rPr>
                      <w:rFonts w:ascii="Cambria Math" w:hAnsi="Cambria Math"/>
                    </w:rPr>
                    <m:t>fg</m:t>
                  </m:r>
                </m:sup>
              </m:sSubSup>
              <m:r>
                <m:rPr>
                  <m:sty m:val="p"/>
                </m:rPr>
                <w:rPr>
                  <w:rFonts w:ascii="Cambria Math" w:hAnsi="Cambria Math"/>
                </w:rPr>
                <m:t>=</m:t>
              </m:r>
              <m:r>
                <w:rPr>
                  <w:rFonts w:ascii="Cambria Math" w:hAnsi="Cambria Math"/>
                </w:rPr>
                <m:t>1</m:t>
              </m:r>
            </m:sub>
            <m:sup>
              <m:r>
                <w:rPr>
                  <w:rFonts w:ascii="Cambria Math" w:hAnsi="Cambria Math"/>
                </w:rPr>
                <m:t>​</m:t>
              </m:r>
            </m:sup>
            <m:e>
              <m:r>
                <m:rPr>
                  <m:sty m:val="p"/>
                </m:rPr>
                <w:rPr>
                  <w:rFonts w:ascii="Cambria Math" w:hAnsi="Cambria Math"/>
                </w:rPr>
                <m:t>log</m:t>
              </m:r>
            </m:e>
          </m:nary>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m:rPr>
                          <m:sty m:val="p"/>
                        </m:rPr>
                        <w:rPr>
                          <w:rFonts w:ascii="Cambria Math" w:hAnsi="Cambria Math"/>
                        </w:rPr>
                        <m:t>*</m:t>
                      </m:r>
                    </m:sup>
                  </m:sSubSup>
                </m:sub>
              </m:sSub>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den>
          </m:f>
          <m:r>
            <m:rPr>
              <m:sty m:val="p"/>
            </m:rPr>
            <w:rPr>
              <w:rFonts w:ascii="Cambria Math" w:hAnsi="Cambria Math"/>
            </w:rPr>
            <m:t>.</m:t>
          </m:r>
        </m:oMath>
      </m:oMathPara>
    </w:p>
    <w:p w14:paraId="6657658D" w14:textId="77777777" w:rsidR="00F614DE" w:rsidRDefault="00000000">
      <w:pPr>
        <w:pStyle w:val="FirstParagraph"/>
      </w:pPr>
      <w:r>
        <w:t>Background candidates contribute only to the foreground loss and are excluded from the identity loss. The total Match loss combines these terms with their respective weights:</w:t>
      </w:r>
    </w:p>
    <w:p w14:paraId="41DFB115" w14:textId="77777777" w:rsidR="00F614DE" w:rsidRDefault="00000000">
      <w:pPr>
        <w:pStyle w:val="11"/>
        <w:keepLines/>
        <w:spacing w:before="180" w:after="220" w:line="240" w:lineRule="auto"/>
        <w:ind w:firstLine="0"/>
        <w:jc w:val="center"/>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Match</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fg</m:t>
              </m:r>
            </m:sub>
          </m:sSub>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fg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id</m:t>
              </m:r>
            </m:sub>
          </m:sSub>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id</m:t>
              </m:r>
            </m:sub>
          </m:sSub>
          <m:r>
            <m:rPr>
              <m:sty m:val="p"/>
            </m:rPr>
            <w:rPr>
              <w:rFonts w:ascii="Cambria Math" w:hAnsi="Cambria Math"/>
            </w:rPr>
            <m:t>.</m:t>
          </m:r>
        </m:oMath>
      </m:oMathPara>
    </w:p>
    <w:p w14:paraId="3D994AD2" w14:textId="77777777" w:rsidR="00F614DE" w:rsidRDefault="00000000">
      <w:pPr>
        <w:pStyle w:val="FirstParagraph"/>
      </w:pPr>
      <w:r>
        <w:t xml:space="preserve">We set the foreground and identity loss weights to </w:t>
      </w:r>
      <m:oMath>
        <m:sSub>
          <m:sSubPr>
            <m:ctrlPr>
              <w:rPr>
                <w:rFonts w:ascii="Cambria Math" w:hAnsi="Cambria Math"/>
              </w:rPr>
            </m:ctrlPr>
          </m:sSubPr>
          <m:e>
            <m:r>
              <w:rPr>
                <w:rFonts w:ascii="Cambria Math" w:hAnsi="Cambria Math"/>
              </w:rPr>
              <m:t>λ</m:t>
            </m:r>
          </m:e>
          <m:sub>
            <m:r>
              <m:rPr>
                <m:sty m:val="p"/>
              </m:rPr>
              <w:rPr>
                <w:rFonts w:ascii="Cambria Math" w:hAnsi="Cambria Math"/>
              </w:rPr>
              <m:t>fg</m:t>
            </m:r>
          </m:sub>
        </m:sSub>
        <m:r>
          <m:rPr>
            <m:sty m:val="p"/>
          </m:rPr>
          <w:rPr>
            <w:rFonts w:ascii="Cambria Math" w:hAnsi="Cambria Math"/>
          </w:rPr>
          <m:t>=</m:t>
        </m:r>
        <m:r>
          <w:rPr>
            <w:rFonts w:ascii="Cambria Math" w:hAnsi="Cambria Math"/>
          </w:rPr>
          <m:t>0.3</m:t>
        </m:r>
      </m:oMath>
      <w:r>
        <w:t xml:space="preserve"> and </w:t>
      </w:r>
      <m:oMath>
        <m:sSub>
          <m:sSubPr>
            <m:ctrlPr>
              <w:rPr>
                <w:rFonts w:ascii="Cambria Math" w:hAnsi="Cambria Math"/>
              </w:rPr>
            </m:ctrlPr>
          </m:sSubPr>
          <m:e>
            <m:r>
              <w:rPr>
                <w:rFonts w:ascii="Cambria Math" w:hAnsi="Cambria Math"/>
              </w:rPr>
              <m:t>λ</m:t>
            </m:r>
          </m:e>
          <m:sub>
            <m:r>
              <m:rPr>
                <m:sty m:val="p"/>
              </m:rPr>
              <w:rPr>
                <w:rFonts w:ascii="Cambria Math" w:hAnsi="Cambria Math"/>
              </w:rPr>
              <m:t>id</m:t>
            </m:r>
          </m:sub>
        </m:sSub>
        <m:r>
          <m:rPr>
            <m:sty m:val="p"/>
          </m:rPr>
          <w:rPr>
            <w:rFonts w:ascii="Cambria Math" w:hAnsi="Cambria Math"/>
          </w:rPr>
          <m:t>=</m:t>
        </m:r>
        <m:r>
          <w:rPr>
            <w:rFonts w:ascii="Cambria Math" w:hAnsi="Cambria Math"/>
          </w:rPr>
          <m:t>1.0</m:t>
        </m:r>
      </m:oMath>
      <w:r>
        <w:t>, respectively.</w:t>
      </w:r>
    </w:p>
    <w:p w14:paraId="3CD82C1C" w14:textId="77777777" w:rsidR="00F614DE" w:rsidRDefault="00000000">
      <w:pPr>
        <w:pStyle w:val="2"/>
      </w:pPr>
      <w:bookmarkStart w:id="38" w:name="stage-3-build"/>
      <w:bookmarkEnd w:id="32"/>
      <w:bookmarkEnd w:id="37"/>
      <w:r>
        <w:t>Stage 3: Build</w:t>
      </w:r>
    </w:p>
    <w:p w14:paraId="4C21157F" w14:textId="77777777" w:rsidR="00F614DE" w:rsidRDefault="00000000">
      <w:pPr>
        <w:pStyle w:val="3"/>
      </w:pPr>
      <w:bookmarkStart w:id="39" w:name="overview-1"/>
      <w:r>
        <w:t>Overview</w:t>
      </w:r>
    </w:p>
    <w:p w14:paraId="2C42957C" w14:textId="77777777" w:rsidR="00F614DE" w:rsidRDefault="00000000">
      <w:pPr>
        <w:pStyle w:val="FirstParagraph"/>
      </w:pPr>
      <w:r>
        <w:t>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eJyLdigpyi8pMTIwNCjLzEuMBQAwbgWn"/>
          <w:vertAlign w:val="superscript"/>
        </w:rPr>
        <w:t>20</w:t>
      </w:r>
      <w:r>
        <w:t>, DiffDock, or Emap2lig-Build) tailored to specific ligand classes.</w:t>
      </w:r>
    </w:p>
    <w:p w14:paraId="116D828D" w14:textId="77777777" w:rsidR="00F614DE" w:rsidRDefault="00000000">
      <w:pPr>
        <w:pStyle w:val="11"/>
      </w:pPr>
      <w:r>
        <w:t>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DG-PocketXmol as our default Build engine. Specifically, we extended PocketXMol</w:t>
      </w:r>
      <w:r>
        <w:rPr>
          <w:rStyle w:val="MDCITEeJyLdijIT85OLanIzc-JBQAjrgU"/>
          <w:vertAlign w:val="superscript"/>
        </w:rPr>
        <w:t>10</w:t>
      </w:r>
      <w:r>
        <w:t xml:space="preserve">, a unified generative model for small </w:t>
      </w:r>
      <w:r>
        <w:lastRenderedPageBreak/>
        <w:t>molecules, to incorporate local cryo-EM density as an explicit conditioning signal, initialising it with official weights and fine-tuning it on eligible small molecules.</w:t>
      </w:r>
    </w:p>
    <w:p w14:paraId="31362028" w14:textId="77777777" w:rsidR="00F614DE" w:rsidRDefault="00000000">
      <w:pPr>
        <w:pStyle w:val="3"/>
      </w:pPr>
      <w:bookmarkStart w:id="40" w:name="pocketxmol-fine-tuning-experiments"/>
      <w:bookmarkEnd w:id="39"/>
      <w:r>
        <w:t>PocketXMol fine-tuning experiments</w:t>
      </w:r>
    </w:p>
    <w:p w14:paraId="047C7C92" w14:textId="77777777" w:rsidR="00F614DE" w:rsidRDefault="00000000">
      <w:pPr>
        <w:pStyle w:val="FirstParagraph"/>
      </w:pPr>
      <w:r>
        <w:t>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14:paraId="36C39EF1" w14:textId="77777777" w:rsidR="00F614DE" w:rsidRDefault="00000000">
      <w:pPr>
        <w:pStyle w:val="11"/>
      </w:pPr>
      <w:r>
        <w:t>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eJyLdihILUqtMjIwtEjLzMmNBQAvOgWS"/>
          <w:vertAlign w:val="superscript"/>
        </w:rPr>
        <w:t>18</w:t>
      </w:r>
      <w:r>
        <w:t>.</w:t>
      </w:r>
    </w:p>
    <w:p w14:paraId="09B55C58" w14:textId="77777777" w:rsidR="00F614DE" w:rsidRDefault="00000000">
      <w:pPr>
        <w:pStyle w:val="11"/>
      </w:pPr>
      <w:r>
        <w:t>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14:paraId="0DA458D0" w14:textId="77777777" w:rsidR="00F614DE" w:rsidRDefault="00000000">
      <w:pPr>
        <w:pStyle w:val="2"/>
      </w:pPr>
      <w:bookmarkStart w:id="41" w:name="end-to-end-evaluation-process"/>
      <w:bookmarkEnd w:id="38"/>
      <w:bookmarkEnd w:id="40"/>
      <w:r>
        <w:lastRenderedPageBreak/>
        <w:t>End-to-end evaluation process</w:t>
      </w:r>
    </w:p>
    <w:p w14:paraId="74EFE9EB" w14:textId="77777777" w:rsidR="00F614DE" w:rsidRDefault="00000000">
      <w:pPr>
        <w:keepNext/>
        <w:spacing w:after="0" w:line="240" w:lineRule="auto"/>
        <w:ind w:firstLine="0"/>
        <w:jc w:val="center"/>
      </w:pPr>
      <w:r>
        <w:rPr>
          <w:noProof/>
        </w:rPr>
        <w:drawing>
          <wp:inline distT="0" distB="0" distL="0" distR="0" wp14:anchorId="1D31B34E" wp14:editId="16B875AE">
            <wp:extent cx="5731510" cy="3827532"/>
            <wp:effectExtent l="0" t="0" r="0" b="0"/>
            <wp:docPr id="113" name="Picture" descr="Fig. 14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JEUQ_1eafTXZ2d1kvWQ8AyEfIkQJd_jkSOjtqZ1tdqa76e7Z3dydcA8HKnI-iSDqg0_6FF8E0YD3vxwXL3-GVd2zm71LlMNDQuACyfRH1a-qu766cr9luB-1UtZ6_vXp2Xd_Jnu9vfNfHj07_e385MfzX38__-nR2effto3xs9YKa1lwupxATgw7aZZ95MC6LOv2N7ubWbYLbuy1ybLzkz_--uaz88dfPP_5SZZF5Cz7d2jFKyBY6MEqF0LXyktVrNq6BLeaWz70RCW48VKro4rbcW2Q_uPW7Wlq2KwqlUun72atkfcmTRInRlBx19YGFG4Ota24x6ktkqm2ubFagHMooSqTXqfzdlJxqbLWFqEd2vC5649LYNN0wkvEfb_iBexE8USXzCmIdgxgDqQCF9aXZtPUGS5QDOKUuIRAvfVO1mqmd_B0uMRrrxvMhpw4pcqRbCit8weRtdMQ4U5UIGoa_zTjfa28Qz7uhJTIc_b4K7TFs9MnZydfBrnAnd92kl-1N9pW7jJTkBWBScQgzAdhuBNPHL6o_L3FdXU35ge6F9mjep4sFQ5J5zHoT2AngKT7smiz7jp7wHZG3BZ0Y8H0DC3H_FQzUPmq16v4YYAiak6GYA48uYlrkwwfJV3DlbzGwdn1av6_GJPfWGussANZcHQ1CwX5Vw4eRPA0XGQyB8xK_phhLhEj8lEurHaO8bJkZWBkouTOgWuzwT9irVwFhKxGO2AWhFbO2zqKJfcHhJYDzEWuIkGVLkFQbKwg5BAzQ864Y5TLSkBZTuY1MEx0XEnxMgubSj9iSjPudeVYJUMORKElxtMEmNfMj0BiyEFlcI0Osn1jrXnNsfUamj99-P1b3acPf7ixB7i5V4_FVQryfIwE7ikcmKCSRGHmKSw8k0pYVBFJBsdMK3gnUPGy0BbDq2IOX0EONwTEjYatlJVEZofhxvF5kmOQUigOa4tUlgnMATIPkrkFVoACi7OchBBMzCZ3Acar-6jkm5J3LWG5bwET8ViaN9F5HZpXwJUL92-ocIXorK3FcnoRP6HI6TrEKe7F8sp4nksqqbxs4rnNdkFIR1VW6RyjTqoJdjdE3tTykfRYZJuJPzYUmcvPAKFRsvD40o8hu_QwFZgJwErOBpgnMNJVUNXCEFBXzAtcKe0DacQkdlxh2JhMED9vKjFW7hxKqu9Smdq_9M6lFmCr9Qn2RYt-qNW_tdbtdzuztY3erf5a78FtI0WKv02LxF-pRcJ-a3qpN2oQEOu_YCCbry0sYOwrgejhUArY1aKu8M4jUnys4MWNpHHkPXRCNTmUgnyHJuLDyaHFx5ETJGUnTUKfmoQ2NWm61GS5SU0oQeMxVY0s0vijoSxQWXfUU0WncLONJC4cdfCnu942qsCDyJwcuLuOQ-pecXI4PyTaZqHIhU5RQ05XeKDF2KHFsdtRBWxbq6cj4LkjRMKbbziDDhYXEfOCdUlARE0u3cKglGZfliVJpHHgjwOe4gsT8OlJwyHS3EEpYf-FyYIoeRGPZg6bTzaYfoD-udTB8nQ2tBV90XJsFntWdrzoXcM6bcMMA5b2G39FKkFkjds2xEgVvnNQg73we6ArRgOkpuiLYvnkwEXai9GcmvaVjqonF0OelorRvww2-71-RLmSiuyyFzrupTFPPZflfHl5XKrmvpxZ2AV_t1qf_g1ZeKqV"/>
            <wp:cNvGraphicFramePr/>
            <a:graphic xmlns:a="http://schemas.openxmlformats.org/drawingml/2006/main">
              <a:graphicData uri="http://schemas.openxmlformats.org/drawingml/2006/picture">
                <pic:pic xmlns:pic="http://schemas.openxmlformats.org/drawingml/2006/picture">
                  <pic:nvPicPr>
                    <pic:cNvPr id="114" name="Picture" descr="C:/Users/15919/Desktop/论文草稿/temp/manuscript_figures_2ng0gsx8/figure_000014.png"/>
                    <pic:cNvPicPr>
                      <a:picLocks noChangeAspect="1" noChangeArrowheads="1"/>
                    </pic:cNvPicPr>
                  </pic:nvPicPr>
                  <pic:blipFill>
                    <a:blip r:embed="rId20"/>
                    <a:stretch>
                      <a:fillRect/>
                    </a:stretch>
                  </pic:blipFill>
                  <pic:spPr bwMode="auto">
                    <a:xfrm>
                      <a:off x="0" y="0"/>
                      <a:ext cx="5731510" cy="3827532"/>
                    </a:xfrm>
                    <a:prstGeom prst="rect">
                      <a:avLst/>
                    </a:prstGeom>
                    <a:noFill/>
                    <a:ln w="9525">
                      <a:noFill/>
                      <a:headEnd/>
                      <a:tailEnd/>
                    </a:ln>
                  </pic:spPr>
                </pic:pic>
              </a:graphicData>
            </a:graphic>
          </wp:inline>
        </w:drawing>
      </w:r>
    </w:p>
    <w:p w14:paraId="32EDCBB7" w14:textId="77777777" w:rsidR="00F614DE" w:rsidRDefault="00000000">
      <w:pPr>
        <w:pStyle w:val="ImageCaption"/>
        <w:keepLines/>
        <w:spacing w:line="240" w:lineRule="auto"/>
        <w:ind w:firstLine="0"/>
      </w:pPr>
      <w:r>
        <w:rPr>
          <w:rFonts w:ascii="华文仿宋" w:eastAsia="华文仿宋" w:hAnsi="华文仿宋"/>
          <w:b/>
          <w:bCs/>
          <w:sz w:val="18"/>
        </w:rPr>
        <w:t>Fig. 14 | Charging rules for two end-to-end evaluation settings.</w:t>
      </w:r>
      <w:r>
        <w:rPr>
          <w:rFonts w:ascii="华文仿宋" w:eastAsia="华文仿宋" w:hAnsi="华文仿宋"/>
          <w:sz w:val="18"/>
        </w:rPr>
        <w:t xml:space="preserve"> </w:t>
      </w:r>
      <w:r>
        <w:rPr>
          <w:rFonts w:ascii="华文仿宋" w:eastAsia="华文仿宋" w:hAnsi="华文仿宋"/>
          <w:b/>
          <w:bCs/>
          <w:sz w:val="18"/>
        </w:rPr>
        <w:t>a</w:t>
      </w:r>
      <w:r>
        <w:rPr>
          <w:rFonts w:ascii="华文仿宋" w:eastAsia="华文仿宋" w:hAnsi="华文仿宋"/>
          <w:sz w:val="18"/>
        </w:rPr>
        <w:t>,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w:t>
      </w:r>
    </w:p>
    <w:p w14:paraId="67AD0252" w14:textId="77777777" w:rsidR="00F614DE" w:rsidRDefault="00000000">
      <w:pPr>
        <w:pStyle w:val="11"/>
      </w:pPr>
      <w:r>
        <w:t xml:space="preserve">We evaluated two end-to-end tasks: region detection and identity matching across all ligand categories, and full pose reconstruction for eligible small molecules. The attempt-accounting rules are summarised in </w:t>
      </w:r>
      <w:r>
        <w:rPr>
          <w:rStyle w:val="MDFIGREFeJyrrk7LTC9KTbNKNUrVTUxOziNK8nMS9ctKs1JLdZNKUpMK6mtBQAQ2w6I"/>
        </w:rPr>
        <w:t>Fig. 14</w:t>
      </w:r>
      <w:r>
        <w:t xml:space="preserve"> and detailed below.</w:t>
      </w:r>
    </w:p>
    <w:p w14:paraId="733EF1A2" w14:textId="77777777" w:rsidR="00F614DE" w:rsidRDefault="00000000">
      <w:pPr>
        <w:pStyle w:val="11"/>
      </w:pPr>
      <w:r>
        <w:t>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14:paraId="50C8B8A1" w14:textId="77777777" w:rsidR="00F614DE" w:rsidRDefault="00000000">
      <w:pPr>
        <w:pStyle w:val="11"/>
      </w:pPr>
      <w:r>
        <w:lastRenderedPageBreak/>
        <w:t>For end-to-end modelling of eligible small molecules, false-positive candidates likewise consume one attempt before the next candidate is examined.</w:t>
      </w:r>
    </w:p>
    <w:p w14:paraId="3F5FDE2B" w14:textId="77777777" w:rsidR="00F614DE" w:rsidRDefault="00000000">
      <w:pPr>
        <w:pStyle w:val="11"/>
      </w:pPr>
      <w:r>
        <w:t>If a candidate corresponds to a non-small-molecule ligand but Match assigns a small-molecule identity, the attempt is counted as a failure and consumes one attempt. Otherwise, the candidate is skipped without consuming the attempt budget.</w:t>
      </w:r>
    </w:p>
    <w:p w14:paraId="5BDADDC1" w14:textId="77777777" w:rsidR="00F614DE" w:rsidRDefault="00000000">
      <w:pPr>
        <w:pStyle w:val="11"/>
      </w:pPr>
      <w:r>
        <w:t>If a candidate corresponds to a small molecule with at least 30% bidirectional coverage, incorrect identity matching consumes one attempt. A correctly matched small molecule that fails the single-residue, no-missing-atom criteria is skipped without consuming an attempt. Otherwise, DG-PocketXmol performs docking, and success is determined from the top-1 or best-of-50 pose and the corresponding RMSD threshold.</w:t>
      </w:r>
    </w:p>
    <w:p w14:paraId="767A0F8C" w14:textId="77777777" w:rsidR="00F614DE" w:rsidRDefault="00000000">
      <w:pPr>
        <w:pStyle w:val="11"/>
      </w:pPr>
      <w:r>
        <w:t>According to the aforementioned rules, when a ligand outside the eligible small-molecule subset is correctly detected and matched, we still skip docking without consuming an attempt. This ensures that all evaluated docking tasks use the same downstream tool, DG-PocketXmol. However, a region corresponding to a true non-small-molecule ligand consumes one attempt if it is misidentified as a small molecule. In this case, it is actually an unmatched distractor and counts as a failed attempt.</w:t>
      </w:r>
    </w:p>
    <w:p w14:paraId="43B37747" w14:textId="77777777" w:rsidR="00F614DE" w:rsidRDefault="00000000">
      <w:pPr>
        <w:pStyle w:val="11"/>
      </w:pPr>
      <w:r>
        <w:t>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14:paraId="56F3BDBA" w14:textId="77777777" w:rsidR="00F614DE" w:rsidRDefault="00000000">
      <w:pPr>
        <w:pStyle w:val="MDConverterBibliography"/>
      </w:pPr>
      <w:r>
        <w:rPr>
          <w:b/>
          <w:bCs/>
        </w:rPr>
        <w:t>References</w:t>
      </w:r>
    </w:p>
    <w:p w14:paraId="5FC267BA" w14:textId="77777777" w:rsidR="00F614DE" w:rsidRDefault="00000000">
      <w:pPr>
        <w:pStyle w:val="MDConverterBibliography"/>
      </w:pPr>
      <w:r>
        <w:t xml:space="preserve">1. Callaway, E. Revolutionary cryo-EM is taking over structural biology. </w:t>
      </w:r>
      <w:r>
        <w:rPr>
          <w:i/>
          <w:iCs/>
        </w:rPr>
        <w:t>Nature</w:t>
      </w:r>
      <w:r>
        <w:t xml:space="preserve"> </w:t>
      </w:r>
      <w:r>
        <w:rPr>
          <w:b/>
          <w:bCs/>
        </w:rPr>
        <w:t>578</w:t>
      </w:r>
      <w:r>
        <w:t>, 201 (2020). https://doi.org/</w:t>
      </w:r>
      <w:hyperlink r:id="rId21">
        <w:r>
          <w:rPr>
            <w:rStyle w:val="a4"/>
          </w:rPr>
          <w:t>10.1038/d41586-020-00341-9</w:t>
        </w:r>
      </w:hyperlink>
      <w:r>
        <w:t>.</w:t>
      </w:r>
    </w:p>
    <w:p w14:paraId="40123EA2" w14:textId="77777777" w:rsidR="00F614DE" w:rsidRDefault="00000000">
      <w:pPr>
        <w:pStyle w:val="MDConverterBibliography"/>
      </w:pPr>
      <w:r>
        <w:t xml:space="preserve">2. Bai, X., McMullan, G., &amp; Scheres, S. H. W. How cryo-EM is revolutionizing structural biology. </w:t>
      </w:r>
      <w:r>
        <w:rPr>
          <w:i/>
          <w:iCs/>
        </w:rPr>
        <w:t>Trends in Biochemical Sciences</w:t>
      </w:r>
      <w:r>
        <w:t xml:space="preserve"> </w:t>
      </w:r>
      <w:r>
        <w:rPr>
          <w:b/>
          <w:bCs/>
        </w:rPr>
        <w:t>40</w:t>
      </w:r>
      <w:r>
        <w:t>, 49–57 (2015). https://doi.org/</w:t>
      </w:r>
      <w:hyperlink r:id="rId22">
        <w:r>
          <w:rPr>
            <w:rStyle w:val="a4"/>
          </w:rPr>
          <w:t>10.1016/j.tibs.2014.10.005</w:t>
        </w:r>
      </w:hyperlink>
      <w:r>
        <w:t>.</w:t>
      </w:r>
    </w:p>
    <w:p w14:paraId="16F9B48E" w14:textId="77777777" w:rsidR="00F614DE" w:rsidRDefault="00000000">
      <w:pPr>
        <w:pStyle w:val="MDConverterBibliography"/>
      </w:pPr>
      <w:r>
        <w:t xml:space="preserve">3. Jamali, K. et al. Automated model building and protein identification in cryo-EM maps. </w:t>
      </w:r>
      <w:r>
        <w:rPr>
          <w:i/>
          <w:iCs/>
        </w:rPr>
        <w:t>Nature</w:t>
      </w:r>
      <w:r>
        <w:t xml:space="preserve"> </w:t>
      </w:r>
      <w:r>
        <w:rPr>
          <w:b/>
          <w:bCs/>
        </w:rPr>
        <w:t>628</w:t>
      </w:r>
      <w:r>
        <w:t>, 450–457 (2024). https://doi.org/</w:t>
      </w:r>
      <w:hyperlink r:id="rId23">
        <w:r>
          <w:rPr>
            <w:rStyle w:val="a4"/>
          </w:rPr>
          <w:t>10.1038/s41586-024-07215-4</w:t>
        </w:r>
      </w:hyperlink>
      <w:r>
        <w:t>.</w:t>
      </w:r>
    </w:p>
    <w:p w14:paraId="04906E0D" w14:textId="77777777" w:rsidR="00F614DE" w:rsidRDefault="00000000">
      <w:pPr>
        <w:pStyle w:val="MDConverterBibliography"/>
      </w:pPr>
      <w:r>
        <w:lastRenderedPageBreak/>
        <w:t>4. Su, B. et al. CryoAtom2: inverse folding-inspired deep learning enables accurate model building of protein-nucleic acid complexes in cryo-EM. (2026). https://doi.org/</w:t>
      </w:r>
      <w:hyperlink r:id="rId24">
        <w:r>
          <w:rPr>
            <w:rStyle w:val="a4"/>
          </w:rPr>
          <w:t>10.65215/LTSpreprints.2026.04.14.000185</w:t>
        </w:r>
      </w:hyperlink>
      <w:r>
        <w:t>.</w:t>
      </w:r>
    </w:p>
    <w:p w14:paraId="33DAA09F" w14:textId="77777777" w:rsidR="00F614DE" w:rsidRDefault="00000000">
      <w:pPr>
        <w:pStyle w:val="MDConverterBibliography"/>
      </w:pPr>
      <w:r>
        <w:t xml:space="preserve">5. Li, T., Chen, J., Li, H., Cao, H., &amp; Huang, S.-Y. EMProt improves structure determination from cryo-EM maps. </w:t>
      </w:r>
      <w:r>
        <w:rPr>
          <w:i/>
          <w:iCs/>
        </w:rPr>
        <w:t>Nature Structural &amp; Molecular Biology</w:t>
      </w:r>
      <w:r>
        <w:t xml:space="preserve"> </w:t>
      </w:r>
      <w:r>
        <w:rPr>
          <w:b/>
          <w:bCs/>
        </w:rPr>
        <w:t>33</w:t>
      </w:r>
      <w:r>
        <w:t>, 341–350 (2026). https://doi.org/</w:t>
      </w:r>
      <w:hyperlink r:id="rId25">
        <w:r>
          <w:rPr>
            <w:rStyle w:val="a4"/>
          </w:rPr>
          <w:t>10.1038/s41594-025-01723-1</w:t>
        </w:r>
      </w:hyperlink>
      <w:r>
        <w:t>.</w:t>
      </w:r>
    </w:p>
    <w:p w14:paraId="6550BA91" w14:textId="77777777" w:rsidR="00F614DE" w:rsidRDefault="00000000">
      <w:pPr>
        <w:pStyle w:val="MDConverterBibliography"/>
      </w:pPr>
      <w:r>
        <w:t xml:space="preserve">6. Cheng, Y. Single-particle cryo-EM—How did it get here and where will it go. </w:t>
      </w:r>
      <w:r>
        <w:rPr>
          <w:i/>
          <w:iCs/>
        </w:rPr>
        <w:t>Science</w:t>
      </w:r>
      <w:r>
        <w:t xml:space="preserve"> </w:t>
      </w:r>
      <w:r>
        <w:rPr>
          <w:b/>
          <w:bCs/>
        </w:rPr>
        <w:t>361</w:t>
      </w:r>
      <w:r>
        <w:t>, 876–880 (2018). https://doi.org/</w:t>
      </w:r>
      <w:hyperlink r:id="rId26">
        <w:r>
          <w:rPr>
            <w:rStyle w:val="a4"/>
          </w:rPr>
          <w:t>10.1126/science.aat4346</w:t>
        </w:r>
      </w:hyperlink>
      <w:r>
        <w:t>.</w:t>
      </w:r>
    </w:p>
    <w:p w14:paraId="65123F77" w14:textId="77777777" w:rsidR="00F614DE" w:rsidRDefault="00000000">
      <w:pPr>
        <w:pStyle w:val="MDConverterBibliography"/>
      </w:pPr>
      <w:r>
        <w:t xml:space="preserve">7. Li, S., Jain, A., Kagaya, Y., Park, J. H., &amp; Kihara, D. Direct Detection and Atomic Modeling of Ligands in Cryo-EM Maps Using Deep Learning. </w:t>
      </w:r>
      <w:r>
        <w:rPr>
          <w:i/>
          <w:iCs/>
        </w:rPr>
        <w:t>bioRxiv</w:t>
      </w:r>
      <w:r>
        <w:t xml:space="preserve"> (2026). https://doi.org/</w:t>
      </w:r>
      <w:hyperlink r:id="rId27">
        <w:r>
          <w:rPr>
            <w:rStyle w:val="a4"/>
          </w:rPr>
          <w:t>10.64898/2026.06.01.729423</w:t>
        </w:r>
      </w:hyperlink>
      <w:r>
        <w:t>.</w:t>
      </w:r>
    </w:p>
    <w:p w14:paraId="08199C90" w14:textId="77777777" w:rsidR="00F614DE" w:rsidRDefault="00000000">
      <w:pPr>
        <w:pStyle w:val="MDConverterBibliography"/>
      </w:pPr>
      <w:r>
        <w:t xml:space="preserve">8. Muenks, A., Farrell, D. P., Zhou, G., &amp; DiMaio, F. Automated identification of small molecules in cryoelectron microscopy data with density- and energy-guided evaluation. </w:t>
      </w:r>
      <w:r>
        <w:rPr>
          <w:i/>
          <w:iCs/>
        </w:rPr>
        <w:t>Structure</w:t>
      </w:r>
      <w:r>
        <w:t xml:space="preserve"> </w:t>
      </w:r>
      <w:r>
        <w:rPr>
          <w:b/>
          <w:bCs/>
        </w:rPr>
        <w:t>33</w:t>
      </w:r>
      <w:r>
        <w:t>, 1760–1770.e5 (2025). https://doi.org/</w:t>
      </w:r>
      <w:hyperlink r:id="rId28">
        <w:r>
          <w:rPr>
            <w:rStyle w:val="a4"/>
          </w:rPr>
          <w:t>10.1016/j.str.2025.07.002</w:t>
        </w:r>
      </w:hyperlink>
      <w:r>
        <w:t>.</w:t>
      </w:r>
    </w:p>
    <w:p w14:paraId="5997FC1B" w14:textId="77777777" w:rsidR="00F614DE" w:rsidRDefault="00000000">
      <w:pPr>
        <w:pStyle w:val="MDConverterBibliography"/>
      </w:pPr>
      <w:r>
        <w:t xml:space="preserve">9. Corso, G., Stärk, H., Jing, B., Barzilay, R., &amp; Jaakkola, T. </w:t>
      </w:r>
      <w:hyperlink r:id="rId29">
        <w:r>
          <w:rPr>
            <w:rStyle w:val="a4"/>
          </w:rPr>
          <w:t>DiffDock: Diffusion Steps, Twists, and Turns for Molecular Docking</w:t>
        </w:r>
      </w:hyperlink>
      <w:r>
        <w:t xml:space="preserve">. </w:t>
      </w:r>
      <w:r>
        <w:rPr>
          <w:i/>
          <w:iCs/>
        </w:rPr>
        <w:t>International conference on learning representations (ICLR)</w:t>
      </w:r>
      <w:r>
        <w:t xml:space="preserve"> (2023).</w:t>
      </w:r>
    </w:p>
    <w:p w14:paraId="36AF6FB3" w14:textId="77777777" w:rsidR="00F614DE" w:rsidRDefault="00000000">
      <w:pPr>
        <w:pStyle w:val="MDConverterBibliography"/>
      </w:pPr>
      <w:r>
        <w:t xml:space="preserve">10. Peng, X. et al. Unified modeling of 3D molecular generation via atomic interactions with PocketXMol. </w:t>
      </w:r>
      <w:r>
        <w:rPr>
          <w:i/>
          <w:iCs/>
        </w:rPr>
        <w:t>Cell</w:t>
      </w:r>
      <w:r>
        <w:t xml:space="preserve"> </w:t>
      </w:r>
      <w:r>
        <w:rPr>
          <w:b/>
          <w:bCs/>
        </w:rPr>
        <w:t>189</w:t>
      </w:r>
      <w:r>
        <w:t>, 1904–1922.e28 (2026). https://doi.org/</w:t>
      </w:r>
      <w:hyperlink r:id="rId30">
        <w:r>
          <w:rPr>
            <w:rStyle w:val="a4"/>
          </w:rPr>
          <w:t>10.1016/j.cell.2026.01.003</w:t>
        </w:r>
      </w:hyperlink>
      <w:r>
        <w:t>.</w:t>
      </w:r>
    </w:p>
    <w:p w14:paraId="035D0258" w14:textId="77777777" w:rsidR="00F614DE" w:rsidRDefault="00000000">
      <w:pPr>
        <w:pStyle w:val="MDConverterBibliography"/>
      </w:pPr>
      <w:r>
        <w:t xml:space="preserve">11. Muenks, A., Zepeda, S., Zhou, G., Veesler, D., &amp; DiMaio, F. Automatic and accurate ligand structure determination guided by cryo-electron microscopy maps. </w:t>
      </w:r>
      <w:r>
        <w:rPr>
          <w:i/>
          <w:iCs/>
        </w:rPr>
        <w:t>Nature Communications</w:t>
      </w:r>
      <w:r>
        <w:t xml:space="preserve"> </w:t>
      </w:r>
      <w:r>
        <w:rPr>
          <w:b/>
          <w:bCs/>
        </w:rPr>
        <w:t>14</w:t>
      </w:r>
      <w:r>
        <w:t>, 1164 (2023). https://doi.org/</w:t>
      </w:r>
      <w:hyperlink r:id="rId31">
        <w:r>
          <w:rPr>
            <w:rStyle w:val="a4"/>
          </w:rPr>
          <w:t>10.1038/s41467-023-36732-5</w:t>
        </w:r>
      </w:hyperlink>
      <w:r>
        <w:t>.</w:t>
      </w:r>
    </w:p>
    <w:p w14:paraId="222F950E" w14:textId="77777777" w:rsidR="00F614DE" w:rsidRDefault="00000000">
      <w:pPr>
        <w:pStyle w:val="MDConverterBibliography"/>
      </w:pPr>
      <w:r>
        <w:t xml:space="preserve">12. Robertson, M. J., Zundert, G. C. P. van, Borrelli, K., &amp; Skiniotis, G. GemSpot: A Pipeline for Robust Modeling of Ligands into Cryo-EM Maps. </w:t>
      </w:r>
      <w:r>
        <w:rPr>
          <w:i/>
          <w:iCs/>
        </w:rPr>
        <w:t>Structure</w:t>
      </w:r>
      <w:r>
        <w:t xml:space="preserve"> </w:t>
      </w:r>
      <w:r>
        <w:rPr>
          <w:b/>
          <w:bCs/>
        </w:rPr>
        <w:t>28</w:t>
      </w:r>
      <w:r>
        <w:t>, 707–716.e3 (2020). https://doi.org/</w:t>
      </w:r>
      <w:hyperlink r:id="rId32">
        <w:r>
          <w:rPr>
            <w:rStyle w:val="a4"/>
          </w:rPr>
          <w:t>10.1016/j.str.2020.04.018</w:t>
        </w:r>
      </w:hyperlink>
      <w:r>
        <w:t>.</w:t>
      </w:r>
    </w:p>
    <w:p w14:paraId="1675FE93" w14:textId="77777777" w:rsidR="00F614DE" w:rsidRDefault="00000000">
      <w:pPr>
        <w:pStyle w:val="MDConverterBibliography"/>
      </w:pPr>
      <w:r>
        <w:t xml:space="preserve">13. Sweeney, A., Mulvaney, T., Maiorca, M., &amp; Topf, M. ChemEM: Flexible Docking of Small Molecules in Cryo-EM Structures. </w:t>
      </w:r>
      <w:r>
        <w:rPr>
          <w:i/>
          <w:iCs/>
        </w:rPr>
        <w:t>Journal of Medicinal Chemistry</w:t>
      </w:r>
      <w:r>
        <w:t xml:space="preserve"> </w:t>
      </w:r>
      <w:r>
        <w:rPr>
          <w:b/>
          <w:bCs/>
        </w:rPr>
        <w:t>67</w:t>
      </w:r>
      <w:r>
        <w:t>, 199–212 (2024). https://doi.org/</w:t>
      </w:r>
      <w:hyperlink r:id="rId33">
        <w:r>
          <w:rPr>
            <w:rStyle w:val="a4"/>
          </w:rPr>
          <w:t>10.1021/acs.jmedchem.3c01134</w:t>
        </w:r>
      </w:hyperlink>
      <w:r>
        <w:t>.</w:t>
      </w:r>
    </w:p>
    <w:p w14:paraId="47B401A1" w14:textId="77777777" w:rsidR="00F614DE" w:rsidRDefault="00000000">
      <w:pPr>
        <w:pStyle w:val="MDConverterBibliography"/>
      </w:pPr>
      <w:r>
        <w:lastRenderedPageBreak/>
        <w:t xml:space="preserve">14. Weininger, D. SMILES, a chemical language and information system. 1. Introduction to methodology and encoding rules. </w:t>
      </w:r>
      <w:r>
        <w:rPr>
          <w:i/>
          <w:iCs/>
        </w:rPr>
        <w:t>Journal of Chemical Information and Computer Sciences</w:t>
      </w:r>
      <w:r>
        <w:t xml:space="preserve"> </w:t>
      </w:r>
      <w:r>
        <w:rPr>
          <w:b/>
          <w:bCs/>
        </w:rPr>
        <w:t>28</w:t>
      </w:r>
      <w:r>
        <w:t>, 31–36 (1988). https://doi.org/</w:t>
      </w:r>
      <w:hyperlink r:id="rId34">
        <w:r>
          <w:rPr>
            <w:rStyle w:val="a4"/>
          </w:rPr>
          <w:t>10.1021/ci00057a005</w:t>
        </w:r>
      </w:hyperlink>
      <w:r>
        <w:t>.</w:t>
      </w:r>
    </w:p>
    <w:p w14:paraId="5FAF481E" w14:textId="77777777" w:rsidR="00F614DE" w:rsidRDefault="00000000">
      <w:pPr>
        <w:pStyle w:val="MDConverterBibliography"/>
      </w:pPr>
      <w:r>
        <w:t xml:space="preserve">15. Çiçek, Ö., Abdulkadir, A., Lienkamp, S. S., Brox, T., &amp; Ronneberger, O. 3D U-Net: Learning Dense Volumetric Segmentation from Sparse Annotation. </w:t>
      </w:r>
      <w:r>
        <w:rPr>
          <w:i/>
          <w:iCs/>
        </w:rPr>
        <w:t>Medical image computing and computer-assisted intervention – MICCAI 2016</w:t>
      </w:r>
      <w:r>
        <w:t xml:space="preserve"> 424–432 (2016). https://doi.org/</w:t>
      </w:r>
      <w:hyperlink r:id="rId35">
        <w:r>
          <w:rPr>
            <w:rStyle w:val="a4"/>
          </w:rPr>
          <w:t>10.1007/978-3-319-46723-8_49</w:t>
        </w:r>
      </w:hyperlink>
      <w:r>
        <w:t>.</w:t>
      </w:r>
    </w:p>
    <w:p w14:paraId="626E7D70" w14:textId="77777777" w:rsidR="00F614DE" w:rsidRDefault="00000000">
      <w:pPr>
        <w:pStyle w:val="MDConverterBibliography"/>
      </w:pPr>
      <w:r>
        <w:t xml:space="preserve">16. Wu, X. et al. Point Transformer V3: Simpler, Faster, Stronger. </w:t>
      </w:r>
      <w:r>
        <w:rPr>
          <w:i/>
          <w:iCs/>
        </w:rPr>
        <w:t>2024 IEEE/CVF conference on computer vision and pattern recognition (CVPR)</w:t>
      </w:r>
      <w:r>
        <w:t xml:space="preserve"> 4840–4851 (2024). https://doi.org/</w:t>
      </w:r>
      <w:hyperlink r:id="rId36">
        <w:r>
          <w:rPr>
            <w:rStyle w:val="a4"/>
          </w:rPr>
          <w:t>10.1109/cvpr52733.2024.00463</w:t>
        </w:r>
      </w:hyperlink>
      <w:r>
        <w:t>.</w:t>
      </w:r>
    </w:p>
    <w:p w14:paraId="43CF2A06" w14:textId="77777777" w:rsidR="00F614DE" w:rsidRDefault="00000000">
      <w:pPr>
        <w:pStyle w:val="MDConverterBibliography"/>
      </w:pPr>
      <w:r>
        <w:t xml:space="preserve">17. Abramson, J. et al. Accurate structure prediction of biomolecular interactions with AlphaFold 3. </w:t>
      </w:r>
      <w:r>
        <w:rPr>
          <w:i/>
          <w:iCs/>
        </w:rPr>
        <w:t>Nature</w:t>
      </w:r>
      <w:r>
        <w:t xml:space="preserve"> </w:t>
      </w:r>
      <w:r>
        <w:rPr>
          <w:b/>
          <w:bCs/>
        </w:rPr>
        <w:t>630</w:t>
      </w:r>
      <w:r>
        <w:t>, 493–500 (2024). https://doi.org/</w:t>
      </w:r>
      <w:hyperlink r:id="rId37">
        <w:r>
          <w:rPr>
            <w:rStyle w:val="a4"/>
          </w:rPr>
          <w:t>10.1038/s41586-024-07487-w</w:t>
        </w:r>
      </w:hyperlink>
      <w:r>
        <w:t>.</w:t>
      </w:r>
    </w:p>
    <w:p w14:paraId="7D8BF713" w14:textId="77777777" w:rsidR="00F614DE" w:rsidRDefault="00000000">
      <w:pPr>
        <w:pStyle w:val="MDConverterBibliography"/>
      </w:pPr>
      <w:r>
        <w:t xml:space="preserve">18. Perez, E., Strub, F., Vries, H. de, Dumoulin, V., &amp; Courville, A. FiLM: Visual Reasoning with a General Conditioning Layer. </w:t>
      </w:r>
      <w:r>
        <w:rPr>
          <w:i/>
          <w:iCs/>
        </w:rPr>
        <w:t>Proceedings of the AAAI conference on artificial intelligence</w:t>
      </w:r>
      <w:r>
        <w:t xml:space="preserve"> </w:t>
      </w:r>
      <w:r>
        <w:rPr>
          <w:b/>
          <w:bCs/>
        </w:rPr>
        <w:t>32</w:t>
      </w:r>
      <w:r>
        <w:t>, (2018). https://doi.org/</w:t>
      </w:r>
      <w:hyperlink r:id="rId38">
        <w:r>
          <w:rPr>
            <w:rStyle w:val="a4"/>
          </w:rPr>
          <w:t>10.1609/aaai.v32i1.11671</w:t>
        </w:r>
      </w:hyperlink>
      <w:r>
        <w:t>.</w:t>
      </w:r>
    </w:p>
    <w:p w14:paraId="7D929E5E" w14:textId="77777777" w:rsidR="00F614DE" w:rsidRDefault="00000000">
      <w:pPr>
        <w:pStyle w:val="MDConverterBibliography"/>
      </w:pPr>
      <w:r>
        <w:t xml:space="preserve">19. Soares, E. et al. An open-source family of large encoder-decoder foundation models for chemistry. </w:t>
      </w:r>
      <w:r>
        <w:rPr>
          <w:i/>
          <w:iCs/>
        </w:rPr>
        <w:t>Communications Chemistry</w:t>
      </w:r>
      <w:r>
        <w:t xml:space="preserve"> </w:t>
      </w:r>
      <w:r>
        <w:rPr>
          <w:b/>
          <w:bCs/>
        </w:rPr>
        <w:t>8</w:t>
      </w:r>
      <w:r>
        <w:t>, 193 (2025). https://doi.org/</w:t>
      </w:r>
      <w:hyperlink r:id="rId39">
        <w:r>
          <w:rPr>
            <w:rStyle w:val="a4"/>
          </w:rPr>
          <w:t>10.1038/s42004-025-01585-0</w:t>
        </w:r>
      </w:hyperlink>
      <w:r>
        <w:t>.</w:t>
      </w:r>
    </w:p>
    <w:p w14:paraId="7CD26FC2" w14:textId="77777777" w:rsidR="00F614DE" w:rsidRDefault="00000000">
      <w:pPr>
        <w:pStyle w:val="MDConverterBibliography"/>
      </w:pPr>
      <w:r>
        <w:t xml:space="preserve">20. Trott, O. &amp; Olson, A. J. AutoDock Vina: Improving the speed and accuracy of docking with a new scoring function, efficient optimization, and multithreading. </w:t>
      </w:r>
      <w:r>
        <w:rPr>
          <w:i/>
          <w:iCs/>
        </w:rPr>
        <w:t>Journal of Computational Chemistry</w:t>
      </w:r>
      <w:r>
        <w:t xml:space="preserve"> </w:t>
      </w:r>
      <w:r>
        <w:rPr>
          <w:b/>
          <w:bCs/>
        </w:rPr>
        <w:t>31</w:t>
      </w:r>
      <w:r>
        <w:t>, 455–461 (2010). https://doi.org/</w:t>
      </w:r>
      <w:hyperlink r:id="rId40">
        <w:r>
          <w:rPr>
            <w:rStyle w:val="a4"/>
          </w:rPr>
          <w:t>10.1002/jcc.21334</w:t>
        </w:r>
      </w:hyperlink>
      <w:r>
        <w:t>.</w:t>
      </w:r>
    </w:p>
    <w:p w14:paraId="3016702C" w14:textId="77777777" w:rsidR="00F614DE" w:rsidRDefault="00000000">
      <w:pPr>
        <w:pStyle w:val="MDConverterBibliography"/>
      </w:pPr>
      <w:r>
        <w:t xml:space="preserve">21. The wwPDB Consortium. EMDB—the Electron Microscopy Data Bank. </w:t>
      </w:r>
      <w:r>
        <w:rPr>
          <w:i/>
          <w:iCs/>
        </w:rPr>
        <w:t>Nucleic Acids Research</w:t>
      </w:r>
      <w:r>
        <w:t xml:space="preserve"> </w:t>
      </w:r>
      <w:r>
        <w:rPr>
          <w:b/>
          <w:bCs/>
        </w:rPr>
        <w:t>52</w:t>
      </w:r>
      <w:r>
        <w:t>, D456–D465 (2024). https://doi.org/</w:t>
      </w:r>
      <w:hyperlink r:id="rId41">
        <w:r>
          <w:rPr>
            <w:rStyle w:val="a4"/>
          </w:rPr>
          <w:t>10.1093/nar/gkad1019</w:t>
        </w:r>
      </w:hyperlink>
      <w:r>
        <w:t>.</w:t>
      </w:r>
    </w:p>
    <w:p w14:paraId="67DA03DA" w14:textId="77777777" w:rsidR="00F614DE" w:rsidRDefault="00000000">
      <w:pPr>
        <w:pStyle w:val="MDConverterBibliography"/>
      </w:pPr>
      <w:r>
        <w:t xml:space="preserve">22. Berman, H. M. et al. The Protein Data Bank. </w:t>
      </w:r>
      <w:r>
        <w:rPr>
          <w:i/>
          <w:iCs/>
        </w:rPr>
        <w:t>Nucleic Acids Research</w:t>
      </w:r>
      <w:r>
        <w:t xml:space="preserve"> </w:t>
      </w:r>
      <w:r>
        <w:rPr>
          <w:b/>
          <w:bCs/>
        </w:rPr>
        <w:t>28</w:t>
      </w:r>
      <w:r>
        <w:t>, 235–242 (2000). https://doi.org/</w:t>
      </w:r>
      <w:hyperlink r:id="rId42">
        <w:r>
          <w:rPr>
            <w:rStyle w:val="a4"/>
          </w:rPr>
          <w:t>10.1093/nar/28.1.235</w:t>
        </w:r>
      </w:hyperlink>
      <w:r>
        <w:t>.</w:t>
      </w:r>
    </w:p>
    <w:p w14:paraId="31D2A10E" w14:textId="77777777" w:rsidR="00F614DE" w:rsidRDefault="00000000">
      <w:pPr>
        <w:pStyle w:val="MDConverterBibliography"/>
      </w:pPr>
      <w:r>
        <w:t xml:space="preserve">23. Steinegger, M. &amp; Söding, J. MMseqs2 enables sensitive protein sequence searching for the analysis of massive data sets. </w:t>
      </w:r>
      <w:r>
        <w:rPr>
          <w:i/>
          <w:iCs/>
        </w:rPr>
        <w:t>Nature Biotechnology</w:t>
      </w:r>
      <w:r>
        <w:t xml:space="preserve"> </w:t>
      </w:r>
      <w:r>
        <w:rPr>
          <w:b/>
          <w:bCs/>
        </w:rPr>
        <w:t>35</w:t>
      </w:r>
      <w:r>
        <w:t>, 1026–1028 (2017). https://doi.org/</w:t>
      </w:r>
      <w:hyperlink r:id="rId43">
        <w:r>
          <w:rPr>
            <w:rStyle w:val="a4"/>
          </w:rPr>
          <w:t>10.1038/nbt.3988</w:t>
        </w:r>
      </w:hyperlink>
      <w:r>
        <w:t>.</w:t>
      </w:r>
    </w:p>
    <w:p w14:paraId="78796E46" w14:textId="77777777" w:rsidR="00F614DE" w:rsidRDefault="00000000">
      <w:pPr>
        <w:pStyle w:val="MDConverterBibliography"/>
      </w:pPr>
      <w:r>
        <w:t xml:space="preserve">24. Pettersen, E. F. et al. UCSF Chimera—a visualization system for exploratory research and analysis. </w:t>
      </w:r>
      <w:r>
        <w:rPr>
          <w:i/>
          <w:iCs/>
        </w:rPr>
        <w:t>Journal of Computational Chemistry</w:t>
      </w:r>
      <w:r>
        <w:t xml:space="preserve"> </w:t>
      </w:r>
      <w:r>
        <w:rPr>
          <w:b/>
          <w:bCs/>
        </w:rPr>
        <w:t>25</w:t>
      </w:r>
      <w:r>
        <w:t>, 1605–1612 (2004). https://doi.org/</w:t>
      </w:r>
      <w:hyperlink r:id="rId44">
        <w:r>
          <w:rPr>
            <w:rStyle w:val="a4"/>
          </w:rPr>
          <w:t>10.1002/jcc.20084</w:t>
        </w:r>
      </w:hyperlink>
      <w:r>
        <w:t>.</w:t>
      </w:r>
    </w:p>
    <w:p w14:paraId="65886B9D" w14:textId="77777777" w:rsidR="00F614DE" w:rsidRDefault="00000000">
      <w:pPr>
        <w:pStyle w:val="MDConverterBibliography"/>
      </w:pPr>
      <w:r>
        <w:lastRenderedPageBreak/>
        <w:t xml:space="preserve">25. Park, C., Jeong, Y., Cho, M., &amp; Park, J. Fast Point Transformer. </w:t>
      </w:r>
      <w:r>
        <w:rPr>
          <w:i/>
          <w:iCs/>
        </w:rPr>
        <w:t>2022 IEEE/CVF conference on computer vision and pattern recognition (CVPR)</w:t>
      </w:r>
      <w:r>
        <w:t xml:space="preserve"> 16928–16937 (2022). https://doi.org/</w:t>
      </w:r>
      <w:hyperlink r:id="rId45">
        <w:r>
          <w:rPr>
            <w:rStyle w:val="a4"/>
          </w:rPr>
          <w:t>10.1109/cvpr52688.2022.01644</w:t>
        </w:r>
      </w:hyperlink>
      <w:r>
        <w:t>.</w:t>
      </w:r>
    </w:p>
    <w:p w14:paraId="3D954D5D" w14:textId="77777777" w:rsidR="00F614DE" w:rsidRDefault="00000000">
      <w:pPr>
        <w:pStyle w:val="MDConverterBibliography"/>
      </w:pPr>
      <w:r>
        <w:t xml:space="preserve">26. Lin, T.-Y., Goyal, P., Girshick, R., He, K., &amp; Dollár, P. Focal Loss for Dense Object Detection. </w:t>
      </w:r>
      <w:r>
        <w:rPr>
          <w:i/>
          <w:iCs/>
        </w:rPr>
        <w:t>2017 IEEE international conference on computer vision (ICCV)</w:t>
      </w:r>
      <w:r>
        <w:t xml:space="preserve"> 2999–3007 (2017). https://doi.org/</w:t>
      </w:r>
      <w:hyperlink r:id="rId46">
        <w:r>
          <w:rPr>
            <w:rStyle w:val="a4"/>
          </w:rPr>
          <w:t>10.1109/iccv.2017.324</w:t>
        </w:r>
      </w:hyperlink>
      <w:r>
        <w:t>.</w:t>
      </w:r>
    </w:p>
    <w:p w14:paraId="23C5AEC5" w14:textId="77777777" w:rsidR="00F614DE" w:rsidRDefault="00000000">
      <w:pPr>
        <w:pStyle w:val="MDConverterBibliography"/>
      </w:pPr>
      <w:r>
        <w:t xml:space="preserve">27. Milletari, F., Navab, N., &amp; Ahmadi, S.-A. V-Net: Fully Convolutional Neural Networks for Volumetric Medical Image Segmentation. </w:t>
      </w:r>
      <w:r>
        <w:rPr>
          <w:i/>
          <w:iCs/>
        </w:rPr>
        <w:t>2016 fourth international conference on 3D vision (3DV)</w:t>
      </w:r>
      <w:r>
        <w:t xml:space="preserve"> 565–571 (2016). https://doi.org/</w:t>
      </w:r>
      <w:hyperlink r:id="rId47">
        <w:r>
          <w:rPr>
            <w:rStyle w:val="a4"/>
          </w:rPr>
          <w:t>10.1109/3dv.2016.79</w:t>
        </w:r>
      </w:hyperlink>
      <w:r>
        <w:t>.</w:t>
      </w:r>
    </w:p>
    <w:p w14:paraId="71CE8811" w14:textId="77777777" w:rsidR="00F614DE" w:rsidRDefault="00000000">
      <w:pPr>
        <w:pStyle w:val="MDConverterBibliography"/>
      </w:pPr>
      <w:r>
        <w:t xml:space="preserve">28. Isensee, F., Jaeger, P. F., Kohl, S. A. A., Petersen, J., &amp; Maier-Hein, K. H. nnU-Net: a self-configuring method for deep learning-based biomedical image segmentation. </w:t>
      </w:r>
      <w:r>
        <w:rPr>
          <w:i/>
          <w:iCs/>
        </w:rPr>
        <w:t>Nature Methods</w:t>
      </w:r>
      <w:r>
        <w:t xml:space="preserve"> </w:t>
      </w:r>
      <w:r>
        <w:rPr>
          <w:b/>
          <w:bCs/>
        </w:rPr>
        <w:t>18</w:t>
      </w:r>
      <w:r>
        <w:t>, 203–211 (2021). https://doi.org/</w:t>
      </w:r>
      <w:hyperlink r:id="rId48">
        <w:r>
          <w:rPr>
            <w:rStyle w:val="a4"/>
          </w:rPr>
          <w:t>10.1038/s41592-020-01008-z</w:t>
        </w:r>
      </w:hyperlink>
      <w:r>
        <w:t>.</w:t>
      </w:r>
    </w:p>
    <w:p w14:paraId="1B46DF7A" w14:textId="77777777" w:rsidR="00F614DE" w:rsidRDefault="00000000">
      <w:pPr>
        <w:pStyle w:val="MDConverterBibliography"/>
      </w:pPr>
      <w:r>
        <w:t xml:space="preserve">29. Kuhn, H. W. The Hungarian method for the assignment problem. </w:t>
      </w:r>
      <w:r>
        <w:rPr>
          <w:i/>
          <w:iCs/>
        </w:rPr>
        <w:t>Naval Research Logistics Quarterly</w:t>
      </w:r>
      <w:r>
        <w:t xml:space="preserve"> </w:t>
      </w:r>
      <w:r>
        <w:rPr>
          <w:b/>
          <w:bCs/>
        </w:rPr>
        <w:t>2</w:t>
      </w:r>
      <w:r>
        <w:t>, 83–97 (1955). https://doi.org/</w:t>
      </w:r>
      <w:hyperlink r:id="rId49">
        <w:r>
          <w:rPr>
            <w:rStyle w:val="a4"/>
          </w:rPr>
          <w:t>10.1002/nav.3800020109</w:t>
        </w:r>
      </w:hyperlink>
      <w:r>
        <w:t>.</w:t>
      </w:r>
    </w:p>
    <w:p w14:paraId="08F802FF" w14:textId="77777777" w:rsidR="00F614DE" w:rsidRDefault="00000000">
      <w:pPr>
        <w:pStyle w:val="MDConverterBibliography"/>
      </w:pPr>
      <w:r>
        <w:t xml:space="preserve">30. Vaswani, A. et al. </w:t>
      </w:r>
      <w:hyperlink r:id="rId50">
        <w:r>
          <w:rPr>
            <w:rStyle w:val="a4"/>
          </w:rPr>
          <w:t>Attention Is All You Need</w:t>
        </w:r>
      </w:hyperlink>
      <w:r>
        <w:t xml:space="preserve">. </w:t>
      </w:r>
      <w:r>
        <w:rPr>
          <w:i/>
          <w:iCs/>
        </w:rPr>
        <w:t>Advances in neural information processing systems</w:t>
      </w:r>
      <w:r>
        <w:t xml:space="preserve"> </w:t>
      </w:r>
      <w:r>
        <w:rPr>
          <w:b/>
          <w:bCs/>
        </w:rPr>
        <w:t>30</w:t>
      </w:r>
      <w:r>
        <w:t>, (2017).</w:t>
      </w:r>
      <w:bookmarkEnd w:id="19"/>
      <w:bookmarkEnd w:id="41"/>
    </w:p>
    <w:sectPr w:rsidR="00F614DE" w:rsidSect="0015253C">
      <w:footerReference w:type="default" r:id="rId51"/>
      <w:pgSz w:w="11906" w:h="16838"/>
      <w:pgMar w:top="1440" w:right="1440" w:bottom="1440" w:left="144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334AF" w14:textId="77777777" w:rsidR="0028677D" w:rsidRDefault="0028677D">
      <w:pPr>
        <w:spacing w:after="0" w:line="240" w:lineRule="auto"/>
      </w:pPr>
      <w:r>
        <w:separator/>
      </w:r>
    </w:p>
  </w:endnote>
  <w:endnote w:type="continuationSeparator" w:id="0">
    <w:p w14:paraId="0274650B" w14:textId="77777777" w:rsidR="0028677D" w:rsidRDefault="00286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华文仿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Content>
      <w:p w14:paraId="7E223A51"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02243EB3" w14:textId="77777777" w:rsidR="001952CC" w:rsidRDefault="001952C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FDFB8" w14:textId="77777777" w:rsidR="0028677D" w:rsidRDefault="0028677D">
      <w:pPr>
        <w:spacing w:after="0" w:line="240" w:lineRule="auto"/>
      </w:pPr>
      <w:r>
        <w:separator/>
      </w:r>
    </w:p>
  </w:footnote>
  <w:footnote w:type="continuationSeparator" w:id="0">
    <w:p w14:paraId="6DA29B96" w14:textId="77777777" w:rsidR="0028677D" w:rsidRDefault="002867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816F09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7F4ABD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3655DD"/>
    <w:multiLevelType w:val="multilevel"/>
    <w:tmpl w:val="94D0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74F6E"/>
    <w:multiLevelType w:val="multilevel"/>
    <w:tmpl w:val="2F7E51B6"/>
    <w:lvl w:ilvl="0">
      <w:start w:val="1"/>
      <w:numFmt w:val="chineseCountingThousand"/>
      <w:suff w:val="space"/>
      <w:lvlText w:val="第%1章"/>
      <w:lvlJc w:val="left"/>
      <w:pPr>
        <w:ind w:left="0" w:firstLine="0"/>
      </w:pPr>
      <w:rPr>
        <w:rFonts w:hint="eastAsia"/>
      </w:rPr>
    </w:lvl>
    <w:lvl w:ilvl="1">
      <w:start w:val="1"/>
      <w:numFmt w:val="decimal"/>
      <w:isLgl/>
      <w:suff w:val="space"/>
      <w:lvlText w:val="%1.%2"/>
      <w:lvlJc w:val="left"/>
      <w:pPr>
        <w:ind w:left="0" w:firstLine="0"/>
      </w:pPr>
      <w:rPr>
        <w:rFonts w:hint="eastAsia"/>
      </w:rPr>
    </w:lvl>
    <w:lvl w:ilvl="2">
      <w:start w:val="1"/>
      <w:numFmt w:val="decimal"/>
      <w:isLgl/>
      <w:suff w:val="space"/>
      <w:lvlText w:val="%1.%2.%3"/>
      <w:lvlJc w:val="left"/>
      <w:pPr>
        <w:ind w:left="0" w:firstLine="0"/>
      </w:pPr>
      <w:rPr>
        <w:rFonts w:hint="eastAsia"/>
      </w:rPr>
    </w:lvl>
    <w:lvl w:ilvl="3">
      <w:start w:val="1"/>
      <w:numFmt w:val="decimal"/>
      <w:isLgl/>
      <w:suff w:val="space"/>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1E2538D2"/>
    <w:multiLevelType w:val="multilevel"/>
    <w:tmpl w:val="03B82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44104"/>
    <w:multiLevelType w:val="multilevel"/>
    <w:tmpl w:val="D6A4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6F669A"/>
    <w:multiLevelType w:val="multilevel"/>
    <w:tmpl w:val="F46ED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F03017"/>
    <w:multiLevelType w:val="multilevel"/>
    <w:tmpl w:val="19AE9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81FD1"/>
    <w:multiLevelType w:val="hybridMultilevel"/>
    <w:tmpl w:val="A12EF0BA"/>
    <w:lvl w:ilvl="0" w:tplc="A15CBF76">
      <w:start w:val="1"/>
      <w:numFmt w:val="decimal"/>
      <w:lvlText w:val="%1."/>
      <w:lvlJc w:val="left"/>
      <w:pPr>
        <w:ind w:left="360" w:hanging="360"/>
      </w:pPr>
      <w:rPr>
        <w:rFonts w:hint="default"/>
        <w:color w:val="auto"/>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2676D56"/>
    <w:multiLevelType w:val="multilevel"/>
    <w:tmpl w:val="7EE0F90E"/>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suff w:val="space"/>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60A26B11"/>
    <w:multiLevelType w:val="hybridMultilevel"/>
    <w:tmpl w:val="5A365338"/>
    <w:lvl w:ilvl="0" w:tplc="3DD6C7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2767AF0"/>
    <w:multiLevelType w:val="multilevel"/>
    <w:tmpl w:val="28F6E7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4528784">
    <w:abstractNumId w:val="9"/>
  </w:num>
  <w:num w:numId="2" w16cid:durableId="1207642904">
    <w:abstractNumId w:val="3"/>
  </w:num>
  <w:num w:numId="3" w16cid:durableId="1282298939">
    <w:abstractNumId w:val="8"/>
  </w:num>
  <w:num w:numId="4" w16cid:durableId="968166837">
    <w:abstractNumId w:val="11"/>
  </w:num>
  <w:num w:numId="5" w16cid:durableId="15273975">
    <w:abstractNumId w:val="10"/>
  </w:num>
  <w:num w:numId="6" w16cid:durableId="1503279600">
    <w:abstractNumId w:val="5"/>
  </w:num>
  <w:num w:numId="7" w16cid:durableId="1357736665">
    <w:abstractNumId w:val="7"/>
  </w:num>
  <w:num w:numId="8" w16cid:durableId="1717974079">
    <w:abstractNumId w:val="4"/>
  </w:num>
  <w:num w:numId="9" w16cid:durableId="1609311758">
    <w:abstractNumId w:val="2"/>
  </w:num>
  <w:num w:numId="10" w16cid:durableId="2051032843">
    <w:abstractNumId w:val="6"/>
  </w:num>
  <w:num w:numId="11" w16cid:durableId="1954480798">
    <w:abstractNumId w:val="3"/>
  </w:num>
  <w:num w:numId="12" w16cid:durableId="1030179939">
    <w:abstractNumId w:val="3"/>
  </w:num>
  <w:num w:numId="13" w16cid:durableId="757596521">
    <w:abstractNumId w:val="0"/>
  </w:num>
  <w:num w:numId="14" w16cid:durableId="6671737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0080"/>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8677D"/>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56F4"/>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96BFF"/>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4DE"/>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E9F5C8"/>
  <w15:docId w15:val="{01FFDC46-4B51-489F-AE4F-4311AE669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44FA"/>
    <w:pPr>
      <w:widowControl w:val="0"/>
      <w:spacing w:after="120" w:line="360" w:lineRule="auto"/>
      <w:ind w:firstLine="420"/>
      <w:jc w:val="both"/>
    </w:pPr>
    <w:rPr>
      <w:color w:val="000000"/>
    </w:rPr>
  </w:style>
  <w:style w:type="paragraph" w:styleId="1">
    <w:name w:val="heading 1"/>
    <w:next w:val="a"/>
    <w:link w:val="10"/>
    <w:uiPriority w:val="9"/>
    <w:qFormat/>
    <w:rsid w:val="004F07BF"/>
    <w:pPr>
      <w:keepNext/>
      <w:keepLines/>
      <w:pageBreakBefore/>
      <w:spacing w:before="340" w:after="330" w:line="300" w:lineRule="auto"/>
      <w:jc w:val="center"/>
      <w:outlineLvl w:val="0"/>
    </w:pPr>
    <w:rPr>
      <w:b/>
      <w:bCs/>
      <w:color w:val="000000"/>
      <w:kern w:val="44"/>
      <w:sz w:val="44"/>
      <w:szCs w:val="44"/>
    </w:rPr>
  </w:style>
  <w:style w:type="paragraph" w:styleId="2">
    <w:name w:val="heading 2"/>
    <w:basedOn w:val="a"/>
    <w:next w:val="a"/>
    <w:link w:val="20"/>
    <w:uiPriority w:val="9"/>
    <w:unhideWhenUsed/>
    <w:qFormat/>
    <w:rsid w:val="00E123CD"/>
    <w:pPr>
      <w:keepNext/>
      <w:keepLines/>
      <w:spacing w:before="260" w:after="260" w:line="300" w:lineRule="auto"/>
      <w:ind w:firstLine="0"/>
      <w:jc w:val="left"/>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123CD"/>
    <w:pPr>
      <w:keepNext/>
      <w:keepLines/>
      <w:spacing w:before="260" w:after="200" w:line="300" w:lineRule="auto"/>
      <w:ind w:firstLine="0"/>
      <w:jc w:val="left"/>
      <w:outlineLvl w:val="2"/>
    </w:pPr>
    <w:rPr>
      <w:b/>
      <w:bCs/>
      <w:sz w:val="28"/>
      <w:szCs w:val="32"/>
    </w:rPr>
  </w:style>
  <w:style w:type="paragraph" w:styleId="4">
    <w:name w:val="heading 4"/>
    <w:basedOn w:val="a"/>
    <w:next w:val="a"/>
    <w:link w:val="40"/>
    <w:uiPriority w:val="9"/>
    <w:unhideWhenUsed/>
    <w:qFormat/>
    <w:rsid w:val="00E33154"/>
    <w:pPr>
      <w:keepNext/>
      <w:keepLines/>
      <w:spacing w:before="220" w:after="160" w:line="300" w:lineRule="auto"/>
      <w:ind w:firstLine="0"/>
      <w:jc w:val="left"/>
      <w:outlineLvl w:val="3"/>
    </w:pPr>
    <w:rPr>
      <w:rFonts w:asciiTheme="majorHAnsi" w:eastAsia="MS PGothic" w:hAnsiTheme="majorHAnsi" w:cstheme="majorBidi"/>
      <w:b/>
      <w:bCs/>
      <w:sz w:val="24"/>
      <w:szCs w:val="28"/>
    </w:rPr>
  </w:style>
  <w:style w:type="paragraph" w:styleId="5">
    <w:name w:val="heading 5"/>
    <w:basedOn w:val="a"/>
    <w:next w:val="a"/>
    <w:link w:val="50"/>
    <w:uiPriority w:val="9"/>
    <w:unhideWhenUsed/>
    <w:qFormat/>
    <w:rsid w:val="00924834"/>
    <w:pPr>
      <w:keepNext/>
      <w:keepLines/>
      <w:spacing w:before="200" w:after="140" w:line="300" w:lineRule="auto"/>
      <w:ind w:firstLine="0"/>
      <w:jc w:val="left"/>
      <w:outlineLvl w:val="4"/>
    </w:pPr>
    <w:rPr>
      <w:b/>
      <w:bCs/>
      <w:sz w:val="22"/>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F07BF"/>
    <w:rPr>
      <w:b/>
      <w:bCs/>
      <w:kern w:val="44"/>
      <w:sz w:val="44"/>
      <w:szCs w:val="44"/>
    </w:rPr>
  </w:style>
  <w:style w:type="character" w:customStyle="1" w:styleId="20">
    <w:name w:val="标题 2 字符"/>
    <w:basedOn w:val="a0"/>
    <w:link w:val="2"/>
    <w:uiPriority w:val="9"/>
    <w:rsid w:val="00E123CD"/>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123CD"/>
    <w:rPr>
      <w:b/>
      <w:bCs/>
      <w:sz w:val="32"/>
      <w:szCs w:val="32"/>
    </w:rPr>
  </w:style>
  <w:style w:type="character" w:customStyle="1" w:styleId="40">
    <w:name w:val="标题 4 字符"/>
    <w:basedOn w:val="a0"/>
    <w:link w:val="4"/>
    <w:uiPriority w:val="9"/>
    <w:rsid w:val="00E33154"/>
    <w:rPr>
      <w:rFonts w:asciiTheme="majorHAnsi" w:eastAsia="MS PGothic" w:hAnsiTheme="majorHAnsi" w:cstheme="majorBidi"/>
      <w:b/>
      <w:bCs/>
      <w:i/>
      <w:color w:val="EE0000"/>
      <w:sz w:val="30"/>
      <w:szCs w:val="28"/>
    </w:rPr>
  </w:style>
  <w:style w:type="table" w:styleId="a3">
    <w:name w:val="Table Grid"/>
    <w:basedOn w:val="a1"/>
    <w:uiPriority w:val="39"/>
    <w:rsid w:val="00365C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3B38E9"/>
  </w:style>
  <w:style w:type="paragraph" w:styleId="TOC2">
    <w:name w:val="toc 2"/>
    <w:basedOn w:val="a"/>
    <w:next w:val="a"/>
    <w:autoRedefine/>
    <w:uiPriority w:val="39"/>
    <w:unhideWhenUsed/>
    <w:rsid w:val="00614268"/>
    <w:pPr>
      <w:ind w:leftChars="200" w:left="420"/>
    </w:pPr>
  </w:style>
  <w:style w:type="paragraph" w:styleId="TOC3">
    <w:name w:val="toc 3"/>
    <w:basedOn w:val="a"/>
    <w:next w:val="a"/>
    <w:autoRedefine/>
    <w:uiPriority w:val="39"/>
    <w:unhideWhenUsed/>
    <w:rsid w:val="003B38E9"/>
    <w:pPr>
      <w:ind w:leftChars="400" w:left="840"/>
    </w:pPr>
  </w:style>
  <w:style w:type="character" w:styleId="a4">
    <w:name w:val="Hyperlink"/>
    <w:basedOn w:val="a0"/>
    <w:uiPriority w:val="99"/>
    <w:unhideWhenUsed/>
    <w:rsid w:val="003B38E9"/>
    <w:rPr>
      <w:color w:val="0563C1" w:themeColor="hyperlink"/>
      <w:u w:val="single"/>
    </w:rPr>
  </w:style>
  <w:style w:type="paragraph" w:styleId="a5">
    <w:name w:val="header"/>
    <w:basedOn w:val="a"/>
    <w:link w:val="a6"/>
    <w:uiPriority w:val="99"/>
    <w:unhideWhenUsed/>
    <w:rsid w:val="001952CC"/>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1952CC"/>
    <w:rPr>
      <w:sz w:val="18"/>
      <w:szCs w:val="18"/>
    </w:rPr>
  </w:style>
  <w:style w:type="paragraph" w:styleId="a7">
    <w:name w:val="footer"/>
    <w:basedOn w:val="a"/>
    <w:link w:val="a8"/>
    <w:uiPriority w:val="99"/>
    <w:unhideWhenUsed/>
    <w:rsid w:val="001952CC"/>
    <w:pPr>
      <w:tabs>
        <w:tab w:val="center" w:pos="4153"/>
        <w:tab w:val="right" w:pos="8306"/>
      </w:tabs>
      <w:snapToGrid w:val="0"/>
      <w:jc w:val="left"/>
    </w:pPr>
    <w:rPr>
      <w:sz w:val="18"/>
      <w:szCs w:val="18"/>
    </w:rPr>
  </w:style>
  <w:style w:type="character" w:customStyle="1" w:styleId="a8">
    <w:name w:val="页脚 字符"/>
    <w:basedOn w:val="a0"/>
    <w:link w:val="a7"/>
    <w:uiPriority w:val="99"/>
    <w:rsid w:val="001952CC"/>
    <w:rPr>
      <w:sz w:val="18"/>
      <w:szCs w:val="18"/>
    </w:rPr>
  </w:style>
  <w:style w:type="paragraph" w:customStyle="1" w:styleId="a9">
    <w:name w:val="图"/>
    <w:link w:val="Char"/>
    <w:qFormat/>
    <w:rsid w:val="00F71E1C"/>
    <w:pPr>
      <w:keepNext/>
      <w:jc w:val="center"/>
    </w:pPr>
  </w:style>
  <w:style w:type="paragraph" w:customStyle="1" w:styleId="aa">
    <w:name w:val="表"/>
    <w:next w:val="a"/>
    <w:link w:val="Char0"/>
    <w:qFormat/>
    <w:rsid w:val="00F71E1C"/>
  </w:style>
  <w:style w:type="character" w:customStyle="1" w:styleId="Char">
    <w:name w:val="图 Char"/>
    <w:basedOn w:val="a0"/>
    <w:link w:val="a9"/>
    <w:rsid w:val="00F71E1C"/>
  </w:style>
  <w:style w:type="paragraph" w:customStyle="1" w:styleId="ab">
    <w:name w:val="图名"/>
    <w:basedOn w:val="ac"/>
    <w:next w:val="a"/>
    <w:link w:val="Char1"/>
    <w:qFormat/>
    <w:rsid w:val="001D6E13"/>
    <w:pPr>
      <w:jc w:val="center"/>
    </w:pPr>
  </w:style>
  <w:style w:type="character" w:customStyle="1" w:styleId="Char0">
    <w:name w:val="表 Char"/>
    <w:basedOn w:val="Char"/>
    <w:link w:val="aa"/>
    <w:rsid w:val="00F71E1C"/>
  </w:style>
  <w:style w:type="paragraph" w:customStyle="1" w:styleId="ad">
    <w:name w:val="表名"/>
    <w:next w:val="aa"/>
    <w:link w:val="Char2"/>
    <w:qFormat/>
    <w:rsid w:val="00066C01"/>
    <w:pPr>
      <w:keepNext/>
      <w:jc w:val="center"/>
    </w:pPr>
    <w:rPr>
      <w:rFonts w:asciiTheme="majorHAnsi" w:eastAsia="黑体" w:hAnsiTheme="majorHAnsi" w:cstheme="majorBidi"/>
      <w:sz w:val="20"/>
      <w:szCs w:val="20"/>
    </w:rPr>
  </w:style>
  <w:style w:type="character" w:customStyle="1" w:styleId="Char1">
    <w:name w:val="图名 Char"/>
    <w:basedOn w:val="Char0"/>
    <w:link w:val="ab"/>
    <w:rsid w:val="001D6E13"/>
    <w:rPr>
      <w:rFonts w:asciiTheme="majorHAnsi" w:eastAsia="黑体" w:hAnsiTheme="majorHAnsi" w:cstheme="majorBidi"/>
      <w:sz w:val="20"/>
      <w:szCs w:val="20"/>
    </w:rPr>
  </w:style>
  <w:style w:type="paragraph" w:customStyle="1" w:styleId="ae">
    <w:name w:val="公式"/>
    <w:next w:val="af"/>
    <w:link w:val="Char3"/>
    <w:qFormat/>
    <w:rsid w:val="002A54E4"/>
    <w:pPr>
      <w:tabs>
        <w:tab w:val="center" w:pos="4253"/>
        <w:tab w:val="right" w:pos="8222"/>
      </w:tabs>
    </w:pPr>
    <w:rPr>
      <w:rFonts w:ascii="Cambria Math" w:eastAsia="Cambria Math" w:hAnsi="Cambria Math"/>
    </w:rPr>
  </w:style>
  <w:style w:type="character" w:customStyle="1" w:styleId="Char2">
    <w:name w:val="表名 Char"/>
    <w:basedOn w:val="Char1"/>
    <w:link w:val="ad"/>
    <w:rsid w:val="00066C01"/>
    <w:rPr>
      <w:rFonts w:asciiTheme="majorHAnsi" w:eastAsia="黑体" w:hAnsiTheme="majorHAnsi" w:cstheme="majorBidi"/>
      <w:sz w:val="20"/>
      <w:szCs w:val="20"/>
    </w:rPr>
  </w:style>
  <w:style w:type="paragraph" w:customStyle="1" w:styleId="af">
    <w:name w:val="公式名"/>
    <w:link w:val="Char4"/>
    <w:qFormat/>
    <w:rsid w:val="00A139A6"/>
    <w:rPr>
      <w:rFonts w:ascii="Cambria Math" w:eastAsia="Cambria Math" w:hAnsi="Cambria Math"/>
    </w:rPr>
  </w:style>
  <w:style w:type="character" w:customStyle="1" w:styleId="Char3">
    <w:name w:val="公式 Char"/>
    <w:basedOn w:val="Char2"/>
    <w:link w:val="ae"/>
    <w:rsid w:val="002A54E4"/>
    <w:rPr>
      <w:rFonts w:ascii="Cambria Math" w:eastAsia="Cambria Math" w:hAnsi="Cambria Math" w:cstheme="majorBidi"/>
      <w:sz w:val="20"/>
      <w:szCs w:val="20"/>
    </w:rPr>
  </w:style>
  <w:style w:type="paragraph" w:styleId="ac">
    <w:name w:val="caption"/>
    <w:basedOn w:val="a"/>
    <w:next w:val="a"/>
    <w:uiPriority w:val="35"/>
    <w:unhideWhenUsed/>
    <w:qFormat/>
    <w:rsid w:val="001D6E13"/>
    <w:rPr>
      <w:rFonts w:asciiTheme="majorHAnsi" w:eastAsia="黑体" w:hAnsiTheme="majorHAnsi" w:cstheme="majorBidi"/>
      <w:sz w:val="20"/>
      <w:szCs w:val="20"/>
    </w:rPr>
  </w:style>
  <w:style w:type="character" w:customStyle="1" w:styleId="Char4">
    <w:name w:val="公式名 Char"/>
    <w:basedOn w:val="Char3"/>
    <w:link w:val="af"/>
    <w:rsid w:val="00A139A6"/>
    <w:rPr>
      <w:rFonts w:ascii="Cambria Math" w:eastAsia="Cambria Math" w:hAnsi="Cambria Math" w:cstheme="majorBidi"/>
      <w:i/>
      <w:sz w:val="20"/>
      <w:szCs w:val="20"/>
    </w:rPr>
  </w:style>
  <w:style w:type="character" w:styleId="af0">
    <w:name w:val="Placeholder Text"/>
    <w:basedOn w:val="a0"/>
    <w:uiPriority w:val="99"/>
    <w:semiHidden/>
    <w:rsid w:val="00753452"/>
    <w:rPr>
      <w:color w:val="808080"/>
    </w:rPr>
  </w:style>
  <w:style w:type="character" w:styleId="af1">
    <w:name w:val="Unresolved Mention"/>
    <w:basedOn w:val="a0"/>
    <w:uiPriority w:val="99"/>
    <w:semiHidden/>
    <w:unhideWhenUsed/>
    <w:rsid w:val="00645B1A"/>
    <w:rPr>
      <w:color w:val="605E5C"/>
      <w:shd w:val="clear" w:color="auto" w:fill="E1DFDD"/>
    </w:rPr>
  </w:style>
  <w:style w:type="paragraph" w:styleId="af2">
    <w:name w:val="List Paragraph"/>
    <w:basedOn w:val="a"/>
    <w:uiPriority w:val="34"/>
    <w:qFormat/>
    <w:rsid w:val="00F07E79"/>
    <w:pPr>
      <w:ind w:firstLineChars="200"/>
    </w:pPr>
  </w:style>
  <w:style w:type="character" w:customStyle="1" w:styleId="50">
    <w:name w:val="标题 5 字符"/>
    <w:basedOn w:val="a0"/>
    <w:link w:val="5"/>
    <w:uiPriority w:val="9"/>
    <w:rsid w:val="00924834"/>
    <w:rPr>
      <w:b/>
      <w:bCs/>
      <w:szCs w:val="28"/>
    </w:rPr>
  </w:style>
  <w:style w:type="paragraph" w:styleId="af3">
    <w:name w:val="Normal (Web)"/>
    <w:basedOn w:val="a"/>
    <w:uiPriority w:val="99"/>
    <w:unhideWhenUsed/>
    <w:rsid w:val="004E3D08"/>
    <w:pPr>
      <w:widowControl/>
      <w:spacing w:before="100" w:beforeAutospacing="1" w:after="100" w:afterAutospacing="1"/>
      <w:jc w:val="left"/>
    </w:pPr>
    <w:rPr>
      <w:rFonts w:ascii="宋体" w:eastAsia="宋体" w:hAnsi="宋体" w:cs="宋体"/>
      <w:kern w:val="0"/>
      <w:sz w:val="24"/>
      <w:szCs w:val="24"/>
    </w:rPr>
  </w:style>
  <w:style w:type="character" w:styleId="af4">
    <w:name w:val="Strong"/>
    <w:basedOn w:val="a0"/>
    <w:uiPriority w:val="22"/>
    <w:qFormat/>
    <w:rsid w:val="0000535E"/>
    <w:rPr>
      <w:b/>
      <w:bCs/>
    </w:rPr>
  </w:style>
  <w:style w:type="paragraph" w:styleId="HTML">
    <w:name w:val="HTML Preformatted"/>
    <w:basedOn w:val="a"/>
    <w:link w:val="HTML0"/>
    <w:uiPriority w:val="99"/>
    <w:semiHidden/>
    <w:unhideWhenUsed/>
    <w:rsid w:val="000053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0535E"/>
    <w:rPr>
      <w:rFonts w:ascii="宋体" w:eastAsia="宋体" w:hAnsi="宋体" w:cs="宋体"/>
      <w:kern w:val="0"/>
      <w:sz w:val="24"/>
      <w:szCs w:val="24"/>
    </w:rPr>
  </w:style>
  <w:style w:type="character" w:styleId="HTML1">
    <w:name w:val="HTML Code"/>
    <w:basedOn w:val="a0"/>
    <w:uiPriority w:val="99"/>
    <w:semiHidden/>
    <w:unhideWhenUsed/>
    <w:rsid w:val="0000535E"/>
    <w:rPr>
      <w:rFonts w:ascii="宋体" w:eastAsia="宋体" w:hAnsi="宋体" w:cs="宋体"/>
      <w:sz w:val="24"/>
      <w:szCs w:val="24"/>
    </w:rPr>
  </w:style>
  <w:style w:type="paragraph" w:customStyle="1" w:styleId="MDConverterBibliography">
    <w:name w:val="MDConverterBibliography"/>
    <w:basedOn w:val="11"/>
    <w:qFormat/>
  </w:style>
  <w:style w:type="character" w:customStyle="1" w:styleId="MDCITEeJyLdigpyi8pMTIwNCjLzEuMBQAwbgWn">
    <w:name w:val="MDCITE_eJyLdigpyi8pMTIwNCjLzEuMBQAwbgWn"/>
    <w:basedOn w:val="BodyTextChar"/>
  </w:style>
  <w:style w:type="character" w:customStyle="1" w:styleId="MDCITEeJyLdiguSc3MS01PTy0yMjA0z80tTi0sNooFAG7cCLg">
    <w:name w:val="MDCITE_eJyLdiguSc3MS01PTy0yMjA0z80tTi0sNooFAG7cCLg"/>
    <w:basedOn w:val="BodyTextChar"/>
  </w:style>
  <w:style w:type="character" w:customStyle="1" w:styleId="MDCITEeJyLdigvL0hJMjIwMknNTUmKBQAvPwV9">
    <w:name w:val="MDCITE_eJyLdigvL0hJMjIwMknNTUmKBQAvPwV9"/>
    <w:basedOn w:val="BodyTextChar"/>
  </w:style>
  <w:style w:type="character" w:customStyle="1" w:styleId="MDCITEeJyLdigvNTIwMikoKTOOBQAdWAQ6">
    <w:name w:val="MDCITE_eJyLdigvNTIwMikoKTOOBQAdWAQ6"/>
    <w:basedOn w:val="BodyTextChar"/>
  </w:style>
  <w:style w:type="character" w:customStyle="1" w:styleId="MDCITEeJyLdihILMo2MjAySkssLinIz8wrKSlKzCtOyyKTS2KBQC1agv4">
    <w:name w:val="MDCITE_eJyLdihILMo2MjAySkssLinIz8wrKSlKzCtOyy_KTS2KBQC1agv4"/>
    <w:basedOn w:val="BodyTextChar"/>
  </w:style>
  <w:style w:type="character" w:customStyle="1" w:styleId="MDCITEeJyLdihILSlJLSpOzTMyMDBJzsjMTS1KjAUAZfYIcg">
    <w:name w:val="MDCITE_eJyLdihILSlJLSpOzTMyMDBJzsjMTS1KjAUAZfYIcg"/>
    <w:basedOn w:val="BodyTextChar"/>
  </w:style>
  <w:style w:type="character" w:customStyle="1" w:styleId="MDCITEeJyLdihILUqtMjIwtEjLzMmNBQAvOgWS">
    <w:name w:val="MDCITE_eJyLdihILUqtMjIwtEjLzMmNBQAvOgWS"/>
    <w:basedOn w:val="BodyTextChar"/>
  </w:style>
  <w:style w:type="character" w:customStyle="1" w:styleId="MDCITEeJyLdihLLC5PzMs0MjA0TywpSc0ryczPiwUAZH0Ikg">
    <w:name w:val="MDCITE_eJyLdihLLC5PzMs0MjA0TywpSc0ryczPiwUAZH0Ikg"/>
    <w:basedOn w:val="BodyTextChar"/>
  </w:style>
  <w:style w:type="character" w:customStyle="1" w:styleId="MDCITEeJyLdihPzczLzEtPLTK0tLAozs3MSS2OBQBdrwgo">
    <w:name w:val="MDCITE_eJyLdihPzczLzEtPLTK0tLAozs3MSS2OBQBdrwgo"/>
    <w:basedOn w:val="BodyTextChar"/>
  </w:style>
  <w:style w:type="character" w:customStyle="1" w:styleId="MDCITEeJyLdijIT85OLanIzc-JBQAjrgU">
    <w:name w:val="MDCITE_eJyLdijIT85OLanIzc-JBQAjrgU_"/>
    <w:basedOn w:val="BodyTextChar"/>
  </w:style>
  <w:style w:type="character" w:customStyle="1" w:styleId="MDCITEeJyLdijNTSwwyslMjwUAGFAEGg">
    <w:name w:val="MDCITE_eJyLdijNTSwwyslMjwUAGFAEGg"/>
    <w:basedOn w:val="BodyTextChar"/>
  </w:style>
  <w:style w:type="character" w:customStyle="1" w:styleId="MDCITEeJyLdijOTyxKLTYyMDItzs0sSU2JBQBDqwbV">
    <w:name w:val="MDCITE_eJyLdijOTyxKLTYyMDItzs0sSU2JBQBDqwbV"/>
    <w:basedOn w:val="BodyTextChar"/>
  </w:style>
  <w:style w:type="character" w:customStyle="1" w:styleId="MDCITEeJyLdkguqsxPLMnPNYo3MjAyjQUAOC8FwQ">
    <w:name w:val="MDCITE_eJyLdkguqsxPLMnPNYo3MjAyjQUAOC8FwQ"/>
    <w:basedOn w:val="BodyTextChar"/>
  </w:style>
  <w:style w:type="character" w:customStyle="1" w:styleId="MDCITEeJyLdkhKLcpNzDMyMDAoSEmKBQAuqQVm">
    <w:name w:val="MDCITE_eJyLdkhKLcpNzDMyMDAoSEmKBQAuqQVm"/>
    <w:basedOn w:val="BodyTextChar"/>
  </w:style>
  <w:style w:type="character" w:customStyle="1" w:styleId="MDCITEeJyLdkhMKkrMLc7PMzIwMknMKchITMvPSTGOBQB0aQjy">
    <w:name w:val="MDCITE_eJyLdkhMKkrMLc7PMzIwMknMKchITMvPSTGOBQB0aQjy"/>
    <w:basedOn w:val="BodyTextChar"/>
  </w:style>
  <w:style w:type="character" w:customStyle="1" w:styleId="MDCITEeJyLdkhOzMlJLE-sNDIwMihKLcvPKS3JzM-zVnBISsw0MjA0TS6qzI8FABWBDa4">
    <w:name w:val="MDCITE_eJyLdkhOzMlJLE-sNDIwMihKLcvPKS3JzM-zVnBISsw0MjA0TS6qzI8FABWBDa4"/>
    <w:basedOn w:val="BodyTextChar"/>
  </w:style>
  <w:style w:type="character" w:customStyle="1" w:styleId="MDCITEeJyLdkjNLSjKLzEyMDKJBQAgmwRY">
    <w:name w:val="MDCITE_eJyLdkjNLSjKLzEyMDKJBQAgmwRY"/>
    <w:basedOn w:val="BodyTextChar"/>
  </w:style>
  <w:style w:type="character" w:customStyle="1" w:styleId="MDCITEeJyLdkjNTS1KzEmJz0yJBQAiYQT">
    <w:name w:val="MDCITE_eJyLdkjNTS1KzEmJz0yJBQAiYQT_"/>
    <w:basedOn w:val="BodyTextChar"/>
  </w:style>
  <w:style w:type="character" w:customStyle="1" w:styleId="MDCITEeJyLdkjOLyrONzIwMk7JTEtLyUOjgUASSgHIA">
    <w:name w:val="MDCITE_eJyLdkjOLyrONzIwMk7JTEtLyU_OjgUASSgHIA"/>
    <w:basedOn w:val="BodyTextChar"/>
  </w:style>
  <w:style w:type="character" w:customStyle="1" w:styleId="MDCITEeJyLdkjOSM1LNzIwtEguqsyPBQAt9AWG">
    <w:name w:val="MDCITE_eJyLdkjOSM1LNzIwtEguqsyPBQAt9AWG"/>
    <w:basedOn w:val="BodyTextChar"/>
  </w:style>
  <w:style w:type="character" w:customStyle="1" w:styleId="MDCITEeJyLdkjOTE7NNjIwNDNOKc1LLYkFADgBhQ">
    <w:name w:val="MDCITE_eJyLdkjOTE7NNjIwNDNOKc1LLYkFADg_BhQ"/>
    <w:basedOn w:val="BodyTextChar"/>
  </w:style>
  <w:style w:type="character" w:customStyle="1" w:styleId="MDCITEeJyLdsgsTs0rTk01MjAyzMsrzUstiQUASzkHQg">
    <w:name w:val="MDCITE_eJyLdsgsTs0rTk01MjAyzMsrzUstiQUASzkHQg"/>
    <w:basedOn w:val="BodyTextChar"/>
  </w:style>
  <w:style w:type="character" w:customStyle="1" w:styleId="MDCITEeJyLdsgtTc3LLjYyMDJOzU0tSsxJiQUASqEHLQ">
    <w:name w:val="MDCITE_eJyLdsgtTc3LLjYyMDJOzU0tSsxJiQUASqEHLQ"/>
    <w:basedOn w:val="BodyTextChar"/>
  </w:style>
  <w:style w:type="character" w:customStyle="1" w:styleId="MDCITEeJyLdsgtTc3LLjYyMDJOzU0tSsxJsVZwKMpPSi0qKc7PAwobpKfmFhfklwCFi8tTUNSK4GCJskZQNW5sQDGEBY7">
    <w:name w:val="MDCITE_eJyLdsgtTc3LLjYyMDJOzU0tSsxJsVZwKMpPSi0qKc7PAwobpKfmFhfklwCFi8tTU_NSK4GCJskZQNW5sQDGEBY7"/>
    <w:basedOn w:val="BodyTextChar"/>
  </w:style>
  <w:style w:type="character" w:customStyle="1" w:styleId="MDCITEeJyLdsguzcgztDQ1zSjNS08sykzMiwUASXEHQA">
    <w:name w:val="MDCITE_eJyLdsguzcgztDQ1zSjNS08sykzMiwUASXEHQA"/>
    <w:basedOn w:val="BodyTextChar"/>
  </w:style>
  <w:style w:type="character" w:customStyle="1" w:styleId="MDCITEeJyLdshKzE3MyTQyMDLJzU9JzUnMS0NyY8FAGkQCLY">
    <w:name w:val="MDCITE_eJyLdshKzE3MyTQyMDLJzU9JzUnMS0_NyY8FAGkQCLY"/>
    <w:basedOn w:val="BodyTextChar"/>
  </w:style>
  <w:style w:type="character" w:customStyle="1" w:styleId="MDCITEeJyLdsjJzDMyMDRPy09OzIkFACcmBQs">
    <w:name w:val="MDCITE_eJyLdsjJzDMyMDRPy09OzIkFACcmBQs"/>
    <w:basedOn w:val="BodyTextChar"/>
  </w:style>
  <w:style w:type="character" w:customStyle="1" w:styleId="MDCITEeJyLdsjNzMlJLUksyjQyMDQry0stiQUATPQHQg">
    <w:name w:val="MDCITE_eJyLdsjNzMlJLUksyjQyMDQry0stiQUATPQHQg"/>
    <w:basedOn w:val="BodyTextChar"/>
  </w:style>
  <w:style w:type="character" w:customStyle="1" w:styleId="MDFIGREFeJyrrk7LTC9KTbMCUrq5qSUZ-Sm6ZZa1tQB3UAle">
    <w:name w:val="MDFIGREF_eJyrrk7LTC9KTbMCUrq5qSUZ-Sm6ZZa1tQB3UAle"/>
    <w:basedOn w:val="BodyTextChar"/>
  </w:style>
  <w:style w:type="character" w:customStyle="1" w:styleId="MDFIGREFeJyrrk7LTC9KTbMCUrq5qSUZ-Sm6ZZY1ibW1AIsrCjs">
    <w:name w:val="MDFIGREF_eJyrrk7LTC9KTbMCUrq5qSUZ-Sm6ZZY1ibW1AIsrCjs"/>
    <w:basedOn w:val="BodyTextChar"/>
  </w:style>
  <w:style w:type="character" w:customStyle="1" w:styleId="MDFIGREFeJyrrk7LTC9KTbMCUrq5qSUZ-Sm6ZZY1SbW1AIsuCjw">
    <w:name w:val="MDFIGREF_eJyrrk7LTC9KTbMCUrq5qSUZ-Sm6ZZY1SbW1AIsuCjw"/>
    <w:basedOn w:val="BodyTextChar"/>
  </w:style>
  <w:style w:type="character" w:customStyle="1" w:styleId="MDFIGREFeJyrrk7LTC9KTbMCUrq5qSUZ-Sm6ZZY1ybW1AIsxCj0">
    <w:name w:val="MDFIGREF_eJyrrk7LTC9KTbMCUrq5qSUZ-Sm6ZZY1ybW1AIsxCj0"/>
    <w:basedOn w:val="BodyTextChar"/>
  </w:style>
  <w:style w:type="character" w:customStyle="1" w:styleId="MDFIGREFeJyrrk7LTC9KTbMCUrr5ZalFZZmp5fFlxjogfm5qSUZ-im6ZZW0tAEHND2w">
    <w:name w:val="MDFIGREF_eJyrrk7LTC9KTbMCUrr5ZalFZZmp5fFlxjogfm5qSUZ-im6ZZW0tAEHND2w"/>
    <w:basedOn w:val="BodyTextChar"/>
  </w:style>
  <w:style w:type="character" w:customStyle="1" w:styleId="MDFIGREFeJyrrk7LTC9KTbMqLi0o0E01StVNzs8tyEktyczP003MyamtBQDpjA1c">
    <w:name w:val="MDFIGREF_eJyrrk7LTC9KTbMqLi0o0E01StVNzs8tyEktyczP003MyamtBQDpjA1c"/>
    <w:basedOn w:val="BodyTextChar"/>
  </w:style>
  <w:style w:type="character" w:customStyle="1" w:styleId="MDFIGREFeJyrrk7LTC9KTbMqLi0o0E01StVNzs8tyEktyczP0y3OTczJqa0FAAWgDjw">
    <w:name w:val="MDFIGREF_eJyrrk7LTC9KTbMqLi0o0E01StVNzs8tyEktyczP0y3OTczJqa0FAAWgDjw"/>
    <w:basedOn w:val="BodyTextChar"/>
  </w:style>
  <w:style w:type="character" w:customStyle="1" w:styleId="MDFIGREFeJyrrk7LTC9KTbMqLklMTzXSLS4pys9LTy0u0S1IzCyqSdRJqq0FAAjSDj4">
    <w:name w:val="MDFIGREF_eJyrrk7LTC9KTbMqLklMTzXSLS4pys9LTy0u0S1IzCyqSdRJqq0FAAjSDj4"/>
    <w:basedOn w:val="BodyTextChar"/>
  </w:style>
  <w:style w:type="character" w:customStyle="1" w:styleId="MDFIGREFeJyrrk7LTC9KTbMqLklMTzXSLUpMSSzSLUjMLKpJqq0FALbBC9I">
    <w:name w:val="MDFIGREF_eJyrrk7LTC9KTbMqLklMTzXSLUpMSSzSLUjMLKpJqq0FALbBC9I"/>
    <w:basedOn w:val="BodyTextChar"/>
  </w:style>
  <w:style w:type="character" w:customStyle="1" w:styleId="MDFIGREFeJyrrk7LTC9KTbMqLklMTzXSLUpMSSzSLUjMLKpJrK0FALa-C9E">
    <w:name w:val="MDFIGREF_eJyrrk7LTC9KTbMqLklMTzXSLUpMSSzSLUjMLKpJrK0FALa-C9E"/>
    <w:basedOn w:val="BodyTextChar"/>
  </w:style>
  <w:style w:type="character" w:customStyle="1" w:styleId="MDFIGREFeJyrrk7LTC9KTbMqLklMTzXUzS9LLUrMydEtSC1KyyKTcxLTq1J0kmtrQUAUEQMw">
    <w:name w:val="MDFIGREF_eJyrrk7LTC9KTbMqLklMTzXUzS9LLUrMydEtSC1Kyy_KTcxLTq1J0kmtrQUAU_EQMw"/>
    <w:basedOn w:val="BodyTextChar"/>
  </w:style>
  <w:style w:type="character" w:customStyle="1" w:styleId="MDFIGREFeJyrrk7LTC9KTbMqLklMTzXUzS9LLUrMydEtSC1KyyKTcxLTq1J1EmqrQUAU-MQLw">
    <w:name w:val="MDFIGREF_eJyrrk7LTC9KTbMqLklMTzXUzS9LLUrMydEtSC1Kyy_KTcxLTq1J1EmqrQUAU-MQLw"/>
    <w:basedOn w:val="BodyTextChar"/>
  </w:style>
  <w:style w:type="character" w:customStyle="1" w:styleId="MDFIGREFeJyrrk7LTC9KTbMqLklMTzXUzS9LLUrMydEtSC1KyyKTcxLTq1Jq60FADTOD6Y">
    <w:name w:val="MDFIGREF_eJyrrk7LTC9KTbMqLklMTzXUzS9LLUrMydEtSC1Kyy_KTcxLTq1Jq60FADTOD6Y"/>
    <w:basedOn w:val="BodyTextChar"/>
  </w:style>
  <w:style w:type="character" w:customStyle="1" w:styleId="MDFIGREFeJyrrk7LTC9KTbMqLklMTzXUzS9LLUrMydEtSC1KyyKTcxLTq1Jqa0FADTID6Q">
    <w:name w:val="MDFIGREF_eJyrrk7LTC9KTbMqLklMTzXUzS9LLUrMydEtSC1Kyy_KTcxLTq1Jqa0FADTID6Q"/>
    <w:basedOn w:val="BodyTextChar"/>
  </w:style>
  <w:style w:type="character" w:customStyle="1" w:styleId="MDFIGREFeJyrrk7LTC9KTbMqLklMTzXUzS9LLUrMydEtSC1KyyKTcxLTq1JrK0FADSD6E">
    <w:name w:val="MDFIGREF_eJyrrk7LTC9KTbMqLklMTzXUzS9LLUrMydEtSC1Kyy_KTcxLTq1JrK0FADS_D6E"/>
    <w:basedOn w:val="BodyTextChar"/>
  </w:style>
  <w:style w:type="character" w:customStyle="1" w:styleId="MDFIGREFeJyrrk7LTC9KTbMqLklMTzXUzS9LLUrMydEtSC1KyyKTcxLTq1Jrq0FADTFD6M">
    <w:name w:val="MDFIGREF_eJyrrk7LTC9KTbMqLklMTzXUzS9LLUrMydEtSC1Kyy_KTcxLTq1Jrq0FADTFD6M"/>
    <w:basedOn w:val="BodyTextChar"/>
  </w:style>
  <w:style w:type="character" w:customStyle="1" w:styleId="MDFIGREFeJyrrk7LTC9KTbMqLklMTzXWLShKTclMLklN0S1KTcMz9PNSE1M0S3JB9O1tQC1BBIF">
    <w:name w:val="MDFIGREF_eJyrrk7LTC9KTbMqLklMTzXWLShKTclMLklN0S1KTc_Mz9PNSE1M0S3JB9O1tQC1BBIF"/>
    <w:basedOn w:val="BodyTextChar"/>
  </w:style>
  <w:style w:type="character" w:customStyle="1" w:styleId="MDFIGREFeJyrrk7LTC9KTbMqLklMTzXWTU4sTi3WzU3MzKtJedQwOa22FgDtcQ4u">
    <w:name w:val="MDFIGREF_eJyrrk7LTC9KTbMqLklMTzXWTU4sTi3WzU3MzKtJedQwOa22FgDtcQ4u"/>
    <w:basedOn w:val="BodyTextChar"/>
  </w:style>
  <w:style w:type="character" w:customStyle="1" w:styleId="MDFIGREFeJyrrk7LTC9KTbMqLklMTzXWTU4sTi3WzU3MzKtJfNQwObm2FgDtUw4o">
    <w:name w:val="MDFIGREF_eJyrrk7LTC9KTbMqLklMTzXWTU4sTi3WzU3MzKtJfNQwObm2FgDtUw4o"/>
    <w:basedOn w:val="BodyTextChar"/>
  </w:style>
  <w:style w:type="character" w:customStyle="1" w:styleId="MDFIGREFeJyrrk7LTC9KTbMqLklMTzXWTU4sTi3WzU3MzKutBQCftQrz">
    <w:name w:val="MDFIGREF_eJyrrk7LTC9KTbMqLklMTzXWTU4sTi3WzU3MzKutBQCftQrz"/>
    <w:basedOn w:val="BodyTextChar"/>
  </w:style>
  <w:style w:type="character" w:customStyle="1" w:styleId="MDFIGREFeJyrrk7LTC9KTbMqLklMTzXWzU9Ly0zOTMzRLSnNS02prQUAz88MnA">
    <w:name w:val="MDFIGREF_eJyrrk7LTC9KTbMqLklMTzXWzU9Ly0zOTMzRLSnNS02prQUAz88MnA"/>
    <w:basedOn w:val="BodyTextChar"/>
  </w:style>
  <w:style w:type="character" w:customStyle="1" w:styleId="MDFIGREFeJyrrk7LTC9KTbNKNUrVTcvJL9c1NkhPrK0FAHHACNc">
    <w:name w:val="MDFIGREF_eJyrrk7LTC9KTbNKNUrVTcvJL9c1NkhPrK0FAHHACNc"/>
    <w:basedOn w:val="BodyTextChar"/>
  </w:style>
  <w:style w:type="character" w:customStyle="1" w:styleId="MDFIGREFeJyrrk7LTC9KTbNKNUrVTcvJL9e1zMlJ14HzjA3SE2trAQ6KDYk">
    <w:name w:val="MDFIGREF_eJyrrk7LTC9KTbNKNUrVTcvJL9e1zMlJ14HzjA3SE2trAQ6KDYk"/>
    <w:basedOn w:val="BodyTextChar"/>
  </w:style>
  <w:style w:type="character" w:customStyle="1" w:styleId="MDFIGREFeJyrrk7LTC9KTbNKNUrVTcvJL9e1zMlJr60FAHM2CSQ">
    <w:name w:val="MDFIGREF_eJyrrk7LTC9KTbNKNUrVTcvJL9e1zMlJr60FAHM2CSQ"/>
    <w:basedOn w:val="BodyTextChar"/>
  </w:style>
  <w:style w:type="character" w:customStyle="1" w:styleId="MDFIGREFeJyrrk7LTC9KTbNKNUrVTcvMS9FNKs3MSdFNySxKTS7RTc7PLUgsyizOz6utBQBnQxC1">
    <w:name w:val="MDFIGREF_eJyrrk7LTC9KTbNKNUrVTcvMS9FNKs3MSdFNySxKTS7RTc7PLUgsyizOz6utBQBnQxC1"/>
    <w:basedOn w:val="BodyTextChar"/>
  </w:style>
  <w:style w:type="character" w:customStyle="1" w:styleId="MDFIGREFeJyrrk7LTC9KTbNKNUrVTUxOziNK8nMS9ctKs1JLdZNKUpMK6mtBQAQ2w6I">
    <w:name w:val="MDFIGREF_eJyrrk7LTC9KTbNKNUrVTUxOzi_NK8nMS9ctKs1JLdZNKUpMK6mtBQAQ2w6I"/>
    <w:basedOn w:val="BodyTextChar"/>
  </w:style>
  <w:style w:type="paragraph" w:customStyle="1" w:styleId="SourceCode">
    <w:name w:val="Source Code"/>
    <w:link w:val="VerbatimChar"/>
    <w:pPr>
      <w:wordWrap w:val="0"/>
    </w:pPr>
  </w:style>
  <w:style w:type="character" w:customStyle="1" w:styleId="KeywordTok">
    <w:name w:val="KeywordTok"/>
    <w:basedOn w:val="VerbatimChar"/>
    <w:rPr>
      <w:rFonts w:ascii="Courier New" w:hAnsi="Courier New"/>
      <w:b/>
      <w:color w:val="007020"/>
    </w:rPr>
  </w:style>
  <w:style w:type="character" w:customStyle="1" w:styleId="DataTypeTok">
    <w:name w:val="DataTypeTok"/>
    <w:basedOn w:val="VerbatimChar"/>
    <w:rPr>
      <w:rFonts w:ascii="Courier New" w:hAnsi="Courier New"/>
      <w:color w:val="902000"/>
    </w:rPr>
  </w:style>
  <w:style w:type="character" w:customStyle="1" w:styleId="DecValTok">
    <w:name w:val="DecValTok"/>
    <w:basedOn w:val="VerbatimChar"/>
    <w:rPr>
      <w:rFonts w:ascii="Courier New" w:hAnsi="Courier New"/>
      <w:color w:val="40A070"/>
    </w:rPr>
  </w:style>
  <w:style w:type="character" w:customStyle="1" w:styleId="BaseNTok">
    <w:name w:val="BaseNTok"/>
    <w:basedOn w:val="VerbatimChar"/>
    <w:rPr>
      <w:rFonts w:ascii="Courier New" w:hAnsi="Courier New"/>
      <w:color w:val="40A070"/>
    </w:rPr>
  </w:style>
  <w:style w:type="character" w:customStyle="1" w:styleId="FloatTok">
    <w:name w:val="FloatTok"/>
    <w:basedOn w:val="VerbatimChar"/>
    <w:rPr>
      <w:rFonts w:ascii="Courier New" w:hAnsi="Courier New"/>
      <w:color w:val="40A070"/>
    </w:rPr>
  </w:style>
  <w:style w:type="character" w:customStyle="1" w:styleId="ConstantTok">
    <w:name w:val="ConstantTok"/>
    <w:basedOn w:val="VerbatimChar"/>
    <w:rPr>
      <w:rFonts w:ascii="Courier New" w:hAnsi="Courier New"/>
      <w:color w:val="880000"/>
    </w:rPr>
  </w:style>
  <w:style w:type="character" w:customStyle="1" w:styleId="CharTok">
    <w:name w:val="CharTok"/>
    <w:basedOn w:val="VerbatimChar"/>
    <w:rPr>
      <w:rFonts w:ascii="Courier New" w:hAnsi="Courier New"/>
      <w:color w:val="4070A0"/>
    </w:rPr>
  </w:style>
  <w:style w:type="character" w:customStyle="1" w:styleId="SpecialCharTok">
    <w:name w:val="SpecialCharTok"/>
    <w:basedOn w:val="VerbatimChar"/>
    <w:rPr>
      <w:rFonts w:ascii="Courier New" w:hAnsi="Courier New"/>
      <w:color w:val="4070A0"/>
    </w:rPr>
  </w:style>
  <w:style w:type="character" w:customStyle="1" w:styleId="StringTok">
    <w:name w:val="StringTok"/>
    <w:basedOn w:val="VerbatimChar"/>
    <w:rPr>
      <w:rFonts w:ascii="Courier New" w:hAnsi="Courier New"/>
      <w:color w:val="4070A0"/>
    </w:rPr>
  </w:style>
  <w:style w:type="character" w:customStyle="1" w:styleId="VerbatimStringTok">
    <w:name w:val="VerbatimStringTok"/>
    <w:basedOn w:val="VerbatimChar"/>
    <w:rPr>
      <w:rFonts w:ascii="Courier New" w:hAnsi="Courier New"/>
      <w:color w:val="4070A0"/>
    </w:rPr>
  </w:style>
  <w:style w:type="character" w:customStyle="1" w:styleId="SpecialStringTok">
    <w:name w:val="SpecialStringTok"/>
    <w:basedOn w:val="VerbatimChar"/>
    <w:rPr>
      <w:rFonts w:ascii="Courier New" w:hAnsi="Courier New"/>
      <w:color w:val="BB6688"/>
    </w:rPr>
  </w:style>
  <w:style w:type="character" w:customStyle="1" w:styleId="ImportTok">
    <w:name w:val="ImportTok"/>
    <w:basedOn w:val="VerbatimChar"/>
    <w:rPr>
      <w:rFonts w:ascii="Courier New" w:hAnsi="Courier New"/>
      <w:b/>
      <w:color w:val="008000"/>
    </w:rPr>
  </w:style>
  <w:style w:type="character" w:customStyle="1" w:styleId="CommentTok">
    <w:name w:val="CommentTok"/>
    <w:basedOn w:val="VerbatimChar"/>
    <w:rPr>
      <w:rFonts w:ascii="Courier New" w:hAnsi="Courier New"/>
      <w:i/>
      <w:color w:val="60A0B0"/>
    </w:rPr>
  </w:style>
  <w:style w:type="character" w:customStyle="1" w:styleId="DocumentationTok">
    <w:name w:val="DocumentationTok"/>
    <w:basedOn w:val="VerbatimChar"/>
    <w:rPr>
      <w:rFonts w:ascii="Courier New" w:hAnsi="Courier New"/>
      <w:i/>
      <w:color w:val="BA2121"/>
    </w:rPr>
  </w:style>
  <w:style w:type="character" w:customStyle="1" w:styleId="AnnotationTok">
    <w:name w:val="AnnotationTok"/>
    <w:basedOn w:val="VerbatimChar"/>
    <w:rPr>
      <w:rFonts w:ascii="Courier New" w:hAnsi="Courier New"/>
      <w:b/>
      <w:i/>
      <w:color w:val="60A0B0"/>
    </w:rPr>
  </w:style>
  <w:style w:type="character" w:customStyle="1" w:styleId="CommentVarTok">
    <w:name w:val="CommentVarTok"/>
    <w:basedOn w:val="VerbatimChar"/>
    <w:rPr>
      <w:rFonts w:ascii="Courier New" w:hAnsi="Courier New"/>
      <w:b/>
      <w:i/>
      <w:color w:val="60A0B0"/>
    </w:rPr>
  </w:style>
  <w:style w:type="character" w:customStyle="1" w:styleId="OtherTok">
    <w:name w:val="OtherTok"/>
    <w:basedOn w:val="VerbatimChar"/>
    <w:rPr>
      <w:rFonts w:ascii="Courier New" w:hAnsi="Courier New"/>
      <w:color w:val="007020"/>
    </w:rPr>
  </w:style>
  <w:style w:type="character" w:customStyle="1" w:styleId="FunctionTok">
    <w:name w:val="FunctionTok"/>
    <w:basedOn w:val="VerbatimChar"/>
    <w:rPr>
      <w:rFonts w:ascii="Courier New" w:hAnsi="Courier New"/>
      <w:color w:val="06287E"/>
    </w:rPr>
  </w:style>
  <w:style w:type="character" w:customStyle="1" w:styleId="VariableTok">
    <w:name w:val="VariableTok"/>
    <w:basedOn w:val="VerbatimChar"/>
    <w:rPr>
      <w:rFonts w:ascii="Courier New" w:hAnsi="Courier New"/>
      <w:color w:val="19177C"/>
    </w:rPr>
  </w:style>
  <w:style w:type="character" w:customStyle="1" w:styleId="ControlFlowTok">
    <w:name w:val="ControlFlowTok"/>
    <w:basedOn w:val="VerbatimChar"/>
    <w:rPr>
      <w:rFonts w:ascii="Courier New" w:hAnsi="Courier New"/>
      <w:b/>
      <w:color w:val="007020"/>
    </w:rPr>
  </w:style>
  <w:style w:type="character" w:customStyle="1" w:styleId="OperatorTok">
    <w:name w:val="OperatorTok"/>
    <w:basedOn w:val="VerbatimChar"/>
    <w:rPr>
      <w:rFonts w:ascii="Courier New" w:hAnsi="Courier New"/>
      <w:color w:val="666666"/>
    </w:rPr>
  </w:style>
  <w:style w:type="character" w:customStyle="1" w:styleId="BuiltInTok">
    <w:name w:val="BuiltInTok"/>
    <w:basedOn w:val="VerbatimChar"/>
    <w:rPr>
      <w:rFonts w:ascii="Courier New" w:hAnsi="Courier New"/>
      <w:color w:val="008000"/>
    </w:rPr>
  </w:style>
  <w:style w:type="character" w:customStyle="1" w:styleId="ExtensionTok">
    <w:name w:val="ExtensionTok"/>
    <w:basedOn w:val="VerbatimChar"/>
    <w:rPr>
      <w:rFonts w:ascii="Courier New" w:hAnsi="Courier New"/>
    </w:rPr>
  </w:style>
  <w:style w:type="character" w:customStyle="1" w:styleId="PreprocessorTok">
    <w:name w:val="PreprocessorTok"/>
    <w:basedOn w:val="VerbatimChar"/>
    <w:rPr>
      <w:rFonts w:ascii="Courier New" w:hAnsi="Courier New"/>
      <w:color w:val="BC7A00"/>
    </w:rPr>
  </w:style>
  <w:style w:type="character" w:customStyle="1" w:styleId="AttributeTok">
    <w:name w:val="AttributeTok"/>
    <w:basedOn w:val="VerbatimChar"/>
    <w:rPr>
      <w:rFonts w:ascii="Courier New" w:hAnsi="Courier New"/>
      <w:color w:val="7D9029"/>
    </w:rPr>
  </w:style>
  <w:style w:type="character" w:customStyle="1" w:styleId="RegionMarkerTok">
    <w:name w:val="RegionMarkerTok"/>
    <w:basedOn w:val="VerbatimChar"/>
    <w:rPr>
      <w:rFonts w:ascii="Courier New" w:hAnsi="Courier New"/>
    </w:rPr>
  </w:style>
  <w:style w:type="character" w:customStyle="1" w:styleId="InformationTok">
    <w:name w:val="InformationTok"/>
    <w:basedOn w:val="VerbatimChar"/>
    <w:rPr>
      <w:rFonts w:ascii="Courier New" w:hAnsi="Courier New"/>
      <w:b/>
      <w:i/>
      <w:color w:val="60A0B0"/>
    </w:rPr>
  </w:style>
  <w:style w:type="character" w:customStyle="1" w:styleId="WarningTok">
    <w:name w:val="WarningTok"/>
    <w:basedOn w:val="VerbatimChar"/>
    <w:rPr>
      <w:rFonts w:ascii="Courier New" w:hAnsi="Courier New"/>
      <w:b/>
      <w:i/>
      <w:color w:val="60A0B0"/>
    </w:rPr>
  </w:style>
  <w:style w:type="character" w:customStyle="1" w:styleId="AlertTok">
    <w:name w:val="AlertTok"/>
    <w:basedOn w:val="VerbatimChar"/>
    <w:rPr>
      <w:rFonts w:ascii="Courier New" w:hAnsi="Courier New"/>
      <w:b/>
      <w:color w:val="FF0000"/>
    </w:rPr>
  </w:style>
  <w:style w:type="character" w:customStyle="1" w:styleId="ErrorTok">
    <w:name w:val="ErrorTok"/>
    <w:basedOn w:val="VerbatimChar"/>
    <w:rPr>
      <w:rFonts w:ascii="Courier New" w:hAnsi="Courier New"/>
      <w:b/>
      <w:color w:val="FF0000"/>
    </w:rPr>
  </w:style>
  <w:style w:type="character" w:customStyle="1" w:styleId="NormalTok">
    <w:name w:val="NormalTok"/>
    <w:basedOn w:val="VerbatimChar"/>
    <w:rPr>
      <w:rFonts w:ascii="Courier New" w:hAnsi="Courier New"/>
    </w:rPr>
  </w:style>
  <w:style w:type="character" w:customStyle="1" w:styleId="BodyTextChar">
    <w:name w:val="Body Text Char"/>
    <w:basedOn w:val="a0"/>
  </w:style>
  <w:style w:type="character" w:customStyle="1" w:styleId="VerbatimChar">
    <w:name w:val="Verbatim Char"/>
    <w:basedOn w:val="a0"/>
    <w:link w:val="SourceCode"/>
    <w:rPr>
      <w:rFonts w:ascii="Courier New" w:hAnsi="Courier New"/>
    </w:rPr>
  </w:style>
  <w:style w:type="paragraph" w:customStyle="1" w:styleId="ImageCaption">
    <w:name w:val="Image Caption"/>
    <w:basedOn w:val="ac"/>
  </w:style>
  <w:style w:type="paragraph" w:customStyle="1" w:styleId="11">
    <w:name w:val="正文文本1"/>
    <w:pPr>
      <w:spacing w:after="120" w:line="360" w:lineRule="auto"/>
      <w:ind w:firstLine="420"/>
      <w:jc w:val="both"/>
    </w:pPr>
    <w:rPr>
      <w:color w:val="000000"/>
    </w:rPr>
  </w:style>
  <w:style w:type="paragraph" w:customStyle="1" w:styleId="FirstParagraph">
    <w:name w:val="First Paragraph"/>
    <w:pPr>
      <w:spacing w:after="120" w:line="360" w:lineRule="auto"/>
      <w:ind w:firstLine="420"/>
      <w:jc w:val="both"/>
    </w:pPr>
    <w:rPr>
      <w:color w:val="000000"/>
    </w:rPr>
  </w:style>
  <w:style w:type="paragraph" w:customStyle="1" w:styleId="61">
    <w:name w:val="标题 61"/>
    <w:pPr>
      <w:keepNext/>
      <w:spacing w:before="180" w:after="120" w:line="300" w:lineRule="auto"/>
    </w:pPr>
    <w:rPr>
      <w:b/>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i.org/10.1126/science.aat4346" TargetMode="External"/><Relationship Id="rId39" Type="http://schemas.openxmlformats.org/officeDocument/2006/relationships/hyperlink" Target="https://doi.org/10.1038/s42004-025-01585-0" TargetMode="External"/><Relationship Id="rId21" Type="http://schemas.openxmlformats.org/officeDocument/2006/relationships/hyperlink" Target="https://doi.org/10.1038/d41586-020-00341-9" TargetMode="External"/><Relationship Id="rId34" Type="http://schemas.openxmlformats.org/officeDocument/2006/relationships/hyperlink" Target="https://doi.org/10.1021/ci00057a005" TargetMode="External"/><Relationship Id="rId42" Type="http://schemas.openxmlformats.org/officeDocument/2006/relationships/hyperlink" Target="https://doi.org/10.1093/nar/28.1.235" TargetMode="External"/><Relationship Id="rId47" Type="http://schemas.openxmlformats.org/officeDocument/2006/relationships/hyperlink" Target="https://doi.org/10.1109/3dv.2016.79" TargetMode="External"/><Relationship Id="rId50" Type="http://schemas.openxmlformats.org/officeDocument/2006/relationships/hyperlink" Target="https://proceedings.neurips.cc/paper_files/paper/2017/hash/3f5ee243547dee91fbd053c1c4a845aa-Abstract.html"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openreview.net/forum?id=kKF8_K-mBbS" TargetMode="External"/><Relationship Id="rId11" Type="http://schemas.openxmlformats.org/officeDocument/2006/relationships/image" Target="media/image5.png"/><Relationship Id="rId24" Type="http://schemas.openxmlformats.org/officeDocument/2006/relationships/hyperlink" Target="https://doi.org/10.65215/LTSpreprints.2026.04.14.000185" TargetMode="External"/><Relationship Id="rId32" Type="http://schemas.openxmlformats.org/officeDocument/2006/relationships/hyperlink" Target="https://doi.org/10.1016/j.str.2020.04.018" TargetMode="External"/><Relationship Id="rId37" Type="http://schemas.openxmlformats.org/officeDocument/2006/relationships/hyperlink" Target="https://doi.org/10.1038/s41586-024-07487-w" TargetMode="External"/><Relationship Id="rId40" Type="http://schemas.openxmlformats.org/officeDocument/2006/relationships/hyperlink" Target="https://doi.org/10.1002/jcc.21334" TargetMode="External"/><Relationship Id="rId45" Type="http://schemas.openxmlformats.org/officeDocument/2006/relationships/hyperlink" Target="https://doi.org/10.1109/cvpr52688.2022.01644"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doi.org/10.1038/s41467-023-36732-5" TargetMode="External"/><Relationship Id="rId44" Type="http://schemas.openxmlformats.org/officeDocument/2006/relationships/hyperlink" Target="https://doi.org/10.1002/jcc.20084"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16/j.tibs.2014.10.005" TargetMode="External"/><Relationship Id="rId27" Type="http://schemas.openxmlformats.org/officeDocument/2006/relationships/hyperlink" Target="https://doi.org/10.64898/2026.06.01.729423" TargetMode="External"/><Relationship Id="rId30" Type="http://schemas.openxmlformats.org/officeDocument/2006/relationships/hyperlink" Target="https://doi.org/10.1016/j.cell.2026.01.003" TargetMode="External"/><Relationship Id="rId35" Type="http://schemas.openxmlformats.org/officeDocument/2006/relationships/hyperlink" Target="https://doi.org/10.1007/978-3-319-46723-8_49" TargetMode="External"/><Relationship Id="rId43" Type="http://schemas.openxmlformats.org/officeDocument/2006/relationships/hyperlink" Target="https://doi.org/10.1038/nbt.3988" TargetMode="External"/><Relationship Id="rId48" Type="http://schemas.openxmlformats.org/officeDocument/2006/relationships/hyperlink" Target="https://doi.org/10.1038/s41592-020-01008-z" TargetMode="External"/><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1038/s41594-025-01723-1" TargetMode="External"/><Relationship Id="rId33" Type="http://schemas.openxmlformats.org/officeDocument/2006/relationships/hyperlink" Target="https://doi.org/10.1021/acs.jmedchem.3c01134" TargetMode="External"/><Relationship Id="rId38" Type="http://schemas.openxmlformats.org/officeDocument/2006/relationships/hyperlink" Target="https://doi.org/10.1609/aaai.v32i1.11671" TargetMode="External"/><Relationship Id="rId46" Type="http://schemas.openxmlformats.org/officeDocument/2006/relationships/hyperlink" Target="https://doi.org/10.1109/iccv.2017.324" TargetMode="External"/><Relationship Id="rId20" Type="http://schemas.openxmlformats.org/officeDocument/2006/relationships/image" Target="media/image14.png"/><Relationship Id="rId41" Type="http://schemas.openxmlformats.org/officeDocument/2006/relationships/hyperlink" Target="https://doi.org/10.1093/nar/gkad1019"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doi.org/10.1038/s41586-024-07215-4" TargetMode="External"/><Relationship Id="rId28" Type="http://schemas.openxmlformats.org/officeDocument/2006/relationships/hyperlink" Target="https://doi.org/10.1016/j.str.2025.07.002" TargetMode="External"/><Relationship Id="rId36" Type="http://schemas.openxmlformats.org/officeDocument/2006/relationships/hyperlink" Target="https://doi.org/10.1109/cvpr52733.2024.00463" TargetMode="External"/><Relationship Id="rId49" Type="http://schemas.openxmlformats.org/officeDocument/2006/relationships/hyperlink" Target="https://doi.org/10.1002/nav.3800020109"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38247</TotalTime>
  <Pages>52</Pages>
  <Words>13824</Words>
  <Characters>78797</Characters>
  <Application>Microsoft Office Word</Application>
  <DocSecurity>0</DocSecurity>
  <Lines>656</Lines>
  <Paragraphs>184</Paragraphs>
  <ScaleCrop>false</ScaleCrop>
  <Company/>
  <LinksUpToDate>false</LinksUpToDate>
  <CharactersWithSpaces>92437</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Hongen Peng</cp:lastModifiedBy>
  <cp:revision>2</cp:revision>
  <dcterms:created xsi:type="dcterms:W3CDTF">2026-10-27T10:42:00Z</dcterms:created>
  <dcterms:modified xsi:type="dcterms:W3CDTF">2026-10-27T13:47:00Z</dcterms:modified>
</cp:coreProperties>
</file>