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supplementary-information"/>
    <w:p>
      <w:pPr>
        <w:pStyle w:val="1"/>
        <w:keepNext/>
        <w:ind w:firstLine="0"/>
      </w:pPr>
      <w:r>
        <w:t xml:space="preserve">Supplementary Information</w:t>
      </w:r>
    </w:p>
    <w:bookmarkStart w:id="36" w:name="X5afd4217e687964ac9a9d604ef8882ccb8f91d9"/>
    <w:p>
      <w:pPr>
        <w:pStyle w:val="2"/>
        <w:keepNext/>
        <w:ind w:firstLine="0"/>
      </w:pPr>
      <w:r>
        <w:t xml:space="preserve">Ligand-region detection at a stricter coverage threshold</w:t>
      </w:r>
    </w:p>
    <w:p>
      <w:pPr>
        <w:pStyle w:val="FirstParagraph"/>
        <w:spacing w:line="360" w:lineRule="auto" w:after="120"/>
        <w:ind w:firstLine="420"/>
      </w:pPr>
      <w:r>
        <w:t xml:space="preserve">We evaluated instance-level PRAUC at a stricter bidirectional coverage threshold of 0.5 using the same all-ligand and small-molecule cohorts. These comprised 179 PDB entries with 2,502 instances and 94 PDB entries with 821 small-molecule instances, respectively. For all ligands, PDB-equal means were 0.558 with GT receptors and 0.447 with CA2 receptors, compared with 0.152 for Emap2lig-Find</w:t>
      </w:r>
      <w:r>
        <w:t xml:space="preserve"> </w:t>
      </w:r>
      <w:r>
        <w:t xml:space="preserve">(</w:t>
      </w:r>
      <w:r>
        <w:rPr>
          <w:rStyle w:val="MDFIGREF_eJyrrk7LTC9KTbMqLklMTzXULS4pykwu0S3JKEotzsjPSalJrK0FAAjQDoA"/>
        </w:rPr>
        <w:t xml:space="preserve">Fig. 1a</w:t>
      </w:r>
      <w:r>
        <w:t xml:space="preserve">).</w:t>
      </w:r>
      <w:r>
        <w:t xml:space="preserve"> </w:t>
      </w:r>
      <w:r>
        <w:t xml:space="preserve">The corresponding small-molecule scores were 0.605, 0.499 and 0.337, preserving the same advantage</w:t>
      </w:r>
      <w:r>
        <w:t xml:space="preserve"> </w:t>
      </w:r>
      <w:r>
        <w:t xml:space="preserve">(</w:t>
      </w:r>
      <w:r>
        <w:rPr>
          <w:rStyle w:val="MDFIGREF_eJyrrk7LTC9KTbMqLklMTzXULS4pykwu0S3JKEotzsjPSalJqq0FAAjTDoE"/>
        </w:rPr>
        <w:t xml:space="preserve">Fig. 1b</w:t>
      </w:r>
      <w:r>
        <w:t xml:space="preserve">).</w:t>
      </w:r>
    </w:p>
    <w:p>
      <w:pPr>
        <w:pStyle w:val="CaptionedFigure"/>
        <w:keepNext/>
        <w:spacing w:line="240" w:lineRule="auto" w:before="0" w:after="0"/>
        <w:ind w:firstLine="0"/>
        <w:jc w:val="center"/>
      </w:pPr>
      <w:r>
        <w:drawing>
          <wp:inline>
            <wp:extent cx="5731510" cy="2176922"/>
            <wp:effectExtent b="0" l="0" r="0" t="0"/>
            <wp:docPr descr="Fig. 1 | Ligand-region detection at a stricter coverage threshold. LigandSeek-Find uses deposited receptors (GT) or CryoAtom2-reconstructed receptors (CA2) and is compared with the density-only method Emap2lig-Find. All ligands comprise 179 PDB entries and 2,502 instances; small molecules comprise 94 PDB entries and 821 instances. a, b, Instance-level PRAUC for all ligands and small molecules, respectively, at a bidirectional coverage threshold of 0.5. Bars and horizontal marks show PDB-equal means; faint points show individual PDB entries. Error bars show 95% intervals from 10,000 PDB bootstrap resamples." title="MDPPTFIG_eJztV81uGzcQfhVigQINIGl3lSiOtqkBRbaDAE4hOM2pWxgUl9IS5pIsSf256bkoivTSopcWPfeUB6iB5mXqOI_RmeVKVmwfgvbQuqgBeYfkN98MObPD2S8jQ30ZZSS6-OHs_KffY-fplKcXZ9-_-eXnjjF-GbVIZLnTcs4LxA2zPH_uuHV5nvb6aT_P97g78drk-dtXv7358eu3L7-5-PV1ngfCPL-RUdGKI1tYbDtvBfNtX4KlUssCIYwaL7Q6rqg9mRkAfxY9XGSGLCupXLb4OI9K700Wx46VvKKuow1XsDjRtqIehnYaL7QtjNWMOyfUtJJxN0nuxxUVKo92kW1k68czv5KcLLI5lcD7pAKnhsE84uI1ArEnnJtDobir57dGi8wZysAM8EiYAqLuvSSPmuHRTOIUnXndcDZw1BSqANhEWOcPg2rSgGAlOBA8Df8a-UAr70CPOiYE6Jy__A7O_4-z1-evvq3tcur8wAl601o5UO66Um0rEKOJcT0e1-Iw7Lh-gvOnm-NKH6w3dBrUg3seI1VvEvdjILLczjlAD8S0Q1LyghyKKVVF2_IpHDQpuOcMj5xQTygJKcEtYXrOLQSEbLKjg1Z8sPUPHMrf2Dq5tZ6HWD3j_KR9gNk6c9xByIx2wvOCWM648do68uHjT-8QbcnQrvTA66oL8WVaQThn7ApyOOjeIcBKhIMoV4ZaWF8IX0KoOZDDjvyqrZVckYr7Uhdkv6KmK8W09qFDBlISWTsWCKxwnKQ7fTLae0S4ggwCJ9FAt9VLukSAF1RBMfiIuIqCbqUlZ_Bebmn3711TftBNL1X_z71_UymhtzYarVvr-X8xj8a3Nhot8qQpTW3J51yS0dHg-ZBAE0ToVnXEOnal5rWgFDuDVy6orVrh1h2LQthwDVN5w9VL9IQknV6HPKI2sJbailPYCMCxU3MEcAusoW3-xQwnOVVQcCfQc3litMCzrCFQwcVcFIjZqrgdsm8tOD9G_hrX730AWOgE4IAcmVhdkTRpJUlSq4219nC3UIO7oZWRV0s09k670efQUG4ayai3czftpcmym-7c73e7Lx4awTL4Nb0lfa_esrB0ca2pbBiA669wgJqfWb6hse9FoicTwfieZrMKDjEwWS4pBtGVwjjMKNyhmo8Ew3zCAftkPrJwyTqGVoZZXDf1cd3Tx01LH2939LHnlYFtqhmoCOOPJ2IKzrpj7Yt7jK2qOEwcJ_iXdoyawkZEAex3eyBhyw_yaL1HCM3Gj0uXgoMUT_BQM0gnpYclVVM-gLRYlJwWDt8S5Fsv1EkcJoHzUnXLQGCNrx3CWApzIKREiyjX-kGgGaQV96xEcQKYI7BSr78z2IDid_lw5KBpJ-PFU11sd_40W05shU8IHFmGXp-sNj1_PY_LfOkJw_UmXQHFENZkbQMGVP1ckxr4hnjM4SVBAdD4NgezdH7oAvZSWqNxXengenwp0kwqgp9a_V63F1huRGFc9usvlS2ZZp4KuZ7elqVqzsuZTVzgtxt99Sfb_HM5" id="34" name="Picture"/>
            <a:graphic>
              <a:graphicData uri="http://schemas.openxmlformats.org/drawingml/2006/picture">
                <pic:pic>
                  <pic:nvPicPr>
                    <pic:cNvPr descr="C:/Users/15919/Desktop/论文草稿/temp/manuscript_figures_otd4ccym/figure_000001.png" id="35" name="Picture"/>
                    <pic:cNvPicPr>
                      <a:picLocks noChangeArrowheads="1" noChangeAspect="1"/>
                    </pic:cNvPicPr>
                  </pic:nvPicPr>
                  <pic:blipFill>
                    <a:blip r:embed="rId33"/>
                    <a:stretch>
                      <a:fillRect/>
                    </a:stretch>
                  </pic:blipFill>
                  <pic:spPr bwMode="auto">
                    <a:xfrm>
                      <a:off x="0" y="0"/>
                      <a:ext cx="5731510" cy="2176922"/>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 | Ligand-region detection at a stricter coverage threshold.</w:t>
      </w:r>
      <w:r>
        <w:rPr>
          <w:rFonts w:ascii="华文仿宋" w:hAnsi="华文仿宋" w:eastAsia="华文仿宋"/>
          <w:sz w:val="18"/>
        </w:rPr>
        <w:t xml:space="preserve"> </w:t>
      </w:r>
      <w:r>
        <w:rPr>
          <w:rFonts w:ascii="华文仿宋" w:hAnsi="华文仿宋" w:eastAsia="华文仿宋"/>
          <w:sz w:val="18"/>
        </w:rPr>
        <w:t xml:space="preserve">LigandSeek-Find uses deposited receptors (GT) or CryoAtom2-reconstructed receptors (CA2) and is compared with the density-only method Emap2lig-Find. All ligands comprise 179 PDB entries and 2,502 instances; small molecules comprise 94 PDB entries and 821 instances.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Instance-level PRAUC for all ligands and small molecules, respectively, at a bidirectional coverage threshold of 0.5. Bars and horizontal marks show PDB-equal means; faint points show individual PDB entries. Error bars show 95% intervals from 10,000 PDB bootstrap resamples.</w:t>
      </w:r>
    </w:p>
    <w:bookmarkEnd w:id="36"/>
    <w:bookmarkStart w:id="40" w:name="Xdb45709594eb832e271f9393d5a792b61123874"/>
    <w:p>
      <w:pPr>
        <w:pStyle w:val="2"/>
        <w:keepNext/>
        <w:ind w:firstLine="0"/>
      </w:pPr>
      <w:r>
        <w:t xml:space="preserve">Complete detection curves across ranked candidates</w:t>
      </w:r>
    </w:p>
    <w:p>
      <w:pPr>
        <w:pStyle w:val="FirstParagraph"/>
        <w:spacing w:line="360" w:lineRule="auto" w:after="120"/>
        <w:ind w:firstLine="420"/>
      </w:pPr>
      <w:r>
        <w:t xml:space="preserve">We compared detection completion across the full candidate-count range and retained the distribution of results across individual PDB entries</w:t>
      </w:r>
      <w:r>
        <w:t xml:space="preserve"> </w:t>
      </w:r>
      <w:r>
        <w:t xml:space="preserve">(</w:t>
      </w:r>
      <w:r>
        <w:rPr>
          <w:rStyle w:val="MDFIGREF_eJyrrk7LTC9KTbMqLklMTzXUTc7PLchJLcnMz9NNLi0qSy2urQUA-gsODw"/>
        </w:rPr>
        <w:t xml:space="preserve">Fig. 2</w:t>
      </w:r>
      <w:r>
        <w:t xml:space="preserve">).</w:t>
      </w:r>
      <w:r>
        <w:t xml:space="preserve"> </w:t>
      </w:r>
      <w:r>
        <w:t xml:space="preserve">All-ligand evaluation included 179 PDB entries and 2,502 instances; small-molecule evaluation included 94 PDB entries and 821 instances. Both evaluated Find alone, without requiring identity matching or pose reconstruction. Candidate–instance pairs required bidirectional coverage of at least 0.3, and each instance contributed only its first detection. Relative candidate counts of 100% and 300% allowed examining up to one and three times the ground-truth instance count, respectively.</w:t>
      </w:r>
    </w:p>
    <w:p>
      <w:pPr>
        <w:pStyle w:val="BodyText"/>
        <w:spacing w:line="360" w:lineRule="auto" w:after="120"/>
        <w:ind w:firstLine="420"/>
      </w:pPr>
      <w:r>
        <w:t xml:space="preserve">From 100% to 300%, mean completion across all ligands increased from 66.4% to 71.7% with GT receptors and from 55.6% to 63.3% with CA2 receptors. Emap2lig-Find increased from 28.5% to 31.4% over the same candidate-count range. Corresponding small-molecule changes were 70.5% to 73.3% for GT, 59.8% to 68.5% for CA2 and 46.6% to 54.9% for Emap2lig-Find. LigandSeek-Find therefore recovered more true instances under the same candidate-count limits. Means weight PDB entries equally, while background candidates and repeated hits retain their candidate positions. The small-molecule evaluation omits only candidates assigned to non-small-molecule instances.</w:t>
      </w:r>
    </w:p>
    <w:p>
      <w:pPr>
        <w:pStyle w:val="CaptionedFigure"/>
        <w:keepNext/>
        <w:spacing w:line="240" w:lineRule="auto" w:before="0" w:after="0"/>
        <w:ind w:firstLine="0"/>
        <w:jc w:val="center"/>
      </w:pPr>
      <w:r>
        <w:drawing>
          <wp:inline>
            <wp:extent cx="5731510" cy="4275861"/>
            <wp:effectExtent b="0" l="0" r="0" t="0"/>
            <wp:docPr descr="Fig. 2 | Complete ligand-detection curves across ranked candidates. LigandSeek-Find uses deposited receptors (GT) or CryoAtom2-reconstructed receptors (CA2) and is compared with the density-only method Emap2lig-Find. All ligands comprise 179 PDB entries and 2,502 instances; small molecules comprise 94 PDB entries and 821 instances. a–c, All ligands. d–f, Small molecules. Columns show GT, CA2 and Emap2lig, respectively. Candidates are assigned by maximal geometric-mean coverage among pairs satisfying bidirectional coverage of at least 0.3. Each instance contributes only its first detection. The x-axis shows candidate counts relative to each PDB’s ground-truth instance count; the y-axis shows the percentage of distinct instances detected. The small-molecule evaluation omits candidates assigned to other classes but retains background candidates and repeated hits. Green circles and lines show PDB-equal means; blue diamonds and lines show medians. Grey points and violins show PDB distributions at relative candidate counts of 50%, 100%, 200% and 300%." title="MDPPTFIG_eJztV0uLG0cQ_iuFwBCDpJG0K9s7dgwb2bsYNmGxnVMmLK2elqZRT3enu0cPxwHfQgjOxSEQEnLOyT8ghvi_mPjxM1I1PXps1geTHBJDFrSq6a766l1T-rJlWShaKbRef__s5U-_Jz6wqei_fvbk1S8_d60Ny1YbWk54o-YiJ75RmmWfeuF8lvWHB_2DLLsl_CwYm2Vvnv726oev3zz-5vWvz7MsAmbZWxE1KwWhxcsON6VVIkijO7xyc-GJhzNLJ2clc7PKIvdnrRuL1MKyVNqniw-zVhGCTZPE80KUzHeNFRovJ8aVLOCjmyYL43LrDBfeSz0tVTLo9a4kJZM6a90ktFNXf90LKyVgkc6ZQtw7JVo1iuqJL1lzEO9MCHsitfD1-c7TIvWWcVSDOAqPEGiw38tazePdStERq4JpMBt2kpQ6R7aJdD6cRNFew4Q30YBoafzX0EdGB49yzHMpUebl4-8wAX88e_7y6be1XsF8OPSSve2uONT-olCtKwKTinH9PK7JUfS4_kbjH2zC1b-2duhBFI_mBcpU7ST5Y7GIBKYWWY_ktAsDeAijmHYBSk6Zzjs50pyCDrEKgHFnvAfH9EzkwJFH5iwI3yU1ISr7F6LyD3yH99bykzpH94SYdY6oXCuPCcqFNV4GTI4TXNhgnIcPju9fBuNg5FbmMJhy0ME7o31wFf8L5-hwcBkQFaQHmgHM4f1ChgJCIRAcPQqrjtFqBaUIhcnhdsnsAMultqELh0o1xRMBnPQC-lcP4PTWRyB0cJKqCBUM2sPeACRawTROg-vgS4aypVGCY2PuSB_sXxC-NuhvRf-vvf_SLGEvHj3h721G2rsF3IUcnZm04d750uzinFRVqT34wizg-H4bsG_qwlx3QxubyluanXOhViiwmZSALQUM335Tja01xj5iS4n4MBUGW8pJ3ikFw4Fr5sLhWw9YafANZhm-isCzIP1kRa-0scyli8MZhTfcZgIsgKIYQq-714XbjBebXkE-6qJxRYbUXSwxF_VbDjazvgv3sdeXHbQreui3gx4BKkqfE4qRbxAMCNKAHfri0Y8epg4Z8g6OlnBOLUpdr2fIaheXDqxwHHu7MT6XPkjNw7a9G8NEHu2qx0RnnQsQmOeK1a8oU5IzfCfS6yijkQZVOeAKz_AGA4AuBNw6kGZ8Fq0-J6tpLlrBaEAWCNyFYycE5kU6rhoG2iKaIkD_O-KLClNB2cNxNlYVDkxJ2csvcJcCb3TEXIE1kmJKPHNplNRbzDoedcLQQ0-p3UT-Qk4wesPepTb0e_Qf96pLNeQeEudHJC0vN1uf40a32eRaw6t7_WG_t9wfXB1eu9J_eMNKnuKnWe7YOy13uWOLC1tdg4BYfwcDxULlxAbGvROImUwkF7cMr0osrYgUA4dRLKT1NBXIQz0_lZxmAj3wT-anDsvNc9IySpN6rU7qrTpplupkd6dOgigtuqkrFJE2nE3kFI31Zybk-5yvyiQenPXob9C1eoqOyBzR9w6QoqUb6dO1j5iajR1bk6KBjCJ4YvjMgzajgumpOHTOLArBck-TjvDWF_XoiYeIuRXdURBRkwtBGCtpj6RSpJHoWj4SLMVaFIEXRE6Q5y5qqe_PPWyYkvN49ORxa4bx4mOT767eLF1OXEnfmDhYxmUbVpuluz6na7EMwOm-KVfk4sTWVG3DjFz19xrU4ng7xukKRCA3jc2ols1PfOTdUmtuutcmmp5sSZYqDfRb52A4GEaUt3JRXm7XPxV2aJbizFHr411a6SZe3m7ygp-bra_-BNrENFg" id="38" name="Picture"/>
            <a:graphic>
              <a:graphicData uri="http://schemas.openxmlformats.org/drawingml/2006/picture">
                <pic:pic>
                  <pic:nvPicPr>
                    <pic:cNvPr descr="C:/Users/15919/Desktop/论文草稿/temp/manuscript_figures_otd4ccym/figure_000002.png" id="39" name="Picture"/>
                    <pic:cNvPicPr>
                      <a:picLocks noChangeArrowheads="1" noChangeAspect="1"/>
                    </pic:cNvPicPr>
                  </pic:nvPicPr>
                  <pic:blipFill>
                    <a:blip r:embed="rId37"/>
                    <a:stretch>
                      <a:fillRect/>
                    </a:stretch>
                  </pic:blipFill>
                  <pic:spPr bwMode="auto">
                    <a:xfrm>
                      <a:off x="0" y="0"/>
                      <a:ext cx="5731510" cy="4275861"/>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2 | Complete ligand-detection curves across ranked candidates.</w:t>
      </w:r>
      <w:r>
        <w:rPr>
          <w:rFonts w:ascii="华文仿宋" w:hAnsi="华文仿宋" w:eastAsia="华文仿宋"/>
          <w:sz w:val="18"/>
        </w:rPr>
        <w:t xml:space="preserve"> </w:t>
      </w:r>
      <w:r>
        <w:rPr>
          <w:rFonts w:ascii="华文仿宋" w:hAnsi="华文仿宋" w:eastAsia="华文仿宋"/>
          <w:sz w:val="18"/>
        </w:rPr>
        <w:t xml:space="preserve">LigandSeek-Find uses deposited receptors (GT) or CryoAtom2-reconstructed receptors (CA2) and is compared with the density-only method Emap2lig-Find. All ligands comprise 179 PDB entries and 2,502 instances; small molecules comprise 94 PDB entries and 821 instances.</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All ligands. d–f, Small molecules. Columns show GT, CA2 and Emap2lig, respectively. Candidates are assigned by maximal geometric-mean coverage among pairs satisfying bidirectional coverage of at least 0.3. Each instance contributes only its first detection. The x-axis shows candidate counts relative to each PDB’s ground-truth instance count; the y-axis shows the percentage of distinct instances detected. The small-molecule evaluation omits candidates assigned to other classes but retains background candidates and repeated hits. Green circles and lines show PDB-equal means; blue diamonds and lines show medians. Grey points and violins show PDB distributions at relative candidate counts of 50%, 100%, 200% and 300%.</w:t>
      </w:r>
    </w:p>
    <w:bookmarkEnd w:id="40"/>
    <w:bookmarkStart w:id="41" w:name="stage-1-ablation-of-ligandseek-find"/>
    <w:p>
      <w:pPr>
        <w:pStyle w:val="2"/>
        <w:keepNext/>
        <w:ind w:firstLine="0"/>
      </w:pPr>
      <w:r>
        <w:t xml:space="preserve">Stage 1: Ablation of LigandSeek-Find</w:t>
      </w:r>
    </w:p>
    <w:p>
      <w:pPr>
        <w:pStyle w:val="FirstParagraph"/>
        <w:spacing w:line="360" w:lineRule="auto" w:after="120"/>
        <w:ind w:firstLine="420"/>
      </w:pPr>
      <w:r>
        <w:t xml:space="preserve">As shown in Table 4, we compared six model variants on the same full test set to assess the contributions of individual designs to ligand detection. Starting with a 3D U-Net receiving experimental density alone(Density only), we added difference density(+ Difference density), a multi-view density bank(+ Density bank) and receptor-atom features(+ Receptor features). We then introduced centroid-aware positional encoding in the receptor embedding head(+ Centroid encoding), followed by the final LigandSeek-Find model. The final model used receptor-atom binding probabilities predicted by the point-cloud branch for Gaussian candidate scoring, while other models used conventional inference without Gaussian candidate scoring.</w:t>
      </w:r>
    </w:p>
    <w:p>
      <w:pPr>
        <w:pStyle w:val="BodyText"/>
        <w:spacing w:line="360" w:lineRule="auto" w:after="120"/>
        <w:ind w:firstLine="420"/>
      </w:pPr>
      <w:r>
        <w:t xml:space="preserve">According to Table 4, adding difference density improved all metrics under both GT and CA2 conditions. Moreover, the multi-view density bank further improved overall detection ability. It is noteworthy that when constructing multi-view density bank, the deterministic transformations of the same experimental and simulated receptor density do not add any additional information, but highlight ligand signals across contrasts and spatial scales while suppressing dominant receptor density.</w:t>
      </w:r>
    </w:p>
    <w:p>
      <w:pPr>
        <w:pStyle w:val="BodyText"/>
        <w:spacing w:line="360" w:lineRule="auto" w:after="120"/>
        <w:ind w:firstLine="420"/>
      </w:pPr>
      <w:r>
        <w:t xml:space="preserve">Futhermore, we can observe that injecting the receptor information explicitly, adding centroid-aware positional encoding in the receptor embedding head, and introducing Gaussian scoring during inference also generally raise model performance to varying degrees. We refer to the model with all components as LigandSeek-Find, which has the best overall performance.</w:t>
      </w:r>
    </w:p>
    <w:p>
      <w:pPr>
        <w:pStyle w:val="TableCaption"/>
        <w:keepNext/>
        <w:keepLines/>
        <w:spacing w:line="240" w:lineRule="auto" w:after="120"/>
        <w:ind w:firstLine="0"/>
      </w:pPr>
      <w:r>
        <w:rPr>
          <w:rFonts w:ascii="华文仿宋" w:hAnsi="华文仿宋" w:eastAsia="华文仿宋"/>
          <w:sz w:val="18"/>
        </w:rPr>
        <w:t xml:space="preserve">Table 4 | Internal ablation of LigandSeek-Find on the full test set.</w:t>
      </w:r>
    </w:p>
    <w:tbl>
      <w:tblPr>
        <w:tblW w:type="pct" w:w="5000"/>
        <w:tblLayout w:type="fixed"/>
        <w:tblCaption w:val="Table 4 | Internal ablation of LigandSeek-Find on the full test set."/>
        <w:tblDescription w:val="MDBOOKTABS_{&quot;headers&quot;:2,&quot;groups&quot;:[],&quot;widths&quot;:[0.28,0.12,0.12,0.12,0.12,0.12,0.12],&quot;pagination&quot;:&quot;rows&quot;}"/>
        <w:tblBorders>
          <w:top w:val="single" w:sz="6" w:color="000000"/>
          <w:bottom w:val="single" w:sz="6" w:color="000000"/>
          <w:left w:val="nil" w:sz="6" w:color="000000"/>
          <w:right w:val="nil" w:sz="6" w:color="000000"/>
          <w:insideH w:val="nil" w:sz="6" w:color="000000"/>
          <w:insideV w:val="nil" w:sz="6" w:color="000000"/>
        </w:tblBorders>
      </w:tblPr>
      <w:tblGrid>
        <w:gridCol w:w="2527"/>
        <w:gridCol w:w="1083"/>
        <w:gridCol w:w="1083"/>
        <w:gridCol w:w="1083"/>
        <w:gridCol w:w="1083"/>
        <w:gridCol w:w="1083"/>
        <w:gridCol w:w="1083"/>
      </w:tblGrid>
      <w:tr>
        <w:trPr>
          <w:tblHeader w:val="on"/>
          <w:cantSplit/>
        </w:trPr>
        <w:tc>
          <w:tcPr>
            <w:tcW w:type="dxa" w:w="2527"/>
            <w:vMerge w:val="restart"/>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b w:val="0"/>
                <w:sz w:val="20"/>
              </w:rPr>
              <w:t xml:space="preserve">Model</w:t>
            </w:r>
          </w:p>
        </w:tc>
        <w:tc>
          <w:tcPr>
            <w:tcW w:type="dxa" w:w="3249"/>
            <w:gridSpan w:val="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CA2 receptors</w:t>
            </w:r>
          </w:p>
        </w:tc>
        <w:tc>
          <w:tcPr>
            <w:tcW w:type="dxa" w:w="3249"/>
            <w:gridSpan w:val="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Deposited receptors</w:t>
            </w:r>
          </w:p>
        </w:tc>
      </w:tr>
      <w:tr>
        <w:trPr>
          <w:tblHeader w:val="on"/>
          <w:cantSplit/>
        </w:trPr>
        <w:tc>
          <w:tcPr>
            <w:tcW w:type="dxa" w:w="2527"/>
            <w:gridSpan w:val="1"/>
            <w:vMerge w:val="continue"/>
            <w:vAlign w:val="center"/>
            <w:noWrap/>
            <w:tcMar>
              <w:top w:w="30" w:type="dxa"/>
              <w:bottom w:w="30" w:type="dxa"/>
              <w:left w:w="45" w:type="dxa"/>
              <w:right w:w="45" w:type="dxa"/>
            </w:tcMar>
            <w:tcBorders>
              <w:bottom w:val="single" w:sz="4" w:color="000000"/>
            </w:tcBorders>
          </w:tcPr>
          <w:p>
            <w:pPr>
              <w:keepNext w:val="0"/>
              <w:keepLines w:val="0"/>
              <w:pageBreakBefore w:val="0"/>
              <w:spacing w:line="240" w:lineRule="auto" w:before="0" w:after="0"/>
              <w:ind w:firstLine="0"/>
              <w:jc w:val="left"/>
            </w:pP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Density only</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0.394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0.446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0.342</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0.394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0.446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0.342</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 Difference density</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0.434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0.501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0.403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0.569</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0.452</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 Density bank</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0.453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0.508</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0.427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0.585</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0.643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0.561</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 Receptor features</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0.520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0.437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0.570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0.631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0.554</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 Centroid encoding</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0.536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0.444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0.633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0.539</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LigandSeek-Find</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0.477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0.541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0.447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0.584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0.663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0.558</w:t>
            </w:r>
          </w:p>
        </w:tc>
      </w:tr>
    </w:tbl>
    <w:p>
      <w:pPr>
        <w:pStyle w:val="MDTableNote"/>
        <w:keepNext w:val="0"/>
        <w:keepLines/>
        <w:pageBreakBefore w:val="0"/>
        <w:spacing w:line="240" w:lineRule="auto" w:before="80" w:after="120"/>
        <w:ind w:firstLine="0"/>
      </w:pPr>
      <w:r>
        <w:rPr>
          <w:rFonts w:ascii="Times New Roman" w:hAnsi="Times New Roman"/>
          <w:sz w:val="18"/>
        </w:rPr>
        <w:t xml:space="preserve">Dice denotes semantic Dice; PRAUC denotes instance-level PRAUC, with subscripts indicating bidirectional coverage thresholds between predicted and ground-truth regions. CA2 denotes CryoAtom2-reconstructed receptors; deposited receptors correspond to GT. Bold and underlined values indicate the highest and second-highest scores in each column, respectively.</w:t>
      </w:r>
    </w:p>
    <w:bookmarkEnd w:id="41"/>
    <w:bookmarkStart w:id="51" w:name="stage-3-end-to-end-top-k-success"/>
    <w:p>
      <w:pPr>
        <w:pStyle w:val="2"/>
        <w:keepNext/>
        <w:ind w:firstLine="0"/>
      </w:pPr>
      <w:r>
        <w:t xml:space="preserve">Stage 3: End-to-end top-k success</w:t>
      </w:r>
    </w:p>
    <w:bookmarkStart w:id="42" w:name="evaluation-protocol-top-k-success"/>
    <w:p>
      <w:pPr>
        <w:pStyle w:val="3"/>
        <w:keepNext/>
        <w:ind w:firstLine="0"/>
      </w:pPr>
      <w:r>
        <w:t xml:space="preserve">Evaluation protocol (top-k success)</w:t>
      </w:r>
    </w:p>
    <w:p>
      <w:pPr>
        <w:pStyle w:val="FirstParagraph"/>
        <w:spacing w:line="360" w:lineRule="auto" w:after="120"/>
        <w:ind w:firstLine="420"/>
      </w:pPr>
      <w:r>
        <w:t xml:space="preserve">Top-k success measures whether an end-to-end pipeline successfully processes at least one ligand instance in a complex within a specified attempt budget.</w:t>
      </w:r>
    </w:p>
    <w:p>
      <w:pPr>
        <w:pStyle w:val="BodyText"/>
        <w:spacing w:line="360" w:lineRule="auto" w:after="120"/>
        <w:ind w:firstLine="420"/>
      </w:pPr>
      <w:r>
        <w:t xml:space="preserve">Find ranks candidate ligand regions by descending mean probability, yielding Rank 1, Rank 2 and subsequent candidates. For each PDB entry, the pipeline examines these candidates in order for up to</w:t>
      </w:r>
      <w:r>
        <w:t xml:space="preserve"> </w:t>
      </w:r>
      <m:oMath>
        <m:r>
          <m:t>K</m:t>
        </m:r>
      </m:oMath>
      <w:r>
        <w:t xml:space="preserve"> </w:t>
      </w:r>
      <w:r>
        <w:t xml:space="preserve">attempts. A PDB entry is classified as successful if any attempt within this budget succeeds.</w:t>
      </w:r>
    </w:p>
    <w:p>
      <w:pPr>
        <w:pStyle w:val="BodyText"/>
        <w:spacing w:line="360" w:lineRule="auto" w:after="120"/>
        <w:ind w:firstLine="420"/>
      </w:pPr>
      <w:r>
        <w:t xml:space="preserve">Top-k success evaluates two basic end-to-end capabilities of our pipeline. These comprise detection and identity matching across all ligand categories, and detection, identity matching and modelling of eligible small molecules. These are single-residue organic small molecules with no atoms missing relative to their templates. Attempt-accounting rules are the same as those in the main text. The all-ligand test set contains 179 PDBs and 2,502 ligand instances; the small-molecule subset contains 77 PDBs and 446 instances. Each task was also evaluated with deposited receptors (GT) and CryoAtom2-reconstructed receptors (CA2).</w:t>
      </w:r>
    </w:p>
    <w:bookmarkEnd w:id="42"/>
    <w:bookmarkStart w:id="46" w:name="X5f64bd45b404ca02f1e597fd6c2fd1f17bc94df"/>
    <w:p>
      <w:pPr>
        <w:pStyle w:val="3"/>
        <w:keepNext/>
        <w:ind w:firstLine="0"/>
      </w:pPr>
      <w:r>
        <w:t xml:space="preserve">End-to-end region detection and identity matching across ligand categories</w:t>
      </w:r>
    </w:p>
    <w:p>
      <w:pPr>
        <w:pStyle w:val="CaptionedFigure"/>
        <w:keepNext/>
        <w:spacing w:line="240" w:lineRule="auto" w:before="0" w:after="0"/>
        <w:ind w:firstLine="0"/>
        <w:jc w:val="center"/>
      </w:pPr>
      <w:r>
        <w:drawing>
          <wp:inline>
            <wp:extent cx="5731510" cy="2953750"/>
            <wp:effectExtent b="0" l="0" r="0" t="0"/>
            <wp:docPr descr="Fig. 3 | End-to-end ligand-region detection and identity matching. The curves show the percentage of the 179 test PDB entries with successful predictions within an attempt budget of K=1–10. Find+Match curves require end-to-end correct region detection and ligand identity matching, whereas Find and Emap2lig-Find curves require only correct region detection. Find and Match denote LigandSeek-Find and LigandSeek-Match, respectively. GT denotes deposited receptor structures, and CA2 denotes CryoAtom2-reconstructed receptor structures." title="MDPPTFIG_eJzVVs1uGzcQfhVir7W0kmzV1cIx4Mp2UNQOhCQ9dQuD5o60hHeXLMnVT5oCvQVBkV5S9NKi557yADXQvEtRx3mMzpArWa4dIEgOhQ3YOxx-880PyfF8F2nu8ihh0eXP5xe__hUf9A4uz1---f23ttZuHm2wyIBVxRQyAg2TNP3KgrFp2u0PuoM03Qd75pRO07ev_nzzy7O3L55f_vE6TQNbmt6kq3gJRAU9aPGiaI1llbVK7kROu4JrJ1V1UnJzVmvEfR3tzBLN5mVR2WR2L41y53QSx1bkUHLbVhoq3Bwrgxy4NJN4pkymjRJgrawmZRH3Op1P45LLKo12iW1k_OeRWxTAZsmUF8j7RcknMAzuCRcvEYQ9A9BHsgLr9WurWWI1F-gGeQpUIVFvq5NGzfJhXZCK1041nA2cLDFxhI2lse4omHYaEO6EAEKk4U8jH6rKWbTjVkiJNhcvfsK6_3P--uLVj94vcOv2rOS37eV7lb1p5H0FYnJx6tenXhyGjP0Xg3-yKlf3s2VCT4J5CM_RSfkkKR-NdwfMFBB6KCdttsmesgM8bqdagMkXcsJxZWCCNWcZOBBUfYZKJjOonHQL5q8GVqxNXlzw9T8U5SNSZ3c28sc5MFGjbJnN1Yw5XGswAo8GHwtTY6_pbg-YA-vYaP9zhltGIn4mXc5sLegVjuuCIWsm_fGGPUnHzLhzUGrHTutsAg4J72yprh9ymahj7KtN2yrfq22p8VgK2FeiLrGIy6blcoqjDKRu98uduPRuGk34M_IfS6-lCV_76L0ugEcNwb3bCNxu92N5__7h5TuYO9f0cVOau3W6bXaIPfmTY-pFyxdh4NtaGsAbv2poQhmDPYzd2tFCt7vZ2DbYLAeD2XkfHnpQct1DfMtr_uNPVcXinZ7aVyQhWPSmHLAj7_wRwFlrBVjTeewGsllNPFMoFm12_3FjbfGrlZUOMoQI0E4ZZp2phavRZMOzDfd6K_jQLNSeU2UPe7vAF--htxtfb-v0P283-gYHgdUAEPW3N7v9bmfeG_Q3t_udpztaigR_m8fF3-txZYbPbgwDDQNyfQgHmlEGKxrzwa_cQMF9Z8yltnQxKcNqOpKCriUtxIPpyGB5rSAvwyT2Q1jsZ7C4GcHi9Qkspr6KaVY1mkjtTsZyQuU-US7bEmJRxkFx0qGfzbauJpiIzJB9q48STWkoj5Y54tGs4rgKKQTIqYJHSpxZVqlhzqsJ7Bmj8FbzzNJjI77lhr9gQYmcV6ZrDgJrfKMIp4XUh7IoyCPJ3j4IHBuSAbzDJI4R8xC9-P1rixUovs5HK4vDFjudHatsfWLjyXxsSvriwbF5mNHYYjWreT1tw9wxQfvNdUWUIFhzaxswovx3Sapx9rsPqmQkIJredHDLp0c2YK-kJZr2KxVCj69EnhQVoxF50O_1A8utKDqXAz9hrsk8cVwWS_W6XFRNvaxenQv-7kbf_wvXFn0o" id="44" name="Picture"/>
            <a:graphic>
              <a:graphicData uri="http://schemas.openxmlformats.org/drawingml/2006/picture">
                <pic:pic>
                  <pic:nvPicPr>
                    <pic:cNvPr descr="C:/Users/15919/Desktop/论文草稿/temp/manuscript_figures_otd4ccym/figure_000003.png" id="45" name="Picture"/>
                    <pic:cNvPicPr>
                      <a:picLocks noChangeArrowheads="1" noChangeAspect="1"/>
                    </pic:cNvPicPr>
                  </pic:nvPicPr>
                  <pic:blipFill>
                    <a:blip r:embed="rId43"/>
                    <a:stretch>
                      <a:fillRect/>
                    </a:stretch>
                  </pic:blipFill>
                  <pic:spPr bwMode="auto">
                    <a:xfrm>
                      <a:off x="0" y="0"/>
                      <a:ext cx="5731510" cy="2953750"/>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3 | End-to-end ligand-region detection and identity matching.</w:t>
      </w:r>
      <w:r>
        <w:rPr>
          <w:rFonts w:ascii="华文仿宋" w:hAnsi="华文仿宋" w:eastAsia="华文仿宋"/>
          <w:sz w:val="18"/>
        </w:rPr>
        <w:t xml:space="preserve"> </w:t>
      </w:r>
      <w:r>
        <w:rPr>
          <w:rFonts w:ascii="华文仿宋" w:hAnsi="华文仿宋" w:eastAsia="华文仿宋"/>
          <w:sz w:val="18"/>
        </w:rPr>
        <w:t xml:space="preserve">The curves show the percentage of the 179 test PDB entries with successful predictions within an attempt budget of</w:t>
      </w:r>
      <w:r>
        <w:rPr>
          <w:rFonts w:ascii="华文仿宋" w:hAnsi="华文仿宋" w:eastAsia="华文仿宋"/>
          <w:sz w:val="18"/>
        </w:rPr>
        <w:t xml:space="preserve"> </w:t>
      </w:r>
      <m:oMath>
        <m:r>
          <m:t>K</m:t>
        </m:r>
        <m:r>
          <m:rPr>
            <m:sty m:val="p"/>
          </m:rPr>
          <m:t>=</m:t>
        </m:r>
        <m:r>
          <m:t>1</m:t>
        </m:r>
        <m:r>
          <m:rPr>
            <m:sty m:val="p"/>
          </m:rPr>
          <m:t>–</m:t>
        </m:r>
        <m:r>
          <m:t>10</m:t>
        </m:r>
      </m:oMath>
      <w:r>
        <w:rPr>
          <w:rFonts w:ascii="华文仿宋" w:hAnsi="华文仿宋" w:eastAsia="华文仿宋"/>
          <w:sz w:val="18"/>
        </w:rPr>
        <w:t xml:space="preserve">. Find+Match curves require end-to-end correct region detection and ligand identity matching, whereas Find and Emap2lig-Find curves require only correct region detection. Find and Match denote LigandSeek-Find and LigandSeek-Match, respectively. GT denotes deposited receptor structures, and CA2 denotes CryoAtom2-reconstructed receptor structures.</w:t>
      </w:r>
    </w:p>
    <w:p>
      <w:pPr>
        <w:pStyle w:val="BodyText"/>
        <w:spacing w:line="360" w:lineRule="auto" w:after="120"/>
        <w:ind w:firstLine="420"/>
      </w:pPr>
      <w:r>
        <w:t xml:space="preserve">We first evaluated end-to-end ligand-region detection and identity matching in 179 independent test PDB entries</w:t>
      </w:r>
      <w:r>
        <w:t xml:space="preserve"> </w:t>
      </w:r>
      <w:r>
        <w:t xml:space="preserve">(</w:t>
      </w:r>
      <w:r>
        <w:rPr>
          <w:rStyle w:val="MDFIGREF_eJyrrk7LTC9KTbNKNUrVTczJ0U3LzEvRzU0sSc6orQUApM0LCA"/>
        </w:rPr>
        <w:t xml:space="preserve">Fig. 3</w:t>
      </w:r>
      <w:r>
        <w:t xml:space="preserve">).</w:t>
      </w:r>
      <w:r>
        <w:t xml:space="preserve"> </w:t>
      </w:r>
      <w:r>
        <w:t xml:space="preserve">These entries contained coexisting ligand categories, including small molecules, ions and sugars. Under the strictest single-attempt condition (</w:t>
      </w:r>
      <m:oMath>
        <m:r>
          <m:t>K</m:t>
        </m:r>
        <m:r>
          <m:rPr>
            <m:sty m:val="p"/>
          </m:rPr>
          <m:t>=</m:t>
        </m:r>
        <m:r>
          <m:t>1</m:t>
        </m:r>
      </m:oMath>
      <w:r>
        <w:t xml:space="preserve">), end-to-end region detection and identity matching succeeded in 120 entries (67.0%) with CryoAtom2-reconstructed receptors (CA2), while region detection alone succeeded in 134 entries (74.9%). With deposited receptors (GT), the corresponding counts were 142 (79.3%) for joint success and 148 (82.7%) for region detection alone. As the attempt budget increased to 10, end-to-end success rates rapidly plateaued at 87.7% with CA2 receptors and 92.2% with GT receptors. By comparison, Emap2lig-Find detected ligand regions but could not identify their chemical identities. It detected regions in only 76 entries (42.5%) at</w:t>
      </w:r>
      <w:r>
        <w:t xml:space="preserve"> </w:t>
      </w:r>
      <m:oMath>
        <m:r>
          <m:t>K</m:t>
        </m:r>
        <m:r>
          <m:rPr>
            <m:sty m:val="p"/>
          </m:rPr>
          <m:t>=</m:t>
        </m:r>
        <m:r>
          <m:t>1</m:t>
        </m:r>
      </m:oMath>
      <w:r>
        <w:t xml:space="preserve"> </w:t>
      </w:r>
      <w:r>
        <w:t xml:space="preserve">and 104 entries (58.1%) within</w:t>
      </w:r>
      <w:r>
        <w:t xml:space="preserve"> </w:t>
      </w:r>
      <m:oMath>
        <m:r>
          <m:t>K</m:t>
        </m:r>
        <m:r>
          <m:rPr>
            <m:sty m:val="p"/>
          </m:rPr>
          <m:t>≤</m:t>
        </m:r>
        <m:r>
          <m:t>10</m:t>
        </m:r>
      </m:oMath>
      <w:r>
        <w:t xml:space="preserve">.</w:t>
      </w:r>
    </w:p>
    <w:bookmarkEnd w:id="46"/>
    <w:bookmarkStart w:id="50" w:name="X6e1b63a4e35e6bf9431f623eff6c1e348a6971c"/>
    <w:p>
      <w:pPr>
        <w:pStyle w:val="3"/>
        <w:keepNext/>
        <w:ind w:firstLine="0"/>
      </w:pPr>
      <w:r>
        <w:t xml:space="preserve">End-to-end reconstruction of all-atom small-molecule poses</w:t>
      </w:r>
    </w:p>
    <w:p>
      <w:pPr>
        <w:pStyle w:val="CaptionedFigure"/>
        <w:keepNext/>
        <w:spacing w:line="240" w:lineRule="auto" w:before="0" w:after="0"/>
        <w:ind w:firstLine="0"/>
        <w:jc w:val="center"/>
      </w:pPr>
      <w:r>
        <w:drawing>
          <wp:inline>
            <wp:extent cx="5731510" cy="5017040"/>
            <wp:effectExtent b="0" l="0" r="0" t="0"/>
            <wp:docPr descr="Fig. 4 | End-to-end modelling of small molecules. Eligible small molecules are single-residue organic small molecules with no atoms missing relative to their templates. Curves show the percentage of the 77 test PDB entries with successful predictions within an attempt budget of K = 1–10. Find and Match denote LigandSeek-Find and LigandSeek-Match, respectively. GT and CA2 denote deposited and CryoAtom2-reconstructed receptor structures, respectively. a, Find+Match curves require end-to-end correct region detection and ligand identity matching, whereas Find and Emap2lig-Find curves require only correct region detection. b, c, Success rates for end-to-end pose reconstruction with DG-PocketXmol using deposited (GT, b) and CryoAtom2-reconstructed (CA2, c) receptor structures across charged attempts K. Success requires RMSD below 2 Å or 3 Å. Solid lines denote top-1 poses selected by model score; dashed lines denote best-of-50 poses." title="MDPPTFIG_eJztWN2PGzUQ_1dGeWpFkk3SC8eF9qQj9yHEHYp6RUJi0cnxOlnrdtfG9iaXUiReEEKovBTxAuKZp_4BVKIP_CeIfvwZzNibj_soqtqHkoqqubVnxr8Ze2bssb-saebSWg9qz3589OTnP6K9zt6zRw-e_vpLU2t3VqtDzQirsolISKjfi-NPrDA2jtvdrfZWHO8Ke-qUjuPnD39_-tO3z-9_9-y3x3Ec0OL4MlzBckFQoiMaNmdZ1tBSi0wWgricaSdVcZIzc1pqlPusdnPa03CWZ4XtTW_FtdQ53Ysiy1ORM9tUWhTIHCmTM4ddM46myiTaKC6slcU4z6JOq_VulDNZxLVtQhsY_zl2s0zAtDdhGeJ-mLOx6Af1JBfNJUj2VAh9iCZaT1_pTXtWM45qEIfmgECdjVZcq7q3y4xIrHSqwqzEaaQsEhQbSWPdYRjaqoSQEwwIloY_VXtfFc7iOGa5lDjmyf0fcN3_fvT4ycPvvV7BrNuxkl3FS3cKe3mQ1xWAScXQ94e-2Q8z9l80_u5iudrvzSd0NwwP5jnylJ8kzUdj7AgzESi6L8dN2IB7sFckDacaAiefq0RkGS2eGoGPBSRlguOi2SaBugD9BtbgNWYKa2v5XibHcog5ccEXwAzS0E-ZaKC0TEoBmGiskPyS6FS6FAoFzKncQi59DoIRGXNyIsApcKmQBpzINdLQ0dAvUb0Fm6opMUELw0XhMB0pLoiyuYny1sFg9wNAjpFzRbbklOajMgOcRyI5ZW_gyQIY_nekyMGwTMbCId7aOud8WOU9dYQbd7Uv5i-1L6rRSHKxq3iZ4yLOd0WXkh15AHXbH92Mcq-mooQ_A_-xbgZ5Zb721ntaEB5UALeuAnDb7dfF_evrBy9Abp2jR9XSrJd3m7BPxwHDHxrPU0hEoZyAQ4lplhwLcdpYCKzQvGwd08tqwSnBslkTDu54sf5OZ46SCK2sdCKM75uZ2sH07GAyc0wXZ0pOPOwJ7ZSBQCkR9QL0W5I8b8eJytbWG3Uf7O-EQOdh9zfii1LiMSOW5QFXBkPSIWuMuzoGsRN-f_dBnPkkAIkR7iTtHwSGR00dpqkwOLtlQu3lTHdQPmTQBX2qyGYv1PR_wP-XAn64tt6or63lb2Mc8bX1Rh2OQ8ELhkpnwOpudcPEQ17AyplOe5kvk3cPGgPFT4X7FAt1KH1JvqwJrh3cqcPw-r_WBtewmqgDv35VkQCMG4U28ZSZMdUYoea2a7vMb6TUXte6dRGR4UC1cPvoeBeGIsPbXAf-_AZvinADvyipMkkHd4FCVWHqlG60fdzi_U_gHZJibTgLLwNg8VwW70PCbCouDBzidbChRo1uK4w-f1LT08l27fM61BbvSLXu5o12t90667bam62N1r2bWvIe_iq_spfya2LY9NKbUoWAWK-CgcMoixYw5pUDLFyyMWlTqS25kWZYTAaSkxOpwz-eDAwuoeWkpd-L_Fte5J_youolL1p9yIsok3GaRYlDpHYnIzmmlD9RLtngfJZHgXDSon8bTV2McSIyQfSNLWzRYx-2B_M5omsWdixNCgYyWsFD3KYsFKqfsmIsdoxRWM6xxFJoEt6c4S8lgYiYy6ErCgJqdGkRhpnU-zLLSCO1_fjQYHjtNAILSWqOUOY2avH8c52FUHQej3pW4woPp0cYwCsPf6x3NjI5fdFxcBae-mC2ePLzdGKLMwec-FW4ohQnsSpqK2GU8t85qDbWHQiVAzVQmorZoJZNDm2QXbbm0sQvVDA9WjZZL8NjA1G2up1uQLlSivyy5x8qV9qs55jM5uTVdlZU62X1wi_426599Q_GDoBL" id="48" name="Picture"/>
            <a:graphic>
              <a:graphicData uri="http://schemas.openxmlformats.org/drawingml/2006/picture">
                <pic:pic>
                  <pic:nvPicPr>
                    <pic:cNvPr descr="C:/Users/15919/Desktop/论文草稿/temp/manuscript_figures_otd4ccym/figure_000004.png" id="49" name="Picture"/>
                    <pic:cNvPicPr>
                      <a:picLocks noChangeArrowheads="1" noChangeAspect="1"/>
                    </pic:cNvPicPr>
                  </pic:nvPicPr>
                  <pic:blipFill>
                    <a:blip r:embed="rId47"/>
                    <a:stretch>
                      <a:fillRect/>
                    </a:stretch>
                  </pic:blipFill>
                  <pic:spPr bwMode="auto">
                    <a:xfrm>
                      <a:off x="0" y="0"/>
                      <a:ext cx="5731510" cy="5017040"/>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4 | End-to-end modelling of small molecules.</w:t>
      </w:r>
      <w:r>
        <w:rPr>
          <w:rFonts w:ascii="华文仿宋" w:hAnsi="华文仿宋" w:eastAsia="华文仿宋"/>
          <w:sz w:val="18"/>
        </w:rPr>
        <w:t xml:space="preserve"> </w:t>
      </w:r>
      <w:r>
        <w:rPr>
          <w:rFonts w:ascii="华文仿宋" w:hAnsi="华文仿宋" w:eastAsia="华文仿宋"/>
          <w:sz w:val="18"/>
        </w:rPr>
        <w:t xml:space="preserve">Eligible small molecules are single-residue organic small molecules with no atoms missing relative to their templates. Curves show the percentage of the 77 test PDB entries with successful predictions within an attempt budget of</w:t>
      </w:r>
      <w:r>
        <w:rPr>
          <w:rFonts w:ascii="华文仿宋" w:hAnsi="华文仿宋" w:eastAsia="华文仿宋"/>
          <w:sz w:val="18"/>
        </w:rPr>
        <w:t xml:space="preserve"> </w:t>
      </w:r>
      <m:oMath>
        <m:r>
          <m:t>K</m:t>
        </m:r>
        <m:r>
          <m:rPr>
            <m:sty m:val="p"/>
          </m:rPr>
          <m:t>=</m:t>
        </m:r>
        <m:r>
          <m:t>1</m:t>
        </m:r>
        <m:r>
          <m:rPr>
            <m:sty m:val="p"/>
          </m:rPr>
          <m:t>–</m:t>
        </m:r>
        <m:r>
          <m:t>10</m:t>
        </m:r>
      </m:oMath>
      <w:r>
        <w:rPr>
          <w:rFonts w:ascii="华文仿宋" w:hAnsi="华文仿宋" w:eastAsia="华文仿宋"/>
          <w:sz w:val="18"/>
        </w:rPr>
        <w:t xml:space="preserve">. Find and Match denote LigandSeek-Find and LigandSeek-Match, respectively. GT and CA2 denote deposited and CryoAtom2-reconstructed receptor structures, respectively.</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 Find+Match curves require end-to-end correct region detection and ligand identity matching, whereas Find and Emap2lig-Find curves require only correct region detection.</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 Success rates for end-to-end pose reconstruction with DG-PocketXmol using deposited (GT, b) and CryoAtom2-reconstructed (CA2, c) receptor structures across charged attempts</w:t>
      </w:r>
      <w:r>
        <w:rPr>
          <w:rFonts w:ascii="华文仿宋" w:hAnsi="华文仿宋" w:eastAsia="华文仿宋"/>
          <w:sz w:val="18"/>
        </w:rPr>
        <w:t xml:space="preserve"> </w:t>
      </w:r>
      <m:oMath>
        <m:r>
          <m:t>K</m:t>
        </m:r>
      </m:oMath>
      <w:r>
        <w:rPr>
          <w:rFonts w:ascii="华文仿宋" w:hAnsi="华文仿宋" w:eastAsia="华文仿宋"/>
          <w:sz w:val="18"/>
        </w:rPr>
        <w:t xml:space="preserve">. Success requires RMSD below 2 Å or 3 Å. Solid lines denote top-1 poses selected by model score; dashed lines denote best-of-50 poses.</w:t>
      </w:r>
    </w:p>
    <w:p>
      <w:pPr>
        <w:pStyle w:val="BodyText"/>
        <w:spacing w:line="360" w:lineRule="auto" w:after="120"/>
        <w:ind w:firstLine="420"/>
      </w:pPr>
      <w:r>
        <w:t xml:space="preserve">We evaluated the full end-to-end reconstruction pipeline (detection, matching, and pose reconstruction) for eligible small molecules across 77 PDB entries which contain at least one of them</w:t>
      </w:r>
      <w:r>
        <w:t xml:space="preserve"> </w:t>
      </w:r>
      <w:r>
        <w:t xml:space="preserve">(</w:t>
      </w:r>
      <w:r>
        <w:rPr>
          <w:rStyle w:val="MDFIGREF_eJyrrk7LTC9KTbNKNUrVLc5NzMnRLcgsSM3JzEutSdJJrq0FANjnDNA"/>
        </w:rPr>
        <w:t xml:space="preserve">Fig. 4b, c</w:t>
      </w:r>
      <w:r>
        <w:t xml:space="preserve">).</w:t>
      </w:r>
      <w:r>
        <w:t xml:space="preserve"> </w:t>
      </w:r>
      <w:r>
        <w:t xml:space="preserve">In all evaluations, DG-PocketXmol used the centroid of the ligand region predicted by Find to define the binding site and pocket, without relying on ground-truth ligand coordinates. We tested the pipeline using both deposited receptors</w:t>
      </w:r>
      <w:r>
        <w:t xml:space="preserve"> </w:t>
      </w:r>
      <w:r>
        <w:t xml:space="preserve">(</w:t>
      </w:r>
      <w:r>
        <w:rPr>
          <w:rStyle w:val="MDFIGREF_eJyrrk7LTC9KTbNKNUrVLc5NzMnRLcgsSM3JzEutSaqtBQDAgAxB"/>
        </w:rPr>
        <w:t xml:space="preserve">Fig. 4b</w:t>
      </w:r>
      <w:r>
        <w:t xml:space="preserve">)</w:t>
      </w:r>
      <w:r>
        <w:t xml:space="preserve"> </w:t>
      </w:r>
      <w:r>
        <w:t xml:space="preserve">and CryoAtom2-reconstructed receptors</w:t>
      </w:r>
      <w:r>
        <w:t xml:space="preserve"> </w:t>
      </w:r>
      <w:r>
        <w:t xml:space="preserve">(</w:t>
      </w:r>
      <w:r>
        <w:rPr>
          <w:rStyle w:val="MDFIGREF_eJyrrk7LTC9KTbNKNUrVLc5NzMnRLcgsSM3JzEutSa6tBQDAgwxC"/>
        </w:rPr>
        <w:t xml:space="preserve">Fig. 4c</w:t>
      </w:r>
      <w:r>
        <w:t xml:space="preserve">),</w:t>
      </w:r>
      <w:r>
        <w:t xml:space="preserve"> </w:t>
      </w:r>
      <w:r>
        <w:t xml:space="preserve">where in the latter, no deposited structural information was used at any stage of the pipeline.</w:t>
      </w:r>
    </w:p>
    <w:p>
      <w:pPr>
        <w:pStyle w:val="BodyText"/>
        <w:spacing w:line="360" w:lineRule="auto" w:after="120"/>
        <w:ind w:firstLine="420"/>
      </w:pPr>
      <w:r>
        <w:t xml:space="preserve">The strictest evaluation allowed one attempt (</w:t>
      </w:r>
      <m:oMath>
        <m:r>
          <m:t>K</m:t>
        </m:r>
        <m:r>
          <m:rPr>
            <m:sty m:val="p"/>
          </m:rPr>
          <m:t>=</m:t>
        </m:r>
        <m:r>
          <m:t>1</m:t>
        </m:r>
      </m:oMath>
      <w:r>
        <w:t xml:space="preserve">), selected only the top-1 pose and required RMSD &lt; 2 Å. Under this criterion, 34/77 entries (44.2%) succeeded with CryoAtom2-reconstructed receptors, compared with 44/77 (57.1%) with deposited receptors. At RMSD &lt; 3 Å, the corresponding counts were 41/77 (53.2%) and 50/77 (64.9%). Allowing up to 10 charged attempts (</w:t>
      </w:r>
      <m:oMath>
        <m:r>
          <m:t>K</m:t>
        </m:r>
        <m:r>
          <m:rPr>
            <m:sty m:val="p"/>
          </m:rPr>
          <m:t>≤</m:t>
        </m:r>
        <m:r>
          <m:t>10</m:t>
        </m:r>
      </m:oMath>
      <w:r>
        <w:t xml:space="preserve">) increased top-1 success with CryoAtom2-reconstructed receptors to 46/77 entries (59.7%) at RMSD &lt; 2 Å and 52/77 (67.5%) at RMSD &lt; 3 Å. With deposited receptors, 51/77 entries (66.2%) and 55/77 (71.4%) achieved success at RMSD &lt; 2 Å and &lt; 3 Å, respectively.</w:t>
      </w:r>
    </w:p>
    <w:p>
      <w:pPr>
        <w:pStyle w:val="BodyText"/>
        <w:spacing w:line="360" w:lineRule="auto" w:after="120"/>
        <w:ind w:firstLine="420"/>
      </w:pPr>
      <w:r>
        <w:t xml:space="preserve">For best-of-50 poses within</w:t>
      </w:r>
      <w:r>
        <w:t xml:space="preserve"> </w:t>
      </w:r>
      <m:oMath>
        <m:r>
          <m:t>K</m:t>
        </m:r>
        <m:r>
          <m:rPr>
            <m:sty m:val="p"/>
          </m:rPr>
          <m:t>≤</m:t>
        </m:r>
        <m:r>
          <m:t>10</m:t>
        </m:r>
      </m:oMath>
      <w:r>
        <w:t xml:space="preserve">, success at RMSD &lt; 2 Å reached 67.5% and 75.3% with CryoAtom2-reconstructed and deposited receptors, respectively. At RMSD &lt; 3 Å, the corresponding success rates were 75.3% and 76.6%.</w:t>
      </w:r>
    </w:p>
    <w:p>
      <w:pPr>
        <w:pStyle w:val="BodyText"/>
        <w:spacing w:line="360" w:lineRule="auto" w:after="120"/>
        <w:ind w:firstLine="420"/>
      </w:pPr>
      <w:r>
        <w:rPr>
          <w:rStyle w:val="MDFIGREF_eJyrrk7LTC9KTbNKNUrVLc5NzMnRLcgsSM3JzEutSaytBQDAfQxA"/>
        </w:rPr>
        <w:t xml:space="preserve">Fig. 4a</w:t>
      </w:r>
      <w:r>
        <w:t xml:space="preserve"> </w:t>
      </w:r>
      <w:r>
        <w:t xml:space="preserve">further separates the success rates of individual pipeline stages. Within the first 10 charged attempts (</w:t>
      </w:r>
      <m:oMath>
        <m:r>
          <m:t>K</m:t>
        </m:r>
        <m:r>
          <m:rPr>
            <m:sty m:val="p"/>
          </m:rPr>
          <m:t>≤</m:t>
        </m:r>
        <m:r>
          <m:t>10</m:t>
        </m:r>
      </m:oMath>
      <w:r>
        <w:t xml:space="preserve">), Find alone succeeded in 88.3% and 89.6% of entries with CryoAtom2-reconstructed and deposited receptors, respectively. Both exceeded Emap2lig-Find’s success rate of 76.6% in this subset. Requiring both Find and Match to succeed yielded rates of 81.8% and 83.1%, respectively.</w:t>
      </w:r>
    </w:p>
    <w:bookmarkEnd w:id="50"/>
    <w:bookmarkEnd w:id="51"/>
    <w:bookmarkStart w:id="55" w:name="X9c1e71af165d87e9c7616a17e64efc2f5522419"/>
    <w:p>
      <w:pPr>
        <w:pStyle w:val="2"/>
        <w:keepNext/>
        <w:ind w:firstLine="0"/>
      </w:pPr>
      <w:r>
        <w:t xml:space="preserve">Find–Build comparison with correct ligand identities</w:t>
      </w:r>
    </w:p>
    <w:p>
      <w:pPr>
        <w:pStyle w:val="FirstParagraph"/>
        <w:spacing w:line="360" w:lineRule="auto" w:after="120"/>
        <w:ind w:firstLine="420"/>
      </w:pPr>
      <w:r>
        <w:t xml:space="preserve">Full completion curves and per-PDB distributions for the Find–Build comparison with correct ligand identities are shown in</w:t>
      </w:r>
      <w:r>
        <w:t xml:space="preserve"> </w:t>
      </w:r>
      <w:r>
        <w:rPr>
          <w:rStyle w:val="MDFIGREF_eJyrrk7LTC9KTbMqLi0o0E3LzEvRTc4vKkpNLtHNTSxJztBNKs3MSamtBQBErw_K"/>
        </w:rPr>
        <w:t xml:space="preserve">Fig. 5</w:t>
      </w:r>
      <w:r>
        <w:t xml:space="preserve">.</w:t>
      </w:r>
    </w:p>
    <w:p>
      <w:pPr>
        <w:pStyle w:val="CaptionedFigure"/>
        <w:keepNext/>
        <w:spacing w:line="240" w:lineRule="auto" w:before="0" w:after="0"/>
        <w:ind w:firstLine="0"/>
        <w:jc w:val="center"/>
      </w:pPr>
      <w:r>
        <w:drawing>
          <wp:inline>
            <wp:extent cx="5029200" cy="6218691"/>
            <wp:effectExtent b="0" l="0" r="0" t="0"/>
            <wp:docPr descr="Fig. 5 | Find–Build completion of small molecules, assuming correct ligand identities. Eligible small molecules are single-residue organic small molecules with no atoms missing relative to their templates. Every panel contains the same 77 PDBs and 446 instances. a–d, Emap2lig. e–h, LigandSeek with CryoAtom2 receptors. i–l, LigandSeek with deposited receptors. Within each group, top and bottom rows show top-1 and best-of-50 poses; left and right columns require heavy-atom RMSD strictly &lt;2\,\mathrm{Å} and &lt;3\,\mathrm{Å}. Every blob corresponding to an eligible small molecule receives the correct SMILES. LigandSeek uses single-pass DG-PocketXmol centre docking, whereas Emap2lig uses its native guiding blob. Background blobs are charged, and out-of-scope foreground blobs are skipped. Undetected and failed instances remain in the denominator. For N target instances per PDB, relative budget \rho allows \lfloor\rho N\rfloor charged attempts. Completion is the number of distinct successful instances divided by N. Green lines and circles show the PDB-equal mean, and blue lines and diamonds show the median. Grey points and violins show PDB distributions at 50\%, 100\%, 200\% and 300\% budgets." title="MDPPTFIG_eJztWt2OUzcQfhUrUnuV5OyGDbABVoL9QZV20YoVaqWmWjk-kxxrfWxj-yQbSiV6UVWU0huq3rTqda94gCKViz5A3wGVn8fozPFJNrBboCCVhmalbHzmzzPjz5mJ489rloes1mG1p98_ePzjb8lma_Ppg3tPfv6paW04rNVZzYE3aggpCa13ut1rHpzvdpfbq8ur3e4G-INgbLf77P6vT374-tnd209_edjtRmvd7nFzmudApnxhbaMvddoQxjkQoZHzILJGr5AqJcFUeqv4eH8k0-hhu9mWmjiC2yCN3s-5Oygssj6tnR91LDvMlfad0YVuLQvBdpLEiwxy7pvGgkZm3zicAx_dIBkZl1pnBHgv9SBXSWtp6XSSc6m7tTWytuvKt70wVsBGnSFXaPejnA9gPU5PcslEgmQPAOwVOAxT6aVKZMKYCG1LDX7KqZ5GHW-5QF9QXSEJ9VsraKF6vFooIvEimMpqJU6amEUU60vnw3ZUnUyNnOhlDCf-q8ZbRgePetwLKVHn8d3vcAX_fPDw8f075bzAfbjoJT-Jl13U_rhSOVc0TFP0yudeOVyPEZfv6PyNaZaWz04CuhHVo3uBlrMMkuKxiEJwQ0DRLTlosja7ybYwuEe37l0iwDBhcquA1oWZPvM5V4rlRoHAvPk6494XOSW3AhtTcsAxazIFHWSQ4Js0d4gevINUvUVC2Nx6vomrIHu4v15YL8Yd0nC5FDRQWqYFMNy0XEtxTHQkQ8a0YTyY3LNclvuZOVA8yCGwYFjIQDoWAAHCAy402xyCGzPLNSjEgw646T1JMY-fTezMGba7cQl9QHisrJxmyAxcC1LkCLe0zjZzbluKYAhIyOpsuwTTHsBBdGfdjc1F9KeFfgiwwThUliirjsumYI2XAdJZ2Y-RIzUDLjI2cKawdQzEli71TEDLzJmRZz4zI2I0liMLfGiYfqO9xNAm-HNMQT-ULCcHWcBgVZFjrA6uFxJTnAEfjhuUOXZ1Z2-D-eCkCGo8t4B6fivkHbOD1a2qC_lr1QXT70sBG0YUOX4yTKpCyMiPPBotncg7PoxZXvlpSzdLWvleiYS1D1U4R4QQyVMbYa11MvnRrdsnMf7JnL9_9ZyFpErDPK_kPHmO221ufZ-j_XNqsX9etpKTKtdTphebHm-NTqk2YknkWFtOrr1lFcLCGQvipFva2_loe3OvOVu8Ciwwkxptsb1iG5cbu0YcQPgEbTGBq48VJkUKytTZKAOH-ZjWzqgvMYE6FupBIUvvyOEmu8TFARU-qmpIiB2ByLgbABZgqmimKGudFwhChgiEY-L-QFoLaZNd0ykEDANrLGn2uVQ4nNZ1DJn6fiSUMWNHaLBVxKrommzLuMVmftlmDmtX3oPdMr_VJtCWCDNgtuCof60ftcC9IkWRuY3wX4LxH18ucPwuuyal8BvN3Lr_n2ucHn37zckN0gs4_5uP8Tea8c5iB71Dz6vuiPFARx2IKrZ-dCYmYz-ni7yH9cH0WSp9kBpbO18IOgTtF2qmiKRyKFO01VscBfwPup8mu-wANKNz5njuJaQTdLgWD5gQONhRNOB6wfGLAnAdO_CeKmBGJ5U8x28YM0o5IE2X1sfMGkkpIMmhNIqO3EpBtFyC0cleQVBFkUWv8grQtZfe9sP6g_cAtvUFTF4Ok-WlBU4WOHk1TloLnMx367c4cn4lxk8tMD7fGI-nWC_8TI__7VrtszqrTe-C1NpLrVXEwOHp1vLZ06vLN89bKTr4qjDFXwtTqeOjY_dCKgto601soFooHEzNuDcGdzzZw1Y5k9ZTFilCPdyVgnJID-LKcNexFLygWdY7SXlpJynv7CTVlZ1k9sZOQt8ZMUxdoIq0Yb8vB-is3zchXRFinCeRsL9Ef-2m1QMMRKZovb2CI7rVg-PdSYy4NFM_jlyKDnLK4LYRB55ps55xPYCLzplRBjz1hAyyN2F4CyJEIto8Up2ZIFpNjiWhp6TdkkrRjDQu9eOA4-52EERGwz7KXMVZSv5zD1Oh5Hl79OQtZrg32jHp7L0c3jnsu5zeceHY4YXyJg4bX5jcyCnpxKZ7QoL4FVxRSpBYhdpKuLw0lBwZtc6Hy2ByRgOUph9n4rR8uO2j7NFoIk18baLrydGQd5RmdFtqtd1qRysnStG6bJb3iGbGvBO4VBPy7FjpKl_eTtcFX2u1L_4CWiSEvA" id="53" name="Picture"/>
            <a:graphic>
              <a:graphicData uri="http://schemas.openxmlformats.org/drawingml/2006/picture">
                <pic:pic>
                  <pic:nvPicPr>
                    <pic:cNvPr descr="C:/Users/15919/Desktop/论文草稿/temp/manuscript_figures_otd4ccym/figure_000005.png" id="54" name="Picture"/>
                    <pic:cNvPicPr>
                      <a:picLocks noChangeArrowheads="1" noChangeAspect="1"/>
                    </pic:cNvPicPr>
                  </pic:nvPicPr>
                  <pic:blipFill>
                    <a:blip r:embed="rId52"/>
                    <a:stretch>
                      <a:fillRect/>
                    </a:stretch>
                  </pic:blipFill>
                  <pic:spPr bwMode="auto">
                    <a:xfrm>
                      <a:off x="0" y="0"/>
                      <a:ext cx="5029200" cy="6218691"/>
                    </a:xfrm>
                    <a:prstGeom prst="rect">
                      <a:avLst/>
                    </a:prstGeom>
                    <a:noFill/>
                    <a:ln w="9525">
                      <a:noFill/>
                      <a:headEnd/>
                      <a:tailEnd/>
                    </a:ln>
                  </pic:spPr>
                </pic:pic>
              </a:graphicData>
            </a:graphic>
          </wp:inline>
        </w:drawing>
      </w:r>
    </w:p>
    <w:p>
      <w:pPr>
        <w:pStyle w:val="ImageCaption"/>
        <w:keepNext w:val="0"/>
        <w:keepLines/>
        <w:spacing w:line="240" w:lineRule="auto"/>
        <w:ind w:firstLine="0"/>
      </w:pPr>
      <w:r>
        <w:rPr>
          <w:rFonts w:ascii="华文仿宋" w:hAnsi="华文仿宋" w:eastAsia="华文仿宋"/>
          <w:b/>
          <w:bCs/>
          <w:sz w:val="18"/>
        </w:rPr>
        <w:t xml:space="preserve">Fig. 5 | Find–Build completion of small molecules, assuming correct ligand identities.</w:t>
      </w:r>
      <w:r>
        <w:rPr>
          <w:rFonts w:ascii="华文仿宋" w:hAnsi="华文仿宋" w:eastAsia="华文仿宋"/>
          <w:sz w:val="18"/>
        </w:rPr>
        <w:t xml:space="preserve"> </w:t>
      </w:r>
      <w:r>
        <w:rPr>
          <w:rFonts w:ascii="华文仿宋" w:hAnsi="华文仿宋" w:eastAsia="华文仿宋"/>
          <w:sz w:val="18"/>
        </w:rPr>
        <w:t xml:space="preserve">Eligible small molecules are single-residue organic small molecules with no atoms missing relative to their templates. Every panel contains the same 77 PDBs and 446 instances. a–d, Emap2lig. e–h, LigandSeek with CryoAtom2 receptors. i–l, LigandSeek with deposited receptors. Within each group, top and bottom rows show top-1 and best-of-50 poses; left and right columns require heavy-atom RMSD strictly</w:t>
      </w:r>
      <w:r>
        <w:rPr>
          <w:rFonts w:ascii="华文仿宋" w:hAnsi="华文仿宋" w:eastAsia="华文仿宋"/>
          <w:sz w:val="18"/>
        </w:rPr>
        <w:t xml:space="preserve"> </w:t>
      </w:r>
      <m:oMath>
        <m:r>
          <m:rPr>
            <m:sty m:val="p"/>
          </m:rPr>
          <m:t>&lt;</m:t>
        </m:r>
        <m:r>
          <m:t>2</m:t>
        </m:r>
        <m:r>
          <m:t> </m:t>
        </m:r>
        <m:r>
          <m:rPr>
            <m:sty m:val="p"/>
          </m:rPr>
          <m:t>Å</m:t>
        </m:r>
      </m:oMath>
      <w:r>
        <w:rPr>
          <w:rFonts w:ascii="华文仿宋" w:hAnsi="华文仿宋" w:eastAsia="华文仿宋"/>
          <w:sz w:val="18"/>
        </w:rPr>
        <w:t xml:space="preserve"> </w:t>
      </w:r>
      <w:r>
        <w:rPr>
          <w:rFonts w:ascii="华文仿宋" w:hAnsi="华文仿宋" w:eastAsia="华文仿宋"/>
          <w:sz w:val="18"/>
        </w:rPr>
        <w:t xml:space="preserve">and</w:t>
      </w:r>
      <w:r>
        <w:rPr>
          <w:rFonts w:ascii="华文仿宋" w:hAnsi="华文仿宋" w:eastAsia="华文仿宋"/>
          <w:sz w:val="18"/>
        </w:rPr>
        <w:t xml:space="preserve"> </w:t>
      </w:r>
      <m:oMath>
        <m:r>
          <m:rPr>
            <m:sty m:val="p"/>
          </m:rPr>
          <m:t>&lt;</m:t>
        </m:r>
        <m:r>
          <m:t>3</m:t>
        </m:r>
        <m:r>
          <m:t> </m:t>
        </m:r>
        <m:r>
          <m:rPr>
            <m:sty m:val="p"/>
          </m:rPr>
          <m:t>Å</m:t>
        </m:r>
      </m:oMath>
      <w:r>
        <w:rPr>
          <w:rFonts w:ascii="华文仿宋" w:hAnsi="华文仿宋" w:eastAsia="华文仿宋"/>
          <w:sz w:val="18"/>
        </w:rPr>
        <w:t xml:space="preserve">. Every blob corresponding to an eligible small molecule receives the correct SMILES. LigandSeek uses single-pass DG-PocketXmol centre docking, whereas Emap2lig uses its native guiding blob. Background blobs are charged, and out-of-scope foreground blobs are skipped. Undetected and failed instances remain in the denominator. For</w:t>
      </w:r>
      <w:r>
        <w:rPr>
          <w:rFonts w:ascii="华文仿宋" w:hAnsi="华文仿宋" w:eastAsia="华文仿宋"/>
          <w:sz w:val="18"/>
        </w:rPr>
        <w:t xml:space="preserve"> </w:t>
      </w:r>
      <m:oMath>
        <m:r>
          <m:t>N</m:t>
        </m:r>
      </m:oMath>
      <w:r>
        <w:rPr>
          <w:rFonts w:ascii="华文仿宋" w:hAnsi="华文仿宋" w:eastAsia="华文仿宋"/>
          <w:sz w:val="18"/>
        </w:rPr>
        <w:t xml:space="preserve"> </w:t>
      </w:r>
      <w:r>
        <w:rPr>
          <w:rFonts w:ascii="华文仿宋" w:hAnsi="华文仿宋" w:eastAsia="华文仿宋"/>
          <w:sz w:val="18"/>
        </w:rPr>
        <w:t xml:space="preserve">target instances per PDB, relative budget</w:t>
      </w:r>
      <w:r>
        <w:rPr>
          <w:rFonts w:ascii="华文仿宋" w:hAnsi="华文仿宋" w:eastAsia="华文仿宋"/>
          <w:sz w:val="18"/>
        </w:rPr>
        <w:t xml:space="preserve"> </w:t>
      </w:r>
      <m:oMath>
        <m:r>
          <m:t>ρ</m:t>
        </m:r>
      </m:oMath>
      <w:r>
        <w:rPr>
          <w:rFonts w:ascii="华文仿宋" w:hAnsi="华文仿宋" w:eastAsia="华文仿宋"/>
          <w:sz w:val="18"/>
        </w:rPr>
        <w:t xml:space="preserve"> </w:t>
      </w:r>
      <w:r>
        <w:rPr>
          <w:rFonts w:ascii="华文仿宋" w:hAnsi="华文仿宋" w:eastAsia="华文仿宋"/>
          <w:sz w:val="18"/>
        </w:rPr>
        <w:t xml:space="preserve">allows</w:t>
      </w:r>
      <w:r>
        <w:rPr>
          <w:rFonts w:ascii="华文仿宋" w:hAnsi="华文仿宋" w:eastAsia="华文仿宋"/>
          <w:sz w:val="18"/>
        </w:rPr>
        <w:t xml:space="preserve"> </w:t>
      </w:r>
      <m:oMath>
        <m:r>
          <m:rPr>
            <m:sty m:val="p"/>
          </m:rPr>
          <m:t>⌊</m:t>
        </m:r>
        <m:r>
          <m:t>ρ</m:t>
        </m:r>
        <m:r>
          <m:t>N</m:t>
        </m:r>
        <m:r>
          <m:rPr>
            <m:sty m:val="p"/>
          </m:rPr>
          <m:t>⌋</m:t>
        </m:r>
      </m:oMath>
      <w:r>
        <w:rPr>
          <w:rFonts w:ascii="华文仿宋" w:hAnsi="华文仿宋" w:eastAsia="华文仿宋"/>
          <w:sz w:val="18"/>
        </w:rPr>
        <w:t xml:space="preserve"> </w:t>
      </w:r>
      <w:r>
        <w:rPr>
          <w:rFonts w:ascii="华文仿宋" w:hAnsi="华文仿宋" w:eastAsia="华文仿宋"/>
          <w:sz w:val="18"/>
        </w:rPr>
        <w:t xml:space="preserve">charged attempts. Completion is the number of distinct successful instances divided by</w:t>
      </w:r>
      <w:r>
        <w:rPr>
          <w:rFonts w:ascii="华文仿宋" w:hAnsi="华文仿宋" w:eastAsia="华文仿宋"/>
          <w:sz w:val="18"/>
        </w:rPr>
        <w:t xml:space="preserve"> </w:t>
      </w:r>
      <m:oMath>
        <m:r>
          <m:t>N</m:t>
        </m:r>
      </m:oMath>
      <w:r>
        <w:rPr>
          <w:rFonts w:ascii="华文仿宋" w:hAnsi="华文仿宋" w:eastAsia="华文仿宋"/>
          <w:sz w:val="18"/>
        </w:rPr>
        <w:t xml:space="preserve">. Green lines and circles show the PDB-equal mean, and blue lines and diamonds show the median. Grey points and violins show PDB distributions at</w:t>
      </w:r>
      <w:r>
        <w:rPr>
          <w:rFonts w:ascii="华文仿宋" w:hAnsi="华文仿宋" w:eastAsia="华文仿宋"/>
          <w:sz w:val="18"/>
        </w:rPr>
        <w:t xml:space="preserve"> </w:t>
      </w:r>
      <m:oMath>
        <m:r>
          <m:t>50</m:t>
        </m:r>
        <m:r>
          <m:rPr>
            <m:sty m:val="p"/>
          </m:rPr>
          <m:t>%</m:t>
        </m:r>
      </m:oMath>
      <w:r>
        <w:rPr>
          <w:rFonts w:ascii="华文仿宋" w:hAnsi="华文仿宋" w:eastAsia="华文仿宋"/>
          <w:sz w:val="18"/>
        </w:rPr>
        <w:t xml:space="preserve">,</w:t>
      </w:r>
      <w:r>
        <w:rPr>
          <w:rFonts w:ascii="华文仿宋" w:hAnsi="华文仿宋" w:eastAsia="华文仿宋"/>
          <w:sz w:val="18"/>
        </w:rPr>
        <w:t xml:space="preserve"> </w:t>
      </w:r>
      <m:oMath>
        <m:r>
          <m:t>100</m:t>
        </m:r>
        <m:r>
          <m:rPr>
            <m:sty m:val="p"/>
          </m:rPr>
          <m:t>%</m:t>
        </m:r>
      </m:oMath>
      <w:r>
        <w:rPr>
          <w:rFonts w:ascii="华文仿宋" w:hAnsi="华文仿宋" w:eastAsia="华文仿宋"/>
          <w:sz w:val="18"/>
        </w:rPr>
        <w:t xml:space="preserve">,</w:t>
      </w:r>
      <w:r>
        <w:rPr>
          <w:rFonts w:ascii="华文仿宋" w:hAnsi="华文仿宋" w:eastAsia="华文仿宋"/>
          <w:sz w:val="18"/>
        </w:rPr>
        <w:t xml:space="preserve"> </w:t>
      </w:r>
      <m:oMath>
        <m:r>
          <m:t>200</m:t>
        </m:r>
        <m:r>
          <m:rPr>
            <m:sty m:val="p"/>
          </m:rPr>
          <m:t>%</m:t>
        </m:r>
      </m:oMath>
      <w:r>
        <w:rPr>
          <w:rFonts w:ascii="华文仿宋" w:hAnsi="华文仿宋" w:eastAsia="华文仿宋"/>
          <w:sz w:val="18"/>
        </w:rPr>
        <w:t xml:space="preserve"> </w:t>
      </w:r>
      <w:r>
        <w:rPr>
          <w:rFonts w:ascii="华文仿宋" w:hAnsi="华文仿宋" w:eastAsia="华文仿宋"/>
          <w:sz w:val="18"/>
        </w:rPr>
        <w:t xml:space="preserve">and</w:t>
      </w:r>
      <w:r>
        <w:rPr>
          <w:rFonts w:ascii="华文仿宋" w:hAnsi="华文仿宋" w:eastAsia="华文仿宋"/>
          <w:sz w:val="18"/>
        </w:rPr>
        <w:t xml:space="preserve"> </w:t>
      </w:r>
      <m:oMath>
        <m:r>
          <m:t>300</m:t>
        </m:r>
        <m:r>
          <m:rPr>
            <m:sty m:val="p"/>
          </m:rPr>
          <m:t>%</m:t>
        </m:r>
      </m:oMath>
      <w:r>
        <w:rPr>
          <w:rFonts w:ascii="华文仿宋" w:hAnsi="华文仿宋" w:eastAsia="华文仿宋"/>
          <w:sz w:val="18"/>
        </w:rPr>
        <w:t xml:space="preserve"> </w:t>
      </w:r>
      <w:r>
        <w:rPr>
          <w:rFonts w:ascii="华文仿宋" w:hAnsi="华文仿宋" w:eastAsia="华文仿宋"/>
          <w:sz w:val="18"/>
        </w:rPr>
        <w:t xml:space="preserve">budgets.</w:t>
      </w:r>
    </w:p>
    <w:bookmarkEnd w:id="55"/>
    <w:bookmarkStart w:id="59" w:name="X8a5aab89d651b76466706e3093d27fef6dd8eaf"/>
    <w:p>
      <w:pPr>
        <w:pStyle w:val="2"/>
        <w:keepNext/>
        <w:ind w:firstLine="0"/>
      </w:pPr>
      <w:r>
        <w:t xml:space="preserve">Candidate quality at limited candidate counts</w:t>
      </w:r>
    </w:p>
    <w:p>
      <w:pPr>
        <w:pStyle w:val="FirstParagraph"/>
        <w:spacing w:line="360" w:lineRule="auto" w:after="120"/>
        <w:ind w:firstLine="420"/>
      </w:pPr>
      <w:r>
        <w:t xml:space="preserve">To assess detection under limited candidate counts, we measured the fraction of distinct ligand instances recovered from ranked candidates. Relative candidate counts of 100% and 300% permit examining up to one and three times the ground-truth instance count per complex, respectively. At 100%, mean detection completion across all ligands was 55.6% with CA2 and 66.4% with GT, compared with 28.5% for Emap2lig-Find</w:t>
      </w:r>
      <w:r>
        <w:t xml:space="preserve"> </w:t>
      </w:r>
      <w:r>
        <w:t xml:space="preserve">(</w:t>
      </w:r>
      <w:r>
        <w:rPr>
          <w:rStyle w:val="MDFIGREF_eJyrrk7LTC9KTbMqLklMTzXUTU7MS8lMSSxJ1S0sTczJLKmsSa6tBQAUBQ7C"/>
        </w:rPr>
        <w:t xml:space="preserve">Fig. 6c</w:t>
      </w:r>
      <w:r>
        <w:t xml:space="preserve">).</w:t>
      </w:r>
      <w:r>
        <w:t xml:space="preserve"> </w:t>
      </w:r>
      <w:r>
        <w:t xml:space="preserve">For small molecules, the corresponding values were 59.8%, 70.5% and 46.6%</w:t>
      </w:r>
      <w:r>
        <w:t xml:space="preserve"> </w:t>
      </w:r>
      <w:r>
        <w:t xml:space="preserve">(</w:t>
      </w:r>
      <w:r>
        <w:rPr>
          <w:rStyle w:val="MDFIGREF_eJyrrk7LTC9KTbMqLklMTzXUTU7MS8lMSSxJ1S0sTczJLKmsSamtBQAUCA7D"/>
        </w:rPr>
        <w:t xml:space="preserve">Fig. 6d</w:t>
      </w:r>
      <w:r>
        <w:t xml:space="preserve">).</w:t>
      </w:r>
      <w:r>
        <w:t xml:space="preserve"> </w:t>
      </w:r>
      <w:r>
        <w:t xml:space="preserve">At 300%, small-molecule completion reached 68.5% with CA2 and 73.3% with GT, compared with 54.9% for Emap2lig-Find.</w:t>
      </w:r>
    </w:p>
    <w:p>
      <w:pPr>
        <w:pStyle w:val="CaptionedFigure"/>
        <w:keepNext/>
        <w:spacing w:line="240" w:lineRule="auto" w:before="0" w:after="0"/>
        <w:ind w:firstLine="0"/>
        <w:jc w:val="center"/>
      </w:pPr>
      <w:r>
        <w:drawing>
          <wp:inline>
            <wp:extent cx="5731510" cy="4100193"/>
            <wp:effectExtent b="0" l="0" r="0" t="0"/>
            <wp:docPr descr="Fig. 6 | Candidate-region quality and ligand detection at limited candidate counts. LigandSeek-Find uses deposited receptors (GT) or CryoAtom2-reconstructed receptors (CA2) and is compared with the density-only method Emap2lig-Find. All ligands comprise 179 PDB entries and 2,502 instances; small molecules comprise 94 PDB entries and 821 instances. a, b, Instance-level precision and recall for all ligands and small molecules, respectively, at a bidirectional coverage threshold of 0.3. Violins show distributions, faint points show individual PDB entries, and white circles and thick lines indicate medians and interquartile ranges. c, d, Mean detection completion for all ligands and small molecules at relative candidate counts of 100% and 300%. These limits equal one and three times the ground-truth instance count per PDB, respectively. Candidates are assigned by maximal geometric-mean coverage among pairs satisfying bidirectional coverage of at least 0.3. Each instance contributes only its first detection. The small-molecule evaluation omits candidates assigned to other ligand classes but retains background candidates and repeated hits. Bars show PDB-equal means; error bars show 95% intervals from 10,000 PDB bootstrap resamples." title="MDPPTFIG_eJztWN2OGzUUfhUrUiUqJZkku2mbUCpt0y6qtEWrtnDDoJXjcTJWZsbGdv5KuUYIlRsQNyCuueoDUIm-DP15DL5jT7LZbpEquKCLulJ2PPY5n8_fnHPsrxqG-7wxZI2XPz59_vMfifN8Krsvn_7w4tdf2sb4VaPJGlY6XSxkRnSjYZp-6qR1adrtD7qDNL0l3cxrk6avnvz-4qdvXj3-9uVvz9I0AqbpGxErXkpCi4stwatMZdzL1pdzXii_JhrBjVe6Oim5nc0NqD9vXF8ODVuVReWGy4_SRu69GSaJE7ksuWtrIyssTrQtucernSZLbTNjtZDOqWpaFkmv07mSlFxVaeMGoR3b8Ljv14Vky-GCF8C9U0KqUdye6JINBdHOpDRHqpIuzO-8LYfOcIFtgFNgCkC9_U7aqF_vzQua4nOva8yanDhVlYFsoqzzR5G1UxNhJQoQJY3_6vGhrrwDH3dCKfA8f_w9HPDn02fPn3wX9pXc-QOn-JvW8oPKnWcKe0Vg2mIc3sdhOIoahyeEf7g1V_faRqGHkT2K58lTQUnSxyCIpF1IkB6qaZtdYY_YaOt2K6ewNau9zzDPCjWlRya9FOQIxj3mSuVlxrbxwoSeQ9Q2bevj5v-Blf6FLdiFlfwo-Oe-lLPWIYXv3EkHbxntgousFNJ4bR374OMHl5m2bGTX-sDrsgdvC105b-fiNcrRQe9ycL5y8GxpuMX6Uvmc-VwCHBr5dUtXxZqV0uc6Y7dLbnoIlSBDmx0URR04EcAqJ1n36oAd37rJZOWtgpC0Qa_Z7_SYghS8Qnb4kLmSg7fUhRT4UHe4B_vnmK_1uqes72PvXcot_MJ6o3lhJf8_xtH4wnqjye7UqalVyIUsGNaEcqGCViHbUqJDk8T4TrKkpddSYBO0zlDxBcq6SfWXs7HKlI0FmRdIkgtp0SshPYM210XG9IR12ntt9pnS6Hocw-ySZQrZXo3nxAbcCfovz4xWZMZAgOStFipD-d9Nts0g1jJXVOiVFUWdf32uxIxRU-UCp6BOoJSZ4lUkALC0aCasV2jrLK-m7_P0u_V9iQvrjfd5-l2Ko-zCeqPJ7kpe7ZxvqOMsZBi-RXamdGxlwSk7nzsPURbudjqXAuMeBm32IMfO8QDlmKSDFtOVrNOplUjhqgQq9dlTC5Cshf4cjfemz43IzEhLGfpsbWifnuQglwUqjtvTCr37GI06XymIzqZSo2e3SrRK0ntbOnipcWQ2HGdf5qCOm6zpDP03hQaK0TmQHBfrzG0uzghZxUIDQcIxgbQNx-pTQwdbRHO2NuZkEk6c82B8HUwkdjTaaOM10zCQ3ZxNRYElEGA_2MNzqndjLmbRgGcgQuU1ktOBB_XMtdlNbuviB3u2okfIMjiLSGsRAOMtwaB_KZY0CAl1rC7h3Wan0wnFcqy1R3nlhnzCKYZeq3V0e3Cj8UWTNbZXKY3-1b1uv9tZ7SNMuoO9R9eNEkP86tsV_la3K5nly3PXKjUCsP4JBtj83MotjH0rED2ZKCFvaTEv0TpEpPhxoN_IlXH0aZKG1eJYCfow6UV8sji2iAsnaJfRMAn3Wkm41krqW61k91Ir8bI0ULOag0UZfzJRUwjrTrTP9oVYl0mcOOnQ35W2qaZQRGVA7yM7MLr1wvh4oyNcs5XjVKQoICcLHmkxc6zSo5xamAOExTKXPHOUbghvsxA-xTgJzFPWnQ0ianLOCONCmUNVFLQjjQN_HPAhwkp6kdNwApp72CWsn3nZEiVn8ejNGVh4vLyrs927Lz5cTWxJTziOreJtF1tvb73CPC3LlWeC1utwBZUgsjpqa2JQhecG1OBz_xjZhtEA1JRG4rZ8ceQi7eloQ03rlY6iJ6dDPiwqRpeNg36vH1HeSEV-uR3u6nbGfIikUGymd8dFVdvLma1f8LvR-Pov488qFw" id="57" name="Picture"/>
            <a:graphic>
              <a:graphicData uri="http://schemas.openxmlformats.org/drawingml/2006/picture">
                <pic:pic>
                  <pic:nvPicPr>
                    <pic:cNvPr descr="C:/Users/15919/Desktop/论文草稿/temp/manuscript_figures_otd4ccym/figure_000006.png" id="58" name="Picture"/>
                    <pic:cNvPicPr>
                      <a:picLocks noChangeArrowheads="1" noChangeAspect="1"/>
                    </pic:cNvPicPr>
                  </pic:nvPicPr>
                  <pic:blipFill>
                    <a:blip r:embed="rId56"/>
                    <a:stretch>
                      <a:fillRect/>
                    </a:stretch>
                  </pic:blipFill>
                  <pic:spPr bwMode="auto">
                    <a:xfrm>
                      <a:off x="0" y="0"/>
                      <a:ext cx="5731510" cy="4100193"/>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6 | Candidate-region quality and ligand detection at limited candidate counts.</w:t>
      </w:r>
      <w:r>
        <w:rPr>
          <w:rFonts w:ascii="华文仿宋" w:hAnsi="华文仿宋" w:eastAsia="华文仿宋"/>
          <w:sz w:val="18"/>
        </w:rPr>
        <w:t xml:space="preserve"> </w:t>
      </w:r>
      <w:r>
        <w:rPr>
          <w:rFonts w:ascii="华文仿宋" w:hAnsi="华文仿宋" w:eastAsia="华文仿宋"/>
          <w:sz w:val="18"/>
        </w:rPr>
        <w:t xml:space="preserve">LigandSeek-Find uses deposited receptors (GT) or CryoAtom2-reconstructed receptors (CA2) and is compared with the density-only method Emap2lig-Find. All ligands comprise 179 PDB entries and 2,502 instances; small molecules comprise 94 PDB entries and 821 instances.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Instance-level precision and recall for all ligands and small molecules, respectively, at a bidirectional coverage threshold of 0.3. Violins show distributions, faint points show individual PDB entries, and white circles and thick lines indicate medians and interquartile ranges.</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Mean detection completion for all ligands and small molecules at relative candidate counts of 100% and 300%. These limits equal one and three times the ground-truth instance count per PDB, respectively. Candidates are assigned by maximal geometric-mean coverage among pairs satisfying bidirectional coverage of at least 0.3. Each instance contributes only its first detection. The small-molecule evaluation omits candidates assigned to other ligand classes but retains background candidates and repeated hits. Bars show PDB-equal means; error bars show 95% intervals from 10,000 PDB bootstrap resamples.</w:t>
      </w:r>
    </w:p>
    <w:bookmarkEnd w:id="59"/>
    <w:bookmarkStart w:id="102" w:name="X76c4c2505b6f4edefa2e4672fddd853ee425e81"/>
    <w:p>
      <w:pPr>
        <w:pStyle w:val="2"/>
        <w:keepNext/>
        <w:ind w:firstLine="0"/>
      </w:pPr>
      <w:r>
        <w:t xml:space="preserve">Emap2lig without an explicitly supplied contour level</w:t>
      </w:r>
    </w:p>
    <w:p>
      <w:pPr>
        <w:pStyle w:val="FirstParagraph"/>
        <w:spacing w:line="360" w:lineRule="auto" w:after="120"/>
        <w:ind w:firstLine="420"/>
      </w:pPr>
      <w:r>
        <w:t xml:space="preserve">Emap2lig was evaluated without an explicitly supplied EMDB-recommended contour level. The following results retain this independent condition.</w:t>
      </w:r>
    </w:p>
    <w:bookmarkStart w:id="66" w:name="X9497fdd810c5493d41625124eb25d30fb387f27"/>
    <w:p>
      <w:pPr>
        <w:pStyle w:val="3"/>
        <w:keepNext/>
        <w:ind w:firstLine="0"/>
      </w:pPr>
      <w:r>
        <w:t xml:space="preserve">LigandSeek-Find improves ligand-region detection</w:t>
      </w:r>
    </w:p>
    <w:p>
      <w:pPr>
        <w:pStyle w:val="FirstParagraph"/>
        <w:spacing w:line="360" w:lineRule="auto" w:after="120"/>
        <w:ind w:firstLine="420"/>
      </w:pPr>
      <w:r>
        <w:t xml:space="preserve">We evaluated Find on 179 cryo-EM density maps with resolutions below 4.0 Å, containing ligands, released after 1 January 2026, and non-redundant with the training, validation, and internal datasets. These complexes contained 2,502 deposited ligand instances spanning multiple classes, including organic small molecules, metal ions and sugars. The small-molecule subset comprised 821 instances distributed across 94 complexes. We compared LigandSeek-Find with deposited receptors (GT) or CryoAtom2-reconstructed receptors (CA2) against the density-only baseline Emap2lig-Find</w:t>
      </w:r>
      <w:r>
        <w:rPr>
          <w:rStyle w:val="MDCITE_eJyLdijNTSwwyslMjwUAGFAEGg"/>
          <w:vertAlign w:val="superscript"/>
        </w:rPr>
        <w:t xml:space="preserve">1</w:t>
      </w:r>
      <w:r>
        <w:t xml:space="preserve">.</w:t>
      </w:r>
    </w:p>
    <w:p>
      <w:pPr>
        <w:pStyle w:val="BodyText"/>
        <w:spacing w:line="360" w:lineRule="auto" w:after="120"/>
        <w:ind w:firstLine="420"/>
      </w:pPr>
      <w:r>
        <w:t xml:space="preserve">We assessed voxel-wise overlap using semantic Dice, and evaluated ligand-instance detection using instance-level metrics, including precision, recall, and the precision–recall area under the curve (PRAUC). Instance-level metrics used one-to-one matching at a bidirectional coverage threshold of 0.3 (Methods). We also evaluated PRAUC at the stricter threshold of 0.5.</w:t>
      </w:r>
    </w:p>
    <w:p>
      <w:pPr>
        <w:pStyle w:val="BodyText"/>
        <w:spacing w:line="360" w:lineRule="auto" w:after="120"/>
        <w:ind w:firstLine="420"/>
      </w:pPr>
      <w:r>
        <w:t xml:space="preserve">With CA2 receptors, mean Dice increased from 0.050 for Emap2lig-Find to 0.477, and instance-level</w:t>
      </w:r>
      <w:r>
        <w:t xml:space="preserve"> </w:t>
      </w:r>
      <m:oMath>
        <m:sSub>
          <m:e>
            <m:r>
              <m:rPr>
                <m:sty m:val="p"/>
              </m:rPr>
              <m:t>P</m:t>
            </m:r>
            <m:r>
              <m:rPr>
                <m:sty m:val="p"/>
              </m:rPr>
              <m:t>R</m:t>
            </m:r>
            <m:r>
              <m:rPr>
                <m:sty m:val="p"/>
              </m:rPr>
              <m:t>A</m:t>
            </m:r>
            <m:r>
              <m:rPr>
                <m:sty m:val="p"/>
              </m:rPr>
              <m:t>U</m:t>
            </m:r>
            <m:r>
              <m:rPr>
                <m:sty m:val="p"/>
              </m:rPr>
              <m:t>C</m:t>
            </m:r>
          </m:e>
          <m:sub>
            <m:r>
              <m:t>0.3</m:t>
            </m:r>
          </m:sub>
        </m:sSub>
      </m:oMath>
      <w:r>
        <w:t xml:space="preserve"> </w:t>
      </w:r>
      <w:r>
        <w:t xml:space="preserve">increased from 0.255 to 0.541</w:t>
      </w:r>
      <w:r>
        <w:t xml:space="preserve"> </w:t>
      </w:r>
      <w:r>
        <w:t xml:space="preserve">(</w:t>
      </w:r>
      <w:r>
        <w:rPr>
          <w:rStyle w:val="MDFIGREF_eJyrrk7LTC9KTbMqLklMTzXUzS9LLUrMydEtSC1Kyy_KTcxLTtX184_3cQ1z9alJrK0FAMgtEkI"/>
        </w:rPr>
        <w:t xml:space="preserve">Fig. 7a</w:t>
      </w:r>
      <w:r>
        <w:t xml:space="preserve">).</w:t>
      </w:r>
      <w:r>
        <w:t xml:space="preserve"> </w:t>
      </w:r>
      <w:r>
        <w:t xml:space="preserve">With GT receptors, LigandSeek-Find achieved a mean Dice of 0.584 and an instance-level</w:t>
      </w:r>
      <w:r>
        <w:t xml:space="preserve"> </w:t>
      </w:r>
      <m:oMath>
        <m:sSub>
          <m:e>
            <m:r>
              <m:rPr>
                <m:sty m:val="p"/>
              </m:rPr>
              <m:t>P</m:t>
            </m:r>
            <m:r>
              <m:rPr>
                <m:sty m:val="p"/>
              </m:rPr>
              <m:t>R</m:t>
            </m:r>
            <m:r>
              <m:rPr>
                <m:sty m:val="p"/>
              </m:rPr>
              <m:t>A</m:t>
            </m:r>
            <m:r>
              <m:rPr>
                <m:sty m:val="p"/>
              </m:rPr>
              <m:t>U</m:t>
            </m:r>
            <m:r>
              <m:rPr>
                <m:sty m:val="p"/>
              </m:rPr>
              <m:t>C</m:t>
            </m:r>
          </m:e>
          <m:sub>
            <m:r>
              <m:t>0.3</m:t>
            </m:r>
          </m:sub>
        </m:sSub>
      </m:oMath>
      <w:r>
        <w:t xml:space="preserve"> </w:t>
      </w:r>
      <w:r>
        <w:t xml:space="preserve">of 0.663. The advantage persisted for small molecules, with corresponding PRAUC scores of 0.573 for CA2 and 0.701 for GT, compared with 0.462 for Emap2lig-Find</w:t>
      </w:r>
      <w:r>
        <w:t xml:space="preserve"> </w:t>
      </w:r>
      <w:r>
        <w:t xml:space="preserve">(</w:t>
      </w:r>
      <w:r>
        <w:rPr>
          <w:rStyle w:val="MDFIGREF_eJyrrk7LTC9KTbMqLklMTzXUzS9LLUrMydEtSC1Kyy_KTcxLTtX184_3cQ1z9alJqq0FAMgwEkM"/>
        </w:rPr>
        <w:t xml:space="preserve">Fig. 7b</w:t>
      </w:r>
      <w:r>
        <w:t xml:space="preserve">).</w:t>
      </w:r>
    </w:p>
    <w:p>
      <w:pPr>
        <w:pStyle w:val="CaptionedFigure"/>
        <w:keepNext/>
        <w:spacing w:line="240" w:lineRule="auto" w:before="0" w:after="0"/>
        <w:ind w:firstLine="0"/>
        <w:jc w:val="center"/>
      </w:pPr>
      <w:r>
        <w:drawing>
          <wp:inline>
            <wp:extent cx="5731510" cy="5341416"/>
            <wp:effectExtent b="0" l="0" r="0" t="0"/>
            <wp:docPr descr="Fig. 7 | Overall performance of ligand-region detection. LigandSeek-Find uses deposited receptors (GT) or CryoAtom2-reconstructed receptors (CA2) and is compared with the density-only method Emap2lig-Find. All ligands comprise 179 PDB entries and 2,502 instances; small molecules comprise 94 PDB entries and 821 instances. a, b, Semantic Dice, and instance-level PRAUC at a bidirectional coverage threshold of 0.3, for all ligands and small molecules, respectively. Bars and horizontal marks show PDB-equal means; faint points show individual PDB entries. Error bars show 95% intervals from 10,000 PDB bootstrap resamples. c, d, Paired instance-level PRAUC comparisons between LigandSeek-Find (CA2) and Emap2lig-Find. Each point represents one PDB entry; colours indicate map resolution, and dashed lines indicate equal scores. Higher/equal/lower counts are 112/40/27 for all ligands and 40/36/18 for small molecules." title="MDPPTFIG_eJztWM1uGzcQfhVCQIEGkLRa2bJjJQ2gyHZaQE0Eu-mlWxgUd6QlzCVZkpKsND0XRZFeWvTSouee8gAN0LxM8_MYnVlKsmL7ELSHxkUMyMslv_lmyBkNR_N1zfJQ1Lqs9uqnZy9--TPxgU8gffXsx5e__dq0NpzV6qzmwBs1g5xw_W6WPfTgfJalnb10L8v2wZ8GY7Ps9dM_Xv787esn3736_XmWRcIsu5JR8xKILS42zAwcV6phwY2NK7kW0Lj_4GRw8PnBgOCC2yCNPim5O51aFPyidnveteysVNp35x9ltSIE200SLwoouW8aCxoXK7KAr26SzI3LrTMCvJd6Uqqk3WrtJCWXOqvdIbahqx7HYaGAzbszrpD3kxIN7Ef1hEtWCMKeAtiB1OCr-Y23eddbLlAN8iicQqL2diurLV-Ppoqm-DSYJecSTpJS5wgbS-fDIIq2liBciQZES-O_5fjQ6OBRjnshJcq8ePID-uKvZ89fPP2-0gvch56X_Kq1oqf9ZaFKVyQmFaPqfVQN-3HH1RONf7Q-rvTmakOPong0L5Cnqk3SfizGE7gZIPRQTppslz1mD2IEsI0IYGbMlJxwnTccTPD8WQ4BBHmiSdwhavgPjuJfbJhdW8sHlSuOAU4bhxSjUw8ePWKNlwFy5kCADcZ59uG9z24w41jfLUwvmLKN7hNG--Cm4gKy32vfYMjKpGfClJY7XJ_LULBQAJLjjsKiYbRasBJCYXJ2UHLbxqiobGiyHoZMjJFI4KQHlu7useH-XQY6OIlGkoJ2vdNqM4lWUGj5W8yXFG6lUSDw27ghvbd9SfhmOz0XfR9771IC4dfWG_Vra_n_MY5G19YbdXaMJY8OUrB9KaAe8-kyWzUUzECx4VHvYZ_xwDgbyVy6eItyhVmP7t0JYL5FxsKonG7dVnOrzvAaZnwjvRLthaRZx1zuLZGhkkWT3eUu4grj5CPcG2qgks0zpJ5TWm3AV1OaBK4xB4-x-ArMGknHW0EwqcuZzAmzkYSb7MA5NGdE_BVur_MBYgMeAVeejZ0pWdqqt1qtSmxkTMDrhluyj5dWvc_a79a3TVxbb7zP2u9SHOXX1ht1NuSSqt0rM3WshaXHqpmNIMwBNLtYf58Xzxdq4gMuiphUMf1VKukcjIZ1Sl3cQg3KTDGbUsIVPADm6SpbGjWlqyHeIjn3BZpIP1k3kDGFe2EcZeaP5aQAl1STiTJzcMg9JY1YzLM0bSfbraS9e-V1gitbO0l6s1q8cLe8mbDpV--d2pd1Vlu3AGqd3a20k7bOOlvb6Xa68_i2laKLn2VXgL9VVyB3fH6pHbBkQK5_woFiYepgTePeisSMx3h77xsxLdFFkcmB4uQNX0jrKb5oh3o2lIKii17E_dnQ4Q8lL0hLv5tUrZmk6swky8ZMstmXSQKUFreppygibTgZywka609MyLeFWJRJnDhp0d9u0-oJbkTmyL7TxhE1bnA8XO0RXbO249ykaCCnExwYgfe_Nv2C6wn08B6fF8BzT98Z4lstVHVEnETOc9ENBZE1uXQIIyXtoVSKNNK4ko8D3sU6AIIoaDhGzBFqqdbfeFmDkjf56M1bPOHR_FOTb_ZsePds7Ep6ouPYWezSsMW6W1PN0zKcBSZofRmuiBIEW0btEoyo6rkitc6He4BVDQ0QTRVbVMtnAx-x56MVmta1iaYn50PeVZpRk2yv0-5ElitR5JeDqse0MebdwKVaTW-OlV6el7drv-DnTu2bvwHlBK6A" id="61" name="Picture"/>
            <a:graphic>
              <a:graphicData uri="http://schemas.openxmlformats.org/drawingml/2006/picture">
                <pic:pic>
                  <pic:nvPicPr>
                    <pic:cNvPr descr="C:/Users/15919/Desktop/论文草稿/temp/manuscript_figures_otd4ccym/figure_000007.png" id="62" name="Picture"/>
                    <pic:cNvPicPr>
                      <a:picLocks noChangeArrowheads="1" noChangeAspect="1"/>
                    </pic:cNvPicPr>
                  </pic:nvPicPr>
                  <pic:blipFill>
                    <a:blip r:embed="rId60"/>
                    <a:stretch>
                      <a:fillRect/>
                    </a:stretch>
                  </pic:blipFill>
                  <pic:spPr bwMode="auto">
                    <a:xfrm>
                      <a:off x="0" y="0"/>
                      <a:ext cx="5731510" cy="5341416"/>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7 | Overall performance of ligand-region detection.</w:t>
      </w:r>
      <w:r>
        <w:rPr>
          <w:rFonts w:ascii="华文仿宋" w:hAnsi="华文仿宋" w:eastAsia="华文仿宋"/>
          <w:sz w:val="18"/>
        </w:rPr>
        <w:t xml:space="preserve"> </w:t>
      </w:r>
      <w:r>
        <w:rPr>
          <w:rFonts w:ascii="华文仿宋" w:hAnsi="华文仿宋" w:eastAsia="华文仿宋"/>
          <w:sz w:val="18"/>
        </w:rPr>
        <w:t xml:space="preserve">LigandSeek-Find uses deposited receptors (GT) or CryoAtom2-reconstructed receptors (CA2) and is compared with the density-only method Emap2lig-Find. All ligands comprise 179 PDB entries and 2,502 instances; small molecules comprise 94 PDB entries and 821 instances.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Semantic Dice, and instance-level PRAUC at a bidirectional coverage threshold of 0.3, for all ligands and small molecules, respectively. Bars and horizontal marks show PDB-equal means; faint points show individual PDB entries. Error bars show 95% intervals from 10,000 PDB bootstrap resamples.</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Paired instance-level PRAUC comparisons between LigandSeek-Find (CA2) and Emap2lig-Find. Each point represents one PDB entry; colours indicate map resolution, and dashed lines indicate equal scores. Higher/equal/lower counts are 112/40/27 for all ligands and 40/36/18 for small molecules.</w:t>
      </w:r>
    </w:p>
    <w:p>
      <w:pPr>
        <w:pStyle w:val="BodyText"/>
        <w:spacing w:line="360" w:lineRule="auto" w:after="120"/>
        <w:ind w:firstLine="420"/>
      </w:pPr>
      <w:r>
        <w:t xml:space="preserve">Paired comparisons confirmed that the advantage extended across individual complexes</w:t>
      </w:r>
      <w:r>
        <w:t xml:space="preserve"> </w:t>
      </w:r>
      <w:r>
        <w:t xml:space="preserve">(</w:t>
      </w:r>
      <w:r>
        <w:rPr>
          <w:rStyle w:val="MDFIGREF_eJyrrk7LTC9KTbMqLklMTzXUzS9LLUrMydEtSC1Kyy_KTcxLTtX184_3cQ1z9alJ1kmprQUA7KMS1A"/>
        </w:rPr>
        <w:t xml:space="preserve">Fig. 7c, d</w:t>
      </w:r>
      <w:r>
        <w:t xml:space="preserve">).</w:t>
      </w:r>
      <w:r>
        <w:t xml:space="preserve"> </w:t>
      </w:r>
      <w:r>
        <w:t xml:space="preserve">With CA2 receptors, LigandSeek-Find scored higher than Emap2lig-Find on 112 complexes, equally on 40 and lower on 27 across all ligands. At the stricter coverage threshold of 0.5, instance-level PRAUC remained higher with both receptor sources, including in the small-molecule subset</w:t>
      </w:r>
      <w:r>
        <w:t xml:space="preserve"> </w:t>
      </w:r>
      <w:r>
        <w:t xml:space="preserve">(</w:t>
      </w:r>
      <w:r>
        <w:rPr>
          <w:rStyle w:val="MDFIGREF_eJyrrk7LTC9KTbMqLklMTzXULS4pykwu0S3JKEotzsjPSdH184_3cQ1z9amtBQBwbhBE"/>
        </w:rPr>
        <w:t xml:space="preserve">Fig. 9</w:t>
      </w:r>
      <w:r>
        <w:t xml:space="preserve">).</w:t>
      </w:r>
    </w:p>
    <w:p>
      <w:pPr>
        <w:pStyle w:val="BodyText"/>
        <w:spacing w:line="360" w:lineRule="auto" w:after="120"/>
        <w:ind w:firstLine="420"/>
      </w:pPr>
      <w:r>
        <w:t xml:space="preserve">Across the 179 complexes, each contained an average of 14.0 ground-truth ligand instances, whereas Emap2lig-Find produced an average of 353.9 candidate regions. Its mean instance-level precision was 0.037, compared with 0.631 for LigandSeek-Find with CA2 receptors; mean recall was 0.312 versus 0.594</w:t>
      </w:r>
      <w:r>
        <w:t xml:space="preserve"> </w:t>
      </w:r>
      <w:r>
        <w:t xml:space="preserve">(</w:t>
      </w:r>
      <w:r>
        <w:rPr>
          <w:rStyle w:val="MDFIGREF_eJyrrk7LTC9KTbMqLklMTzXUTU7MS8lMSSxJ1S0sTczJLKnU9fOP93ENc_WpSaytBQCfhBFh"/>
        </w:rPr>
        <w:t xml:space="preserve">Fig. 8a</w:t>
      </w:r>
      <w:r>
        <w:t xml:space="preserve">).</w:t>
      </w:r>
      <w:r>
        <w:t xml:space="preserve"> </w:t>
      </w:r>
      <w:r>
        <w:t xml:space="preserve">LigandSeek-Find therefore reduced false positives while recovering more ligand instances, with the same pattern observed for small molecules</w:t>
      </w:r>
      <w:r>
        <w:t xml:space="preserve"> </w:t>
      </w:r>
      <w:r>
        <w:t xml:space="preserve">(</w:t>
      </w:r>
      <w:r>
        <w:rPr>
          <w:rStyle w:val="MDFIGREF_eJyrrk7LTC9KTbMqLklMTzXUTU7MS8lMSSxJ1S0sTczJLKnU9fOP93ENc_WpSaqtBQCfhxFi"/>
        </w:rPr>
        <w:t xml:space="preserve">Fig. 8b</w:t>
      </w:r>
      <w:r>
        <w:t xml:space="preserve">).</w:t>
      </w:r>
      <w:r>
        <w:t xml:space="preserve"> </w:t>
      </w:r>
      <w:r>
        <w:t xml:space="preserve">At the voxel level, additional false-positive density also reduced the overlap measured by Dice.</w:t>
      </w:r>
    </w:p>
    <w:p>
      <w:pPr>
        <w:pStyle w:val="BodyText"/>
        <w:spacing w:line="360" w:lineRule="auto" w:after="120"/>
        <w:ind w:firstLine="420"/>
      </w:pPr>
      <w:r>
        <w:t xml:space="preserve">To assess detection under limited candidate counts, we measured the fraction of distinct ligand instances recovered from ranked candidates. Relative candidate counts of 100% and 300% permit examining up to one and three times the ground-truth instance count per complex, respectively. At 100%, mean detection completion across all ligands was 55.6% with CA2 and 66.4% with GT, compared with 25.9% for Emap2lig-Find</w:t>
      </w:r>
      <w:r>
        <w:t xml:space="preserve"> </w:t>
      </w:r>
      <w:r>
        <w:t xml:space="preserve">(</w:t>
      </w:r>
      <w:r>
        <w:rPr>
          <w:rStyle w:val="MDFIGREF_eJyrrk7LTC9KTbMqLklMTzXUTU7MS8lMSSxJ1S0sTczJLKnU9fOP93ENc_WpSa6tBQCfihFj"/>
        </w:rPr>
        <w:t xml:space="preserve">Fig. 8c</w:t>
      </w:r>
      <w:r>
        <w:t xml:space="preserve">).</w:t>
      </w:r>
      <w:r>
        <w:t xml:space="preserve"> </w:t>
      </w:r>
      <w:r>
        <w:t xml:space="preserve">For small molecules, the corresponding values were 59.8%, 70.5% and 44.2%</w:t>
      </w:r>
      <w:r>
        <w:t xml:space="preserve"> </w:t>
      </w:r>
      <w:r>
        <w:t xml:space="preserve">(</w:t>
      </w:r>
      <w:r>
        <w:rPr>
          <w:rStyle w:val="MDFIGREF_eJyrrk7LTC9KTbMqLklMTzXUTU7MS8lMSSxJ1S0sTczJLKnU9fOP93ENc_WpSamtBQCfjRFk"/>
        </w:rPr>
        <w:t xml:space="preserve">Fig. 8d</w:t>
      </w:r>
      <w:r>
        <w:t xml:space="preserve">).</w:t>
      </w:r>
      <w:r>
        <w:t xml:space="preserve"> </w:t>
      </w:r>
      <w:r>
        <w:t xml:space="preserve">At 300%, small-molecule completion reached 68.5% with CA2 and 73.3% with GT, compared with 51.6% for Emap2lig-Find.</w:t>
      </w:r>
    </w:p>
    <w:p>
      <w:pPr>
        <w:pStyle w:val="CaptionedFigure"/>
        <w:keepNext/>
        <w:spacing w:line="240" w:lineRule="auto" w:before="0" w:after="0"/>
        <w:ind w:firstLine="0"/>
        <w:jc w:val="center"/>
      </w:pPr>
      <w:r>
        <w:drawing>
          <wp:inline>
            <wp:extent cx="5731510" cy="4100193"/>
            <wp:effectExtent b="0" l="0" r="0" t="0"/>
            <wp:docPr descr="Fig. 8 | Candidate-region quality and ligand detection at limited candidate counts. LigandSeek-Find uses deposited receptors (GT) or CryoAtom2-reconstructed receptors (CA2) and is compared with the density-only method Emap2lig-Find. All ligands comprise 179 PDB entries and 2,502 instances; small molecules comprise 94 PDB entries and 821 instances. a, b, Instance-level precision and recall for all ligands and small molecules, respectively, at a bidirectional coverage threshold of 0.3. Violins show distributions, faint points show individual PDB entries, and white circles and thick lines indicate medians and interquartile ranges. c, d, Mean detection completion for all ligands and small molecules at relative candidate counts of 100% and 300%. These limits equal one and three times the ground-truth instance count per PDB, respectively. Candidates are assigned by maximal geometric-mean coverage among pairs satisfying bidirectional coverage of at least 0.3. Each instance contributes only its first detection. The small-molecule evaluation omits candidates assigned to other ligand classes but retains background candidates and repeated hits. Bars show PDB-equal means; error bars show 95% intervals from 10,000 PDB bootstrap resamples." title="MDPPTFIG_eJztWM1uGzcQfhVCQIAGkLSSbCW2mgZwFDsIoKRGkubSLQyKS2kJ7y5ZkpKsND0XRZFeWvTSouee8gAN0LxM8_MY_YZcyXKcAkF7aFzEgLxccubj_O3MkF81DPd5Y8Aar3589uLnPxLn-VR2Xz374eWvv7SN8SeNJmtY6XQxlxnRDQdp-pmT1qVpt7_b3U3Tm9Ide23S9PXT31_-9M3rJ9---u15mkbANH0rYsVLSWhxsSV4lamMe9n6csYL5Zetu58ejfYf7o-IWHDjla6OSm6PZwZsnzeuLQaGnZRF5QaLT9JG7r0ZJIkTuSy5a2sjKyxOtC25x6udJgttM2O1kM6paloWSa_TuZKUXFVp4zqhHdrwuO-XhWSLwZwXwL1dQrxh3J7okhUF0R5LaUaqki7Mb7wtBs5wgW2AU2AKQL3tTtqoX-_NCpriM69rzJqcOFWVgWyirPOjyNqpibASBYiSxn_1-EBX3oGPO6EUeF48-R6e-PPZ8xdPvwv7Su78nlP8bWv5XuXOM4W9IjBtMQ7v4zAcRo3DE8I_Wpuru7NS6FFkj-J58lRQkvQxiCZp5xKkB2raZjvsMRuu_W_lFLZmdRgwzLNCTemRSS8FOYJxj7lSeZmxdeAwoWcQtU3b-rj5f2Clf2ELdmElHwX_3JfyuHVA4Ttz0sFbRrvgIiuFNF5bxz669eAy05YN7VLveV324G2hK-ftTLxBOdzrXQ7OVw6eLQ23WF8onzOfS4BDIyQJXRVLVkqf64ztl9z0ECpBhjbbK4o6cCKAVU6y7tVddnjzBpOVtwpC0ga9Zr_TYwpS8ArZ4WPmSg7eUhdS4EPd4N7dPse80-uesn6Ivfcpt_AL643mhZX8_xhH4wvrjSa7XaemViHnsmBYE8qFClqFbEuJDk0S4xvJkpbeSIFN0DpDxRcoyybVX87GKlM2FmReIEnOpUWvhPQM2lwXGdMT1mlvtdlDpdH1OIbZBcsUsr0az4gNuBP0X54ZrciMgQDJW81VhvK_mWybQaxFrqjQKyuKOv_6XIljRk2VC5yCOoFSZopXkQDA0qKZsF6hrbO8mn7I0-_X9yUurDc-5On3KY6yC-uNJrsjebVxvqGOs5Bh-A7ZmdKxlQWn7HzuPERZuNvpXAqMWxi02YMcO8cDlGOSDlpMV7JOp1YihasSqNRnTy1Ashb6czTeqz43IjMjLWXos7WhfXqSg1wWqDhuTyv07mM06vxEQXQ2lRo9u1WiVZLe69LBS40js-E4-zIHddxkSWfovyk0UIzOgeS4WGf2uTgjZBULDQQJxwTSNhyrTw0dbBHN2VqZk0k4ccaD8XUwkdjQaKWN10zDQHZ1NhUFlkCA_WAPz6nejbk4jgY8AxEqr5GcDjyoZ67NbnBbFz_YsxU9QpbBWURaiwAYrwl2-5diSYOQUMfqEt5tdjqdUCzHWnuUV27IJ5xi6I1aR7cH1xtfNFljfZXS6F_d6va7nZNthEl3d-vxNaPEAL_6doW_0-1KZvni3LVKjQCsf4IBNj-zcg1j3wlETyZKyJtazEq0DhEpfhzoN3JlHH2apGE1P1SCPkx6EXfnhxZx4QTtMhwk4YIrCfdbSX29lWzebiVelgZqVjOwKOOPJmoKYd2R9tm2EMsyiRNHHfrbaZtqCkVUBvQrfYzo-gvjw5WOcM1ajlORooCcLDjS4tixSg9zamH2EBaLXPLMUbohvNVC-BTjJDBPWTc2iKjJOSOMC2UOVFHQjjQO_HHABwgr6UVOwwlo7mGXsH7mZU2UnMWjN2dg4fHijs4277744GRiS3rCcewk3nax5frWK8zTsjzxTNB6Ha6gEkRWR21NDKrwXIEafO63kG0YDUBNaSRuy-cjF2lPRytqWq90FD05HfJBUTG6bNzt9_oR5a1U5Jf9cFe3MeYDJIViNb05LqraXs6s_YLf9cbXfwGM1iy6" id="64" name="Picture"/>
            <a:graphic>
              <a:graphicData uri="http://schemas.openxmlformats.org/drawingml/2006/picture">
                <pic:pic>
                  <pic:nvPicPr>
                    <pic:cNvPr descr="C:/Users/15919/Desktop/论文草稿/temp/manuscript_figures_otd4ccym/figure_000008.png" id="65" name="Picture"/>
                    <pic:cNvPicPr>
                      <a:picLocks noChangeArrowheads="1" noChangeAspect="1"/>
                    </pic:cNvPicPr>
                  </pic:nvPicPr>
                  <pic:blipFill>
                    <a:blip r:embed="rId63"/>
                    <a:stretch>
                      <a:fillRect/>
                    </a:stretch>
                  </pic:blipFill>
                  <pic:spPr bwMode="auto">
                    <a:xfrm>
                      <a:off x="0" y="0"/>
                      <a:ext cx="5731510" cy="4100193"/>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8 | Candidate-region quality and ligand detection at limited candidate counts.</w:t>
      </w:r>
      <w:r>
        <w:rPr>
          <w:rFonts w:ascii="华文仿宋" w:hAnsi="华文仿宋" w:eastAsia="华文仿宋"/>
          <w:sz w:val="18"/>
        </w:rPr>
        <w:t xml:space="preserve"> </w:t>
      </w:r>
      <w:r>
        <w:rPr>
          <w:rFonts w:ascii="华文仿宋" w:hAnsi="华文仿宋" w:eastAsia="华文仿宋"/>
          <w:sz w:val="18"/>
        </w:rPr>
        <w:t xml:space="preserve">LigandSeek-Find uses deposited receptors (GT) or CryoAtom2-reconstructed receptors (CA2) and is compared with the density-only method Emap2lig-Find. All ligands comprise 179 PDB entries and 2,502 instances; small molecules comprise 94 PDB entries and 821 instances.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Instance-level precision and recall for all ligands and small molecules, respectively, at a bidirectional coverage threshold of 0.3. Violins show distributions, faint points show individual PDB entries, and white circles and thick lines indicate medians and interquartile ranges.</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Mean detection completion for all ligands and small molecules at relative candidate counts of 100% and 300%. These limits equal one and three times the ground-truth instance count per PDB, respectively. Candidates are assigned by maximal geometric-mean coverage among pairs satisfying bidirectional coverage of at least 0.3. Each instance contributes only its first detection. The small-molecule evaluation omits candidates assigned to other ligand classes but retains background candidates and repeated hits. Bars show PDB-equal means; error bars show 95% intervals from 10,000 PDB bootstrap resamples.</w:t>
      </w:r>
    </w:p>
    <w:p>
      <w:pPr>
        <w:pStyle w:val="BodyText"/>
        <w:spacing w:line="360" w:lineRule="auto" w:after="120"/>
        <w:ind w:firstLine="420"/>
      </w:pPr>
      <w:r>
        <w:t xml:space="preserve">Emap2lig-Find was closer to LigandSeek-Find in instance-level PRAUC and detection completion than in semantic Dice. Its highest-ranked candidates therefore retained substantial ligand-detection signal despite the much larger final candidate pool. LigandSeek-Find recovered more true instances at both candidate limits, providing a more compact input for downstream identity assignment. Complete detection curves and per-PDB distributions are shown in</w:t>
      </w:r>
      <w:r>
        <w:t xml:space="preserve"> </w:t>
      </w:r>
      <w:r>
        <w:rPr>
          <w:rStyle w:val="MDFIGREF_eJyrrk7LTC9KTbMqLklMTzXUTc7PLchJLcnMz9NNLi0qSy3W9fOP93ENc_WprQUAgekQsA"/>
        </w:rPr>
        <w:t xml:space="preserve">Fig. 10</w:t>
      </w:r>
      <w:r>
        <w:t xml:space="preserve">.</w:t>
      </w:r>
    </w:p>
    <w:bookmarkEnd w:id="66"/>
    <w:bookmarkStart w:id="70" w:name="Xba8877320da9bb618aafc1746dfb353f204cd2f"/>
    <w:p>
      <w:pPr>
        <w:pStyle w:val="3"/>
        <w:keepNext/>
        <w:ind w:firstLine="0"/>
      </w:pPr>
      <w:r>
        <w:t xml:space="preserve">Ligand-region detection at a stricter coverage threshold</w:t>
      </w:r>
    </w:p>
    <w:p>
      <w:pPr>
        <w:pStyle w:val="FirstParagraph"/>
        <w:spacing w:line="360" w:lineRule="auto" w:after="120"/>
        <w:ind w:firstLine="420"/>
      </w:pPr>
      <w:r>
        <w:t xml:space="preserve">We evaluated instance-level PRAUC at a stricter bidirectional coverage threshold of 0.5 using the same all-ligand and small-molecule cohorts. These comprised 179 PDB entries with 2,502 instances and 94 PDB entries with 821 small-molecule instances, respectively. For all ligands, PDB-equal means were 0.558 with GT receptors and 0.447 with CA2 receptors, compared with 0.126 for Emap2lig-Find</w:t>
      </w:r>
      <w:r>
        <w:t xml:space="preserve"> </w:t>
      </w:r>
      <w:r>
        <w:t xml:space="preserve">(</w:t>
      </w:r>
      <w:r>
        <w:rPr>
          <w:rStyle w:val="MDFIGREF_eJyrrk7LTC9KTbMqLklMTzXULS4pykwu0S3JKEotzsjPSdH184_3cQ1z9alJrK0FAJIVESE"/>
        </w:rPr>
        <w:t xml:space="preserve">Fig. 9a</w:t>
      </w:r>
      <w:r>
        <w:t xml:space="preserve">).</w:t>
      </w:r>
      <w:r>
        <w:t xml:space="preserve"> </w:t>
      </w:r>
      <w:r>
        <w:t xml:space="preserve">The corresponding small-molecule scores were 0.605, 0.499 and 0.293, preserving the same advantage</w:t>
      </w:r>
      <w:r>
        <w:t xml:space="preserve"> </w:t>
      </w:r>
      <w:r>
        <w:t xml:space="preserve">(</w:t>
      </w:r>
      <w:r>
        <w:rPr>
          <w:rStyle w:val="MDFIGREF_eJyrrk7LTC9KTbMqLklMTzXULS4pykwu0S3JKEotzsjPSdH184_3cQ1z9alJqq0FAJIYESI"/>
        </w:rPr>
        <w:t xml:space="preserve">Fig. 9b</w:t>
      </w:r>
      <w:r>
        <w:t xml:space="preserve">).</w:t>
      </w:r>
    </w:p>
    <w:p>
      <w:pPr>
        <w:pStyle w:val="CaptionedFigure"/>
        <w:keepNext/>
        <w:spacing w:line="240" w:lineRule="auto" w:before="0" w:after="0"/>
        <w:ind w:firstLine="0"/>
        <w:jc w:val="center"/>
      </w:pPr>
      <w:r>
        <w:drawing>
          <wp:inline>
            <wp:extent cx="5731510" cy="2176922"/>
            <wp:effectExtent b="0" l="0" r="0" t="0"/>
            <wp:docPr descr="Fig. 9 | Ligand-region detection at a stricter coverage threshold. LigandSeek-Find uses deposited receptors (GT) or CryoAtom2-reconstructed receptors (CA2) and is compared with the density-only method Emap2lig-Find. All ligands comprise 179 PDB entries and 2,502 instances; small molecules comprise 94 PDB entries and 821 instances. a, b, Instance-level PRAUC for all ligands and small molecules, respectively, at a bidirectional coverage threshold of 0.5. Bars and horizontal marks show PDB-equal means; faint points show individual PDB entries. Error bars show 95% intervals from 10,000 PDB bootstrap resamples." title="MDPPTFIG_eJztV81uGzcQfhVCQIEGkLSrbWRH29SAIttBACUVnKaXbmFQXEpLmEuyJPXnpueiKNJLi15a9NxTHqAGmpep4zxGZ5YrWbF9CNpD66IG5B2S33wz5MwOZ79sGOqLRkoaFz-cnf_0e-Q8nfLOxdn3r3_5uW2MXzaapGG503LOc8QN0ix75rh1Wdbp9jq9LNvn7sRrk2VvXv72-sev37z45uLXV1kWCLPsRkZFS45sYbHlvBXMt3wBlgot89aTj4-HB58eDBHLqPFCq-OS2pOZAa3PGvcXqSHLUiqXLj7KGoX3Jo0ixwpeUtfWhitYnGhbUg9DO40W2ubGasadE2payiiJ452opEJljT1kG9nq8dSvJCeLdE4l8D4qwbtBMI-4aI1A7AnnZigUd9X81miROkMZmAEeCVNAlNyNs0Y9PJpJnKIzr2vOGo6aQuUAmwjr_DCoxjUIVoIDwdPwr5YPtfIO9KhjQoDO-YvvIBB_nL06f_ltZZdT5_tO0JvWir5y15UqW4EYTYyr8bgSB2HH1ROcP90cV-feekOnQT245zFS1SZxPwZCzO2cA_RQTNukR56ToZhSlbcsn8JBk5x7zvDICfWEkpAb3BKm59xCQMgmTdpoxQdb_8Ch_I2tk1vreYjVU85PWoeYrTPHHYTMaCc8z4nljBuvrSPvP_zkDtGWDOxK970uE4gv0wrCOWNXkIN-cocAKxEOolwaamF9IXwBoeZADjvyq5ZWckVK7gudk4OSmkSKaeVDm_SlJLJyLBBY4Tjp7PbIaP8B4QoyCJxEA0mzGydEgBdUQTH4kLiSgm6pJWfwXm5p9-5eU76XdC5V_8-9f1Mpobc2Gs1b6_l_MY_GtzYaTfKoLk0tyedcktFR_9mAQBNE6FZ1xDp2peY1oRQ7g1cuqK2a4dYdi1zYcA1TecPVS_SExO1umzygNrAW2opT2AjAsVNzBHALrKEt_sUMJzlVUHAn0HN5YrTAs6wgUMHFXOSI2aq4bXJgLTg_Rv4K1-u-B1joBOCAHJlYXZJO3IzjuFIba-3hbqEGd0NLI6-WaOyd9hqfQ0O5aSQb3d0POt1OvEw6uzu9JHl-3wiWwq_uLek79Za5pYtrTWXNAFx_hQPU_MzyDY19JxI9mQjG9zWblXCIgclySTGIrhDGYUbhDtV8JBjmEw7Yk_nIwiXrGFoZpFHV3UdVcx_VvX203dpHnpcGtqlmoCKMP56IKTjrjrXP7zK2KqMwcRzjX69t1BQ2InJg3-mBhL0_yKP1HiE0Gz8uXQoOUjzBoWaQTkoPCqqmvA9psSg4zR2-Jci3XqiSOEwC56XqloHAGl07hLEU5lBIiRZRrvSDQFNIK-5ZgeIEMEdgpVp_a7ABRW_z4chB007Gi8c63-78abqc2BKfEDiyDL0-WW16_moel_nSE4brdboCiiGsztoaDKjquSY18A3xkMNLggKg8W0OZul86AL2UlqjcV3p4Hp0KdJUKoKfWr1u0g0sN6IwLgfVl8qWTFNPhVxPb8tS1eflzCYu8NtrfPUncLZ18Q" id="68" name="Picture"/>
            <a:graphic>
              <a:graphicData uri="http://schemas.openxmlformats.org/drawingml/2006/picture">
                <pic:pic>
                  <pic:nvPicPr>
                    <pic:cNvPr descr="C:/Users/15919/Desktop/论文草稿/temp/manuscript_figures_otd4ccym/figure_000009.png" id="69" name="Picture"/>
                    <pic:cNvPicPr>
                      <a:picLocks noChangeArrowheads="1" noChangeAspect="1"/>
                    </pic:cNvPicPr>
                  </pic:nvPicPr>
                  <pic:blipFill>
                    <a:blip r:embed="rId67"/>
                    <a:stretch>
                      <a:fillRect/>
                    </a:stretch>
                  </pic:blipFill>
                  <pic:spPr bwMode="auto">
                    <a:xfrm>
                      <a:off x="0" y="0"/>
                      <a:ext cx="5731510" cy="2176922"/>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9 | Ligand-region detection at a stricter coverage threshold.</w:t>
      </w:r>
      <w:r>
        <w:rPr>
          <w:rFonts w:ascii="华文仿宋" w:hAnsi="华文仿宋" w:eastAsia="华文仿宋"/>
          <w:sz w:val="18"/>
        </w:rPr>
        <w:t xml:space="preserve"> </w:t>
      </w:r>
      <w:r>
        <w:rPr>
          <w:rFonts w:ascii="华文仿宋" w:hAnsi="华文仿宋" w:eastAsia="华文仿宋"/>
          <w:sz w:val="18"/>
        </w:rPr>
        <w:t xml:space="preserve">LigandSeek-Find uses deposited receptors (GT) or CryoAtom2-reconstructed receptors (CA2) and is compared with the density-only method Emap2lig-Find. All ligands comprise 179 PDB entries and 2,502 instances; small molecules comprise 94 PDB entries and 821 instances.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Instance-level PRAUC for all ligands and small molecules, respectively, at a bidirectional coverage threshold of 0.5. Bars and horizontal marks show PDB-equal means; faint points show individual PDB entries. Error bars show 95% intervals from 10,000 PDB bootstrap resamples.</w:t>
      </w:r>
    </w:p>
    <w:bookmarkEnd w:id="70"/>
    <w:bookmarkStart w:id="86" w:name="X7bbf6423e7b3b326a72608b13d92e966bcf6b8e"/>
    <w:p>
      <w:pPr>
        <w:pStyle w:val="3"/>
        <w:keepNext/>
        <w:ind w:firstLine="0"/>
      </w:pPr>
      <w:r>
        <w:t xml:space="preserve">Complete detection curves across ranked candidates</w:t>
      </w:r>
    </w:p>
    <w:p>
      <w:pPr>
        <w:pStyle w:val="FirstParagraph"/>
        <w:spacing w:line="360" w:lineRule="auto" w:after="120"/>
        <w:ind w:firstLine="420"/>
      </w:pPr>
      <w:r>
        <w:t xml:space="preserve">We compared detection completion across the full candidate-count range and retained the distribution of results across individual PDB entries</w:t>
      </w:r>
      <w:r>
        <w:t xml:space="preserve"> </w:t>
      </w:r>
      <w:r>
        <w:t xml:space="preserve">(</w:t>
      </w:r>
      <w:r>
        <w:rPr>
          <w:rStyle w:val="MDFIGREF_eJyrrk7LTC9KTbMqLklMTzXUTc7PLchJLcnMz9NNLi0qSy3W9fOP93ENc_WprQUAgekQsA"/>
        </w:rPr>
        <w:t xml:space="preserve">Fig. 10</w:t>
      </w:r>
      <w:r>
        <w:t xml:space="preserve">).</w:t>
      </w:r>
      <w:r>
        <w:t xml:space="preserve"> </w:t>
      </w:r>
      <w:r>
        <w:t xml:space="preserve">All-ligand evaluation included 179 PDB entries and 2,502 instances; small-molecule evaluation included 94 PDB entries and 821 instances. Both evaluated Find alone, without requiring identity matching or pose reconstruction. Candidate–instance pairs required bidirectional coverage of at least 0.3, and each instance contributed only its first detection. Relative candidate counts of 100% and 300% allowed examining up to one and three times the ground-truth instance count, respectively.</w:t>
      </w:r>
    </w:p>
    <w:p>
      <w:pPr>
        <w:pStyle w:val="BodyText"/>
        <w:spacing w:line="360" w:lineRule="auto" w:after="120"/>
        <w:ind w:firstLine="420"/>
      </w:pPr>
      <w:r>
        <w:t xml:space="preserve">From 100% to 300%, mean completion across all ligands increased from 66.4% to 71.7% with GT receptors and from 55.6% to 63.3% with CA2 receptors. Emap2lig-Find increased from 25.9% to 30.1% over the same candidate-count range. Corresponding small-molecule changes were 70.5% to 73.3% for GT, 59.8% to 68.5% for CA2 and 44.2% to 51.6% for Emap2lig-Find. LigandSeek-Find therefore recovered more true instances under the same candidate-count limits. Means weight PDB entries equally, while background candidates and repeated hits retain their candidate positions. The small-molecule evaluation omits only candidates assigned to non-small-molecule instances.</w:t>
      </w:r>
    </w:p>
    <w:p>
      <w:pPr>
        <w:pStyle w:val="CaptionedFigure"/>
        <w:keepNext/>
        <w:spacing w:line="240" w:lineRule="auto" w:before="0" w:after="0"/>
        <w:ind w:firstLine="0"/>
        <w:jc w:val="center"/>
      </w:pPr>
      <w:r>
        <w:drawing>
          <wp:inline>
            <wp:extent cx="5731510" cy="4275861"/>
            <wp:effectExtent b="0" l="0" r="0" t="0"/>
            <wp:docPr descr="Fig. 10 | Complete ligand-detection curves across ranked candidates. LigandSeek-Find uses deposited receptors (GT) or CryoAtom2-reconstructed receptors (CA2) and is compared with the density-only method Emap2lig-Find. All ligands comprise 179 PDB entries and 2,502 instances; small molecules comprise 94 PDB entries and 821 instances. a–c, All ligands. d–f, Small molecules. Columns show GT, CA2 and Emap2lig, respectively. Candidates are assigned by maximal geometric-mean coverage among pairs satisfying bidirectional coverage of at least 0.3. Each instance contributes only its first detection. The x-axis shows candidate counts relative to each PDB’s ground-truth instance count; the y-axis shows the percentage of distinct instances detected. The small-molecule evaluation omits candidates assigned to other classes but retains background candidates and repeated hits. Green circles and lines show PDB-equal means; blue diamonds and lines show medians. Grey points and violins show PDB distributions at relative candidate counts of 50%, 100%, 200% and 300%." title="MDPPTFIG_eJztV1uPGzUU_itHkSpRKckk2U13Ny2VlnR3hRTKqi28MGjleJyMtR7b2J5cSpH6hhAqL0VICMQzT_0BVKL_paKXn8E548ll2T5U8ACViJSMxz7nO_fjky8bloW8MYDGq--fvvjp98QHNhXdV08fv_zl57a1YdFoQsMJb9RMZEQ3HKTpJ144n6bd_kH3IE1vCX8ejE3T109-e_nD168fffPq12dpGgHT9I2ImhWC0OJhi5vCKhGk0S1eupnwrdsfn42OPj0aETFnlo7OCubOS4tsnzVuzAcWFoXSfjB_P23kIdhBkniei4L5trFC4-HEuIIFfHXTZG5cZp3hwnupp4VKep3OtaRgUqeNm4R26qrH3bBUAuaDGVOI-2GB6g2jeKJLVhREey6EHUktfLW_9TYfeMs4ikEchVsI1NvtpI369U6paIuVwdSYNTlxSp0h2UQ6H0aRtVMT4UlUIGoaf-r1sdHBIx_zXErkefHoO4zEH0-fvXjybSVXMB8OvWRvOssPtb_MVMmKwCRiXL2Pq-UwWlw9Ufn7a3d191cG3Y_sUb1AkaqMJHssZpPAGCPpsZy2oduBBzCMCSBAySnTWSvDNSevQ8wHYNwZ78ExfS4y4EgjMxaEb5OcEKX9C275B8bDO6v5qIrRXSHOW8eUr6XHAGXCGi8DBscJLmwwzsN7J_eugnEwdEtzGEzRa-GZ0T64kv-FcnjYuwqICtIDdQPm8HwuQw4hFwiOFoVly2i1hEKE3GRwVDDbw3SpdGjDoVJ18kQAJ72A7t4BnN76AIQOTlIWoYBes9_pgUQtmMZ2cB18wZC3MEpwrMwt7oPdS8z7ve6G9f_c-y81E_b84WP-zkakuZ3AbcjQmEkT7l5MzTb2SVUW2oPPzRxO7jUB66ZKzFU1NLGovKXeORNqiQzrTglYUsDw-ptqLK0x1hFbSMSHqTBYUk7yViEYNlwzEw6vPWCFwSvMMryLwLMg_WRJd9pYZtLF5ozMa2ozARZAkQ-h095pwxHj-bpWkI6qaFySIlUVS4xFdc3Bute34R7W-qKFekUL_abRI0BJ4XNCMbINggFBErBCnz_80cPUIUHWwtYSLohFrutVD1lu49KGFY5jbdfKZ9IHqXnYlHetmMiiXlWbaK1iAQLjXLLqijIFGcO3PL3yMippUJQDrnAPT9ABaELAsQPXjJ9HrS_wauqLVjBqkDkCt-HECYFxkY6rmoDGiDoJ0P6W-KLEUFD0sJ2NVYkNU1L0skvUhcATHTGXYI0knxLNTBol9Qaz8kcVMLTQU2jXnr8UE_Rev3OliTc5_eJgdaWC3MHFxRZJ08vNxuc40q1HuUZ_b6fb73YWu729_v617oMbVvIBfuvpjr3VdJc5Nr801tUIiPV3MJAtlE6sYdxbgZjJRHJxy_CywNSKSNFx6MVcWk9dgSzUs1PJqSfQC789O3WYbp6TlOEgqQbspJqvk3q8Tran6ySIwqKZukQWacPZRE5RWX9mQrbL-bJI4sZZBz_dTtvqKRoiM0Tf28EVjd-4Pl3ZiKFZ67FRKSrIyIMjw889aDPMmZ6KQ-fMPBcs89TpCG91ULWeuImYG9YtARE1ueSEsZL2WCpFEmld8ccFG2AuisBzWk6Q5g5Kqc4vvKyJkot49OZxbIbx_COTbc_ebLCYuIKeGDhYxGkbluupu9qnY7EIwOm8Tlek4kRWZ21NjFTVcwVqsb2dYHcFWiA1tc0ols1GPtJuVitqOtcmqp5slmygNNCfnYN-rx9R3khFcTmq_itsrdkAe45abW-vla795e06Lvi92fjqT7NONyU" id="72" name="Picture"/>
            <a:graphic>
              <a:graphicData uri="http://schemas.openxmlformats.org/drawingml/2006/picture">
                <pic:pic>
                  <pic:nvPicPr>
                    <pic:cNvPr descr="C:/Users/15919/Desktop/论文草稿/temp/manuscript_figures_otd4ccym/figure_000010.png" id="73" name="Picture"/>
                    <pic:cNvPicPr>
                      <a:picLocks noChangeArrowheads="1" noChangeAspect="1"/>
                    </pic:cNvPicPr>
                  </pic:nvPicPr>
                  <pic:blipFill>
                    <a:blip r:embed="rId71"/>
                    <a:stretch>
                      <a:fillRect/>
                    </a:stretch>
                  </pic:blipFill>
                  <pic:spPr bwMode="auto">
                    <a:xfrm>
                      <a:off x="0" y="0"/>
                      <a:ext cx="5731510" cy="4275861"/>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10 | Complete ligand-detection curves across ranked candidates.</w:t>
      </w:r>
      <w:r>
        <w:rPr>
          <w:rFonts w:ascii="华文仿宋" w:hAnsi="华文仿宋" w:eastAsia="华文仿宋"/>
          <w:sz w:val="18"/>
        </w:rPr>
        <w:t xml:space="preserve"> </w:t>
      </w:r>
      <w:r>
        <w:rPr>
          <w:rFonts w:ascii="华文仿宋" w:hAnsi="华文仿宋" w:eastAsia="华文仿宋"/>
          <w:sz w:val="18"/>
        </w:rPr>
        <w:t xml:space="preserve">LigandSeek-Find uses deposited receptors (GT) or CryoAtom2-reconstructed receptors (CA2) and is compared with the density-only method Emap2lig-Find. All ligands comprise 179 PDB entries and 2,502 instances; small molecules comprise 94 PDB entries and 821 instances.</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All ligands. d–f, Small molecules. Columns show GT, CA2 and Emap2lig, respectively. Candidates are assigned by maximal geometric-mean coverage among pairs satisfying bidirectional coverage of at least 0.3. Each instance contributes only its first detection. The x-axis shows candidate counts relative to each PDB’s ground-truth instance count; the y-axis shows the percentage of distinct instances detected. The small-molecule evaluation omits candidates assigned to other classes but retains background candidates and repeated hits. Green circles and lines show PDB-equal means; blue diamonds and lines show medians. Grey points and violins show PDB distributions at relative candidate counts of 50%, 100%, 200% and 300%.</w:t>
      </w:r>
    </w:p>
    <w:bookmarkStart w:id="77" w:name="Xf5ab2934b575ce019262194de9f4d310a201cf1"/>
    <w:p>
      <w:pPr>
        <w:pStyle w:val="4"/>
        <w:keepNext/>
        <w:ind w:firstLine="0"/>
      </w:pPr>
      <w:r>
        <w:t xml:space="preserve">Stage 3: Fair comparison with Emap2lig-Build</w:t>
      </w:r>
    </w:p>
    <w:p>
      <w:pPr>
        <w:pStyle w:val="FirstParagraph"/>
        <w:spacing w:line="360" w:lineRule="auto" w:after="120"/>
        <w:ind w:firstLine="420"/>
      </w:pPr>
      <w:r>
        <w:t xml:space="preserve">We performed a fair comparison between LigandSeek’s small-molecule docking engine (PocketXMol-tuned) and Emap2lig-Build, which predicts ligand poses directly from cryo-EM density without receptor information. In its official workflow, Emap2lig-Build accepts a candidate blob predicted by Emap2lig-Find as its guiding region rather than the ground-truth binding site. To mirror this realistic setting fairly, we evaluated PocketXMol-tuned using Centre pockets defined around the centroids of candidate blobs predicted by LigandSeek-Find.</w:t>
      </w:r>
    </w:p>
    <w:p>
      <w:pPr>
        <w:pStyle w:val="BodyText"/>
        <w:spacing w:line="360" w:lineRule="auto" w:after="120"/>
        <w:ind w:firstLine="420"/>
      </w:pPr>
      <w:r>
        <w:t xml:space="preserve">Of the 446 test small-molecule instances, Emap2lig-Find returned qualifying blobs with at least 30% bidirectional coverage for 237 instances. Under the same criterion, LigandSeek-Find successfully detected 304 instances with deposited receptors and 293 instances with CryoAtom2-reconstructed receptors. When restricted to instances jointly detected and evaluable by both pipelines, the original small-molecule test set yielded 231 pairs under the deposited-receptor condition and 228 pairs under the CryoAtom2 condition. These subsets served as the benchmarks for directly comparing PocketXMol-tuned against Emap2lig-Build.</w:t>
      </w:r>
    </w:p>
    <w:p>
      <w:pPr>
        <w:pStyle w:val="CaptionedFigure"/>
        <w:keepNext/>
        <w:spacing w:line="240" w:lineRule="auto" w:before="0" w:after="0"/>
        <w:ind w:firstLine="0"/>
        <w:jc w:val="center"/>
      </w:pPr>
      <w:r>
        <w:drawing>
          <wp:inline>
            <wp:extent cx="5731510" cy="4517742"/>
            <wp:effectExtent b="0" l="0" r="0" t="0"/>
            <wp:docPr descr="Fig. 11 | Docking performance of PocketXMol-tuned and Emap2lig-Build using predicted ligand regions. a,b, Deposited receptor (GT) comparison on 231 instances jointly detected by LigandSeek-Find and Emap2lig-Find. c,d, CryoAtom2-reconstructed receptor (CA2) comparison on 228 instances jointly detected by both methods. PocketXMol-tuned uses the LigandSeek-Find blob centroid to define a 15 Å centre pocket; Emap2lig-Build uses the Emap2lig-Find predicted blob as its guiding region. Left (a,c), top-1 RMSD. Right (b,d), best-of-50 RMSD. Points represent ligand instances, boxes span the 25th–75th percentiles, centre lines show medians and whiskers span the 5th–95th percentiles. The y-axis is logarithmic. Dashed lines mark 2 Å and 3 Å." title="MDPPTFIG_eJzdVl9vG0UQ_yorP7WS7fM5cdMcJVJwkgrJaa2kICQOReu9tW_x3e5qd_2vFIkXhBAqL0W8gHjmqR-ASPSBb4JI04_BzO7ZcXAkKhCqSpRkZ3dmfvNvb3Y-q2nq8lpCapffnV_88GtkHR3xrcvzZy9_-rGptZvX6qRmuFXFlGco103S9APLjU3TuLMb76bpAbdjp3Savnr-y8vvv3r19OvLn1-kaQBM0xsRJS05ogVmQxueCeZ41jB8JJRs5JxmDafC-uDhWe_ww8MeKjKqHQicldSMJxogPq7dmyWazMtC2mT2blrLndNJFFmW85LaptJcAnOoTEkdbM0omimTaaMYt1bIUVlE7VbrTlRSIdPaHqL1jV9O3aLgZJZMaQG475fgajeYR7loKYGyY851T0hu_fnabpZYTRmYAZwCjgCovd1Ka9X2ZFLgEZ04VWFW4qgpZAZiQ2Gs6wXVViUEnOBA8DT8q-gjJZ0FPWqZEKBz8fRbqMof5y8unn_j7XJq3b4V9CZevi_tppK3FYDRxMDvB57shoj9Cs4_XqUrvrsM6HFQD-45rJQPEuOBusNVmnIQPRKjJolj8oQcKDbGhGlufNUk40QNSR-OufvoWBUNN5E8IxTSc1hS3S7EqPHeRBQZmVivuLxNBDgoFS6VbaIfLnjzBtL2L5JD3qzn_0nB6Vtbjfr_sBqDt7ca5IBrZQV-74Yzrp0y5Nb9R7cJU6WmRlglCfy2t2IiJDw40E8s-VQJ6YoFybjjvlUMFqTnu8Up5-PGEfbeaw0GT5qE1bM66ZqF2neqbMNrxaCvODNh161399sb5tt3_8b8QLmclNzlKrPNzXY3saDncr7h5qBQA8K4dEaJjDgFoEN4LgglcYf89mVgcaI94DubLbOCvRbpWg_18NQSAVdgNBEZdtjQUJukx4eO3KJ1drsOhnUjJifHpwdNciJGOTAG9QwYA25dQw0bnVbF7WPwFkB8FaVbtulVekBHzcEtqLb0vrU7Lv_9i2c7sOCzgBGJAuWq2PApBfFczSCBmaDS-uLNcmHHMKpcAQWc3b_gNMkj4C0adC4gTksKNYLCubwUrEkOqM39U4ImcOwgbcwq4m8Bcf1RwTd5r_YJDCqrAaXW2dmKO3Frvt2Jd3a220_uacES-KtmFvpaM0tm6GxjWKkQAOufYICamxi-gjGvBaKGQ8E4vNGTErIXkAwvKI5FNhfa4teLEcppXzD8dnHDHkz7Bi6mZWilm0R-hIz8BBlVA2S0Pj9GjpcawpQTUBHanQ3FCJy1Z8pl24wtyigcnLXgJ46bWo4gEJEB-s4doHDABLq_jBFKs_LjyqXgIMUM9uDzsESqbk7liO8bo2Y4fFrsSIi3ZFgNH2w4BMwr1TUDATXaSMKgEPpIFAVaRNrrB4Im0EW4YzmSQ5A5ASuef22zEoqu4-HOwjBIBrNjla1PlDSZD02JKxSOzMMMSRarWdKfI5vPHWHIr64rSDEUq25tJQxSfl2CaphN73NVEiRAGlqgC2bptGeD7BW1lEa-VMH16IqkSSEJjvC7nXYnoNwohXU59BPwGk0TR0WxPF6nC1nly-pVXeBvr_b5nyoTym4" id="75" name="Picture"/>
            <a:graphic>
              <a:graphicData uri="http://schemas.openxmlformats.org/drawingml/2006/picture">
                <pic:pic>
                  <pic:nvPicPr>
                    <pic:cNvPr descr="C:/Users/15919/Desktop/论文草稿/temp/manuscript_figures_otd4ccym/figure_000011.png" id="76" name="Picture"/>
                    <pic:cNvPicPr>
                      <a:picLocks noChangeArrowheads="1" noChangeAspect="1"/>
                    </pic:cNvPicPr>
                  </pic:nvPicPr>
                  <pic:blipFill>
                    <a:blip r:embed="rId74"/>
                    <a:stretch>
                      <a:fillRect/>
                    </a:stretch>
                  </pic:blipFill>
                  <pic:spPr bwMode="auto">
                    <a:xfrm>
                      <a:off x="0" y="0"/>
                      <a:ext cx="5731510" cy="4517742"/>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11 | Docking performance of PocketXMol-tuned and Emap2lig-Build using predicted ligand regions.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b/>
          <w:bCs/>
          <w:sz w:val="18"/>
        </w:rPr>
        <w:t xml:space="preserve">b</w:t>
      </w:r>
      <w:r>
        <w:rPr>
          <w:rFonts w:ascii="华文仿宋" w:hAnsi="华文仿宋" w:eastAsia="华文仿宋"/>
          <w:sz w:val="18"/>
        </w:rPr>
        <w:t xml:space="preserve">, Deposited receptor (GT) comparison on 231 instances jointly detected by LigandSeek-Find and Emap2lig-Find. c,d, CryoAtom2-reconstructed receptor (CA2) comparison on 228 instances jointly detected by both methods. PocketXMol-tuned uses the LigandSeek-Find blob centroid to define a 15 Å centre pocket; Emap2lig-Build uses the Emap2lig-Find predicted blob as its guiding region. Left (a,c), top-1 RMSD. Right (b,d), best-of-50 RMSD. Points represent ligand instances, boxes span the 25th–75th percentiles, centre lines show medians and whiskers span the 5th–95th percentiles. The y-axis is logarithmic. Dashed lines mark 2 Å and 3 Å.</w:t>
      </w:r>
    </w:p>
    <w:p>
      <w:pPr>
        <w:pStyle w:val="BodyText"/>
        <w:spacing w:line="360" w:lineRule="auto" w:after="120"/>
        <w:ind w:firstLine="420"/>
      </w:pPr>
      <w:r>
        <w:rPr>
          <w:rStyle w:val="MDFIGREF_eJyrrk7LTC9KTbMqLklMTzXWLShKTclMLklN0S1KTc_Mz9PNSE1M0S3Jh9B-_vE-rmGuPrW1AGCIFKY"/>
        </w:rPr>
        <w:t xml:space="preserve">Fig. 11</w:t>
      </w:r>
      <w:r>
        <w:t xml:space="preserve"> </w:t>
      </w:r>
      <w:r>
        <w:t xml:space="preserve">compares the LigandSeek and Emap2lig docking modules. Our model maintained higher accuracy across all tested conditions. Among the shared GT instances, median top-1 RMSD was 0.85 Å for PocketXMol-tuned and 1.83 Å for Emap2lig-Build. Median best RMSD was 0.63 Å and 1.32 Å, respectively. This advantage was maintained with CryoAtom2-reconstructed receptors</w:t>
      </w:r>
      <w:r>
        <w:t xml:space="preserve"> </w:t>
      </w:r>
      <w:r>
        <w:t xml:space="preserve">(</w:t>
      </w:r>
      <w:r>
        <w:rPr>
          <w:rStyle w:val="MDFIGREF_eJyrrk7LTC9KTbMqLklMTzXWLShKTclMLklN0S1KTc_Mz9PNSE1M0S3Jh9B-_vE-rmGuPrW1AGCIFKY"/>
        </w:rPr>
        <w:t xml:space="preserve">Fig. 11</w:t>
      </w:r>
      <w:r>
        <w:t xml:space="preserve">).</w:t>
      </w:r>
    </w:p>
    <w:bookmarkEnd w:id="77"/>
    <w:bookmarkStart w:id="81" w:name="stage-3-representative-cases"/>
    <w:p>
      <w:pPr>
        <w:pStyle w:val="4"/>
        <w:keepNext/>
        <w:ind w:firstLine="0"/>
      </w:pPr>
      <w:r>
        <w:t xml:space="preserve">Stage 3: Representative cases</w:t>
      </w:r>
    </w:p>
    <w:p>
      <w:pPr>
        <w:pStyle w:val="FirstParagraph"/>
        <w:spacing w:line="360" w:lineRule="auto" w:after="120"/>
        <w:ind w:firstLine="420"/>
      </w:pPr>
      <w:r>
        <w:t xml:space="preserve">We analysed six representative instances to examine how receptor pockets and experimental density provide complementary constraints on pose generation</w:t>
      </w:r>
      <w:r>
        <w:t xml:space="preserve"> </w:t>
      </w:r>
      <w:r>
        <w:t xml:space="preserve">(</w:t>
      </w:r>
      <w:r>
        <w:rPr>
          <w:rStyle w:val="MDFIGREF_eJyrrk7LTC9KTbMqLklMTzXWTU4sTi3WzU3MzNP184_3cQ1z9amtBQALlw2U"/>
        </w:rPr>
        <w:t xml:space="preserve">Fig. 12</w:t>
      </w:r>
      <w:r>
        <w:t xml:space="preserve">).</w:t>
      </w:r>
    </w:p>
    <w:p>
      <w:pPr>
        <w:pStyle w:val="BodyText"/>
        <w:spacing w:line="360" w:lineRule="auto" w:after="120"/>
        <w:ind w:firstLine="420"/>
      </w:pPr>
      <w:r>
        <w:t xml:space="preserve">The first group illustrated typical errors in receptor-only docking without experimental density guidance</w:t>
      </w:r>
      <w:r>
        <w:t xml:space="preserve"> </w:t>
      </w:r>
      <w:r>
        <w:t xml:space="preserve">(</w:t>
      </w:r>
      <w:r>
        <w:rPr>
          <w:rStyle w:val="MDFIGREF_eJyrrk7LTC9KTbMqLklMTzXWTU4sTi3WzU3MzNP184_3cQ1z9alJfNQwObm2FgBo-xDJ"/>
        </w:rPr>
        <w:t xml:space="preserve">Fig. 12a–c</w:t>
      </w:r>
      <w:r>
        <w:t xml:space="preserve">).</w:t>
      </w:r>
      <w:r>
        <w:t xml:space="preserve"> </w:t>
      </w:r>
      <w:r>
        <w:t xml:space="preserve">In 9Q16, 9UB7 and 9R3D, PocketXMol-official avoided receptor clashes, with zero clashing atom pairs in each case. However, its poses shifted within the pocket cavity or adopted flipped conformations, with only 46%–77% of heavy atoms reaching the recommended density threshold. Under density guidance, PocketXMol-tuned placed ligand atoms accurately within the experimental density, increasing this fraction to 80%–100% and reducing top-1 RMSD sharply to 0.76–1.05 Å, while all three poses remained free of receptor clashes.</w:t>
      </w:r>
    </w:p>
    <w:p>
      <w:pPr>
        <w:pStyle w:val="BodyText"/>
        <w:spacing w:line="360" w:lineRule="auto" w:after="120"/>
        <w:ind w:firstLine="420"/>
      </w:pPr>
      <w:r>
        <w:t xml:space="preserve">The second group illustrated the shortcomings of density-only fitting that ignores receptor steric constraints</w:t>
      </w:r>
      <w:r>
        <w:t xml:space="preserve"> </w:t>
      </w:r>
      <w:r>
        <w:t xml:space="preserve">(</w:t>
      </w:r>
      <w:r>
        <w:rPr>
          <w:rStyle w:val="MDFIGREF_eJyrrk7LTC9KTbMqLklMTzXWTU4sTi3WzU3MzNP184_3cQ1z9alJedQwOa22FgBpGRDP"/>
        </w:rPr>
        <w:t xml:space="preserve">Fig. 12d–f</w:t>
      </w:r>
      <w:r>
        <w:t xml:space="preserve">).</w:t>
      </w:r>
      <w:r>
        <w:t xml:space="preserve"> </w:t>
      </w:r>
      <w:r>
        <w:t xml:space="preserve">In 9U7J, 9WUP and 9WQ3, Emap2lig-Build’s top-1 poses produced 10, 15 and 11 clashing pairs with surrounding receptor atoms, respectively. Its pose in 9WQ3 also deviated markedly from the deposited position, with an RMSD of 9.30 Å. By combining receptor geometry with density information, PocketXMol-tuned eliminated all receptor clashes and consistently achieved RMSD values of 0.52–1.41 Å.</w:t>
      </w:r>
    </w:p>
    <w:p>
      <w:pPr>
        <w:pStyle w:val="BodyText"/>
        <w:spacing w:line="360" w:lineRule="auto" w:after="120"/>
        <w:ind w:firstLine="420"/>
      </w:pPr>
      <w:r>
        <w:t xml:space="preserve">These cases showed that the receptor structure imposes steric constraints, whereas cryo-EM density constrains ligand position and conformation. PocketXMol-tuned combines these complementary sources of information to reconstruct ligand poses with high accuracy.</w:t>
      </w:r>
    </w:p>
    <w:p>
      <w:pPr>
        <w:pStyle w:val="CaptionedFigure"/>
        <w:keepNext/>
        <w:spacing w:line="240" w:lineRule="auto" w:before="0" w:after="0"/>
        <w:ind w:firstLine="0"/>
        <w:jc w:val="center"/>
      </w:pPr>
      <w:r>
        <w:drawing>
          <wp:inline>
            <wp:extent cx="4891003" cy="6303010"/>
            <wp:effectExtent b="0" l="0" r="0" t="0"/>
            <wp:docPr descr="Fig. 12 | Complementary constraints from receptor pockets and experimental density. a–c, Three instances in which PocketXMol-official top-1 poses deviate from experimental density: 9Q16–XG4, 9UB7–Y01 and 9R3D–IHP. d–f, Three instances in which Emap2lig-Build top-1 poses clash with the receptor: 9U7J–GDU, 9WUP–FAD and 9WQ3–1SY. Both PocketXMol models use deposited receptors and centre-defined pockets. Each row shows PocketXMol-official (orange), PocketXMol-tuned (blue) and Emap2lig-Build (purple), with top-1 poses selected by model score. Deposited ligands are teal, receptors are olive green and experimental density appears as a grey mesh. Red dashed lines and receptor atoms mark clashing contacts. D denotes the fraction of predicted heavy atoms whose trilinearly interpolated density reaches the recommended isosurface threshold. Clash counts ligand–standard-receptor heavy-atom pairs separated by strictly less than 0.75 times the sum of their van der Waals radii. The mesh shows the isosurface within 2 Å of deposited ligand heavy atoms. All three methods share the same displayed region, viewing angle and scale. Scale bars, 5 Å. Row headings specify chain and residue identifiers." title="MDPPTFIG_eJztV9tuHDUYfhVrr1opu7ObQ9usSqU0h1KUljQltBWLIsfj2bHiGVu2ZzdbisQNIASFC1BveAC4KvdUohe8CSK0j8H3j2c32zZFFQiVSkRJxoff33_6bP_-qGV5yFt91nry3aPj739JfOBDuXT8zU9Pf_js-KsHHWvDUWuBtZz0Ro9kSqLr_cFgz0vnB4PeympvdTDYkP4wGDsYPH348x8PPn96_4snPz4eDCLmYPAy0JIXkgDjfFtwL3274KpsX393f3vz_c1tkhLcBmXK_YK7w8pC_oPWxXHfsqNCl74_fmvQykOw_STxIpcF9x1jZYnJzLiCB3TdMBkbl1pnhPRelcNCJ4vd7rmEVA1alwhtx9Wfm2GiJRv3R1wD92oBu9ajepJLphIkeyil3Val9PX4XG_c95YLqAGOxhCAFpe7g1bT3a00DfEqmAazEaeVqkwhlinnw3Zc2m2EMBMNiJbGf017y5TBYx33QimsOb7_NbLw-6PHxw-_rPVK7sOaV_y0uXyt9C8uqnVFYFJxUPcP6uZ69Lj-wvi7s3D1LkwduhuXR_MCZap2kvyxYJJ0IwnRLTXssN4iu8fWTWG1LGQZuJswYUofHHIDpzJnCuakkDYYx6wRhxKjHGGSR1Y6Va_RLJVwIkw6pDZE5a8hSv8gFuz1Wv6v5Jf_9sm34o3NyAJ7L3dSMgUy8hInB1psnCuRs52ahrevGd02WaaEAgNx_LV7ICiOMLBxpHiQkbyn8bTPVm_0ziE8t68sL7DVvcvn0b7T7dXEXt1d2kD36ts7_9P5v0TnFEnJ3tiM_AWdNwtuF7Uati9XSqfPMFlo7nM2ViFnIZezgxj83Tv_DuJxZWMP_L21t4P21tpG5O-tG0vo9m7e6bDLJsxvF1aYVGrPKi-xFaBCBZnOUOO5LrBTnGynMsMFmE6P_A7b5DDVmTHzuRn7U_fgGeN4OZRnF-ZnQ0UwZw50Jc_WCp5z94ytHC4fLIpuznnvpZaCLDyYRMuZF8bJDtuY2Q4cYMJyJ1mQXC_Me4Mxo9VIsiEiX7701mLcWslpAX5JFtqkzztsFwpSJKDWg9qiRphdhjyYwjOqimKaqOLA1Rm4oHBtELoJWESJyxxGUcUwkzGQIlW1W7nko0mDM87hMgtOkSbu9AT8CNJZozmJTk11EmloQGGJKeBKinnlja9cBtphCqzLjU47bL2mjzAVbYwYKjCDCJhyl7ZnrtSGtMkQZjmKH0Tecseb0KMYgL2wSKN8AzwvWbdzfoUFxDFa4quCPENTOTbCfCodu8U5qOZ4qlQH5Jd1UBv20KI5kynz2A6L7NdPCSd9Lr3zgeqwNa1rHwkw5AbJ93mdfjIEFS1LlbeaT2pmDxH0BTZSckzpATtRXhKiF1yDSDfpww6Q_AW2Au3IORgOdSnEAWylUBkqohzVUJN9r9IKxiMhQWUKVfiztwSViJdaH6JuntXLreULq71ud-no3FJ3qdvr3rtolejjrymh-SuV0Knj4xdq5wYBWH8HA8tC5eQMxr0SSL3d5YYRFW2jiOQkaIpQYxdYTwcjeViOdpSgY5E64vpoxyGzXpCW9X5Sv2CS-gGTNO-XZP75kgRZWLhZVliibNjP1BDG-n0T0mUhJkUSB_a7-Oktdmw5hCMqBfoFqvbpcYP2ztRHpGZmx4lJ0UBOEdzGmeVZadZzOsTWHM46IoKnw57wphNEihAHgXmydE5BRE1eCMKBVnZLaU0aqV2vjw3exzaTQeTUzCCzCy31_DOdmVDyLB71PN4m7GB8DSfl3AOH948yV9AXiWNH8UnDJrOnTT1O0_IoMEHzDV0hJUisYW0jDKn6OwW1eCpdkXRwoAFpnCkhquWjbR9lT1pTaZovTTQ9OWnyvsalCJTVlcWViHKqFOVls36QzbV5P3Clp8PzbV028fJ2lhf8XWp9_Ce6Q8bR" id="79" name="Picture"/>
            <a:graphic>
              <a:graphicData uri="http://schemas.openxmlformats.org/drawingml/2006/picture">
                <pic:pic>
                  <pic:nvPicPr>
                    <pic:cNvPr descr="C:/Users/15919/Desktop/论文草稿/temp/manuscript_figures_otd4ccym/figure_000012.png" id="80" name="Picture"/>
                    <pic:cNvPicPr>
                      <a:picLocks noChangeArrowheads="1" noChangeAspect="1"/>
                    </pic:cNvPicPr>
                  </pic:nvPicPr>
                  <pic:blipFill>
                    <a:blip r:embed="rId78"/>
                    <a:stretch>
                      <a:fillRect/>
                    </a:stretch>
                  </pic:blipFill>
                  <pic:spPr bwMode="auto">
                    <a:xfrm>
                      <a:off x="0" y="0"/>
                      <a:ext cx="4891003" cy="6303010"/>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12 | Complementary constraints from receptor pockets and experimental density.</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Three instances in which PocketXMol-official top-1 poses deviate from experimental density: 9Q16–XG4, 9UB7–Y01 and 9R3D–IHP.</w:t>
      </w:r>
      <w:r>
        <w:rPr>
          <w:rFonts w:ascii="华文仿宋" w:hAnsi="华文仿宋" w:eastAsia="华文仿宋"/>
          <w:sz w:val="18"/>
        </w:rPr>
        <w:t xml:space="preserve"> </w:t>
      </w:r>
      <w:r>
        <w:rPr>
          <w:rFonts w:ascii="华文仿宋" w:hAnsi="华文仿宋" w:eastAsia="华文仿宋"/>
          <w:b/>
          <w:bCs/>
          <w:sz w:val="18"/>
        </w:rPr>
        <w:t xml:space="preserve">d–f</w:t>
      </w:r>
      <w:r>
        <w:rPr>
          <w:rFonts w:ascii="华文仿宋" w:hAnsi="华文仿宋" w:eastAsia="华文仿宋"/>
          <w:sz w:val="18"/>
        </w:rPr>
        <w:t xml:space="preserve">, Three instances in which Emap2lig-Build top-1 poses clash with the receptor: 9U7J–GDU, 9WUP–FAD and 9WQ3–1SY. Both PocketXMol models use deposited receptors and centre-defined pockets. Each row shows PocketXMol-official (orange), PocketXMol-tuned (blue) and Emap2lig-Build (purple), with top-1 poses selected by model score. Deposited ligands are teal, receptors are olive green and experimental density appears as a grey mesh. Red dashed lines and receptor atoms mark clashing contacts. D denotes the fraction of predicted heavy atoms whose trilinearly interpolated density reaches the recommended isosurface threshold. Clash counts ligand–standard-receptor heavy-atom pairs separated by strictly less than 0.75 times the sum of their van der Waals radii. The mesh shows the isosurface within 2 Å of deposited ligand heavy atoms. All three methods share the same displayed region, viewing angle and scale. Scale bars, 5 Å. Row headings specify chain and residue identifiers.</w:t>
      </w:r>
    </w:p>
    <w:bookmarkEnd w:id="81"/>
    <w:bookmarkStart w:id="85" w:name="fair-comparison-with-emap2lig"/>
    <w:p>
      <w:pPr>
        <w:pStyle w:val="4"/>
        <w:keepNext/>
        <w:ind w:firstLine="0"/>
      </w:pPr>
      <w:r>
        <w:t xml:space="preserve">Fair comparison with Emap2lig</w:t>
      </w:r>
    </w:p>
    <w:p>
      <w:pPr>
        <w:pStyle w:val="CaptionedFigure"/>
        <w:keepNext/>
        <w:spacing w:line="240" w:lineRule="auto" w:before="0" w:after="0"/>
        <w:ind w:firstLine="0"/>
        <w:jc w:val="center"/>
      </w:pPr>
      <w:r>
        <w:drawing>
          <wp:inline>
            <wp:extent cx="5731510" cy="3828178"/>
            <wp:effectExtent b="0" l="0" r="0" t="0"/>
            <wp:docPr descr="Fig. 13 | Find–Build completion by LigandSeek and Emap2lig with correct ligand identities. Evaluation includes 446 eligible small-molecule instances across 77 PDB entries. Eligible small molecules are single-residue organic small molecules with no atoms missing relative to their templates. a,b, top-1 poses. c,d, best poses. Left and right columns require heavy-atom RMSD strictly &lt;2 Å and &lt;3 Å, respectively. Within each budget, bars show Emap2lig, LigandSeek with CryoAtom2-reconstructed receptors (CA2), and LigandSeek with deposited receptors (GT), from left to right. Bars show the PDB-equal mean completion; error bars show percentile 95% intervals from 10,000 bootstrap resamples of the 77 PDBs. For a PDB containing N target instances, relative budget \rho allows \lfloor\rho N\rfloor charged attempts. Completion is the number of successful instances divided by N. Background candidates are charged, and out-of-scope foreground candidates are skipped." title="MDPPTFIG_eJztGNuOGzX0V6xIIJCSTJLd7e6mZaVtNlshpWXVcnlg0MrxOBkrHtvYnmRTigQPCEEpL0W8gHjmqR9AJfrAB_APFb18BufYk8t2W6kqEtVKfUjGl3O_2D7ni5qhPq91Se3JT_cf_fJn0u_0n9y_-_i3X5vG-JNandQsd1pOeYZAvW6afuS4dWna3tpt76bpAXcTr02aPr33x-Ofv31657snvz9I00gtTc-SU7TgSIp3eGMkVNYYlkJmjUxYznyD6cJQK5xWjWsfHA_6H_cHiMSo8UKr44LaSWkA_dPapVnXkJNCKtedvZfWcu9NN0kcy3lBXVMbrmBzpG1BPUztOJlpmxmrGXdOqHEhk06rdSEpqFBpbQ-pHdnwueHnkpNZd0ol0H2_oGPei-wRLllAIOyEczMQiruwvjabdZ2hDNgAHQlLQKiz2Upr1fR6KXGJll5XNCtwxASbANhIWOcHEbVVAcFOFCBKGv-q8aFW3gEedUwIwHl050dwxz_3Hzy6dzvw5dT5fSfo8_byfeXOIgVekTCyGIb5MAx7UePwBeFvLs3V3lkodDOiR_E8eiooifoYCClupxxAD8W4Sdob5BY5BO0efnX3MkYDwTCQHG1OhnMyEGOqshucTwh8Sb-gpiMF2Fb4HEAtRg6RAYiIjCsvvOCuifx9lOI1mOs_GIWcW8n7gFbS4DehmCwz7sjm5gXCwTtiCGnlCiplo9CSM8gBAHKeKkhJQpnVzpHtbXJ0cJmADy26kPRPIZIFIsBbWIOMkbwB7EVWcgJJTpVgZ0BDmChNqNeFI4UI-U8slyDolBOvic-5sMRzCDrqkS2tD-uwYRptYrTDFVbP6mTInV8sDPjIh3C0Ypx7CENZFsoB2c9LOMpIzul03kCW5PrVGwfEgULMyzl5W_qLHfLXNwEXJxswqQOeMxDGIJCcN8knILJQhFOWk2GZjbkH5tQ64nI9WyZAfT0zgpY9O9f7wLMDRmEajGtL5jnIyBk3XgOBd3r7nXfrgfmzyBkH1cQz4Fc-BOiRBTUkKgzGCvo2yeWlOGA9dFoDNKdgd07VWv5eJNxabdekN9wyzFFw6u7WWxACHoKHShe5tFv1VqtFhlp7kJ4aNAxFYo7oUWAVQwQ8cAhkaQgXUNXDOQ5uPbeZczrni66-Cvdydb8VL3W_6dFIMH6gWVmAeRe3m89RjiIS9XvXLiVFYBNWkorPeTbVeZLcUwupvDr16qtTKGb5udXsfwrfv79-E7-vUXK4V_XMnVvx_5cgDUIUXefnpKjkNEHMsBYj96gK54c_fH8qnl8U5y84vl-J4-03GfQaJWc5XgEZvEXxtQlRRXqrUke48MBRZTHkFp87rmRYro5KufZSzsQUipwMCqNza4U3j52XNhU-tNlkbHUJL3YG73WRYYkS6p8qmOJrXpe-oUcNx8BaBEzFn4_jJsIYnp0ujrGnsFf7rE5qywZLbWt7o73Vbp1s7HR22ts7ty4Zwbrwq9xEX8pNmaWzM82WigLQehUagOZLy5dk7CvHS3x7QZWUC-PQK6ihmh4Jhj7BCbs2PbJQFzmGXHrdJPS-ktD6SqrOV7Le-Eowq0FNVQKKMP54JMYgrDvWPttkbF4kceEYapxWe6Np1BgUERlQ39mEETbHYHy00BFcs5RjJVIUkKIFB5pNHBS3vZyqMd-HUmsGlWfmMNKQ3mIjFJdxEWiuUNcYRKrJGSMMpTCHQkrkiOOAHwcULhjLPctxOAKY68Al7J-aLIGS0_Rw5gxYeDi7qrP1jhjtnoxsgV9wHDmJPTAyX_bCwjpu8xMovXG_CleAYghWRW0FDFDhuyBqrPNXOFSbOABobCBFtnQ6cBF2NVpA477SUfRkNaRdqQi2IHe3OluRynOh0C_90MFbG9MuFK5ysbw-lqqylzNLv8Bvr_blvzZ0J7M" id="83" name="Picture"/>
            <a:graphic>
              <a:graphicData uri="http://schemas.openxmlformats.org/drawingml/2006/picture">
                <pic:pic>
                  <pic:nvPicPr>
                    <pic:cNvPr descr="C:/Users/15919/Desktop/论文草稿/temp/manuscript_figures_otd4ccym/figure_000013.png" id="84" name="Picture"/>
                    <pic:cNvPicPr>
                      <a:picLocks noChangeArrowheads="1" noChangeAspect="1"/>
                    </pic:cNvPicPr>
                  </pic:nvPicPr>
                  <pic:blipFill>
                    <a:blip r:embed="rId82"/>
                    <a:stretch>
                      <a:fillRect/>
                    </a:stretch>
                  </pic:blipFill>
                  <pic:spPr bwMode="auto">
                    <a:xfrm>
                      <a:off x="0" y="0"/>
                      <a:ext cx="5731510" cy="382817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13 | Find–Build completion by LigandSeek and Emap2lig with correct ligand identities.</w:t>
      </w:r>
      <w:r>
        <w:rPr>
          <w:rFonts w:ascii="华文仿宋" w:hAnsi="华文仿宋" w:eastAsia="华文仿宋"/>
          <w:sz w:val="18"/>
        </w:rPr>
        <w:t xml:space="preserve"> </w:t>
      </w:r>
      <w:r>
        <w:rPr>
          <w:rFonts w:ascii="华文仿宋" w:hAnsi="华文仿宋" w:eastAsia="华文仿宋"/>
          <w:sz w:val="18"/>
        </w:rPr>
        <w:t xml:space="preserve">Evaluation includes 446 eligible small-molecule instances across 77 PDB entries. Eligible small molecules are single-residue organic small molecules with no atoms missing relative to their templates. a,b, top-1 poses. c,d, best poses. Left and right columns require heavy-atom RMSD strictly &lt;2 Å and &lt;3 Å, respectively. Within each budget, bars show Emap2lig, LigandSeek with CryoAtom2-reconstructed receptors (CA2), and LigandSeek with deposited receptors (GT), from left to right. Bars show the PDB-equal mean completion; error bars show percentile 95% intervals from 10,000 bootstrap resamples of the 77 PDBs. For a PDB containing</w:t>
      </w:r>
      <w:r>
        <w:rPr>
          <w:rFonts w:ascii="华文仿宋" w:hAnsi="华文仿宋" w:eastAsia="华文仿宋"/>
          <w:sz w:val="18"/>
        </w:rPr>
        <w:t xml:space="preserve"> </w:t>
      </w:r>
      <m:oMath>
        <m:r>
          <m:t>N</m:t>
        </m:r>
      </m:oMath>
      <w:r>
        <w:rPr>
          <w:rFonts w:ascii="华文仿宋" w:hAnsi="华文仿宋" w:eastAsia="华文仿宋"/>
          <w:sz w:val="18"/>
        </w:rPr>
        <w:t xml:space="preserve"> </w:t>
      </w:r>
      <w:r>
        <w:rPr>
          <w:rFonts w:ascii="华文仿宋" w:hAnsi="华文仿宋" w:eastAsia="华文仿宋"/>
          <w:sz w:val="18"/>
        </w:rPr>
        <w:t xml:space="preserve">target instances, relative budget</w:t>
      </w:r>
      <w:r>
        <w:rPr>
          <w:rFonts w:ascii="华文仿宋" w:hAnsi="华文仿宋" w:eastAsia="华文仿宋"/>
          <w:sz w:val="18"/>
        </w:rPr>
        <w:t xml:space="preserve"> </w:t>
      </w:r>
      <m:oMath>
        <m:r>
          <m:t>ρ</m:t>
        </m:r>
      </m:oMath>
      <w:r>
        <w:rPr>
          <w:rFonts w:ascii="华文仿宋" w:hAnsi="华文仿宋" w:eastAsia="华文仿宋"/>
          <w:sz w:val="18"/>
        </w:rPr>
        <w:t xml:space="preserve"> </w:t>
      </w:r>
      <w:r>
        <w:rPr>
          <w:rFonts w:ascii="华文仿宋" w:hAnsi="华文仿宋" w:eastAsia="华文仿宋"/>
          <w:sz w:val="18"/>
        </w:rPr>
        <w:t xml:space="preserve">allows</w:t>
      </w:r>
      <w:r>
        <w:rPr>
          <w:rFonts w:ascii="华文仿宋" w:hAnsi="华文仿宋" w:eastAsia="华文仿宋"/>
          <w:sz w:val="18"/>
        </w:rPr>
        <w:t xml:space="preserve"> </w:t>
      </w:r>
      <m:oMath>
        <m:r>
          <m:rPr>
            <m:sty m:val="p"/>
          </m:rPr>
          <m:t>⌊</m:t>
        </m:r>
        <m:r>
          <m:t>ρ</m:t>
        </m:r>
        <m:r>
          <m:t>N</m:t>
        </m:r>
        <m:r>
          <m:rPr>
            <m:sty m:val="p"/>
          </m:rPr>
          <m:t>⌋</m:t>
        </m:r>
      </m:oMath>
      <w:r>
        <w:rPr>
          <w:rFonts w:ascii="华文仿宋" w:hAnsi="华文仿宋" w:eastAsia="华文仿宋"/>
          <w:sz w:val="18"/>
        </w:rPr>
        <w:t xml:space="preserve"> </w:t>
      </w:r>
      <w:r>
        <w:rPr>
          <w:rFonts w:ascii="华文仿宋" w:hAnsi="华文仿宋" w:eastAsia="华文仿宋"/>
          <w:sz w:val="18"/>
        </w:rPr>
        <w:t xml:space="preserve">charged attempts. Completion is the number of successful instances divided by</w:t>
      </w:r>
      <w:r>
        <w:rPr>
          <w:rFonts w:ascii="华文仿宋" w:hAnsi="华文仿宋" w:eastAsia="华文仿宋"/>
          <w:sz w:val="18"/>
        </w:rPr>
        <w:t xml:space="preserve"> </w:t>
      </w:r>
      <m:oMath>
        <m:r>
          <m:t>N</m:t>
        </m:r>
      </m:oMath>
      <w:r>
        <w:rPr>
          <w:rFonts w:ascii="华文仿宋" w:hAnsi="华文仿宋" w:eastAsia="华文仿宋"/>
          <w:sz w:val="18"/>
        </w:rPr>
        <w:t xml:space="preserve">. Background candidates are charged, and out-of-scope foreground candidates are skipped.</w:t>
      </w:r>
    </w:p>
    <w:p>
      <w:pPr>
        <w:pStyle w:val="BodyText"/>
        <w:spacing w:line="360" w:lineRule="auto" w:after="120"/>
        <w:ind w:firstLine="420"/>
      </w:pPr>
      <w:r>
        <w:t xml:space="preserve">Emap2lig can localise and build ligands, but it cannot match chemical identities to detected blobs. Consequently, it cannot be compared directly with our full end-to-end pipeline. To compare their combined detection and modelling capabilities directly, we supplied both LigandSeek and Emap2lig with the ground-truth ligand SMILES</w:t>
      </w:r>
      <w:r>
        <w:t xml:space="preserve"> </w:t>
      </w:r>
      <w:r>
        <w:t xml:space="preserve">(</w:t>
      </w:r>
      <w:r>
        <w:rPr>
          <w:rStyle w:val="MDFIGREF_eJyrrk7LTC9KTbNKNUrVTcvMS9FNKs3MSdFNySxKTS7RTc7PLUgsyizOz9P184_3cQ1z9amtBQAG9xNW"/>
        </w:rPr>
        <w:t xml:space="preserve">Fig. 13</w:t>
      </w:r>
      <w:r>
        <w:t xml:space="preserve">),</w:t>
      </w:r>
      <w:r>
        <w:t xml:space="preserve"> </w:t>
      </w:r>
      <w:r>
        <w:t xml:space="preserve">assuming an ideal, always-successful Match stage for both methods. We then evaluated both pipelines on the same 77 PDBs containing 446 eligible small-molecule instances. LigandSeek used PocketXMol-tuned centre docking guided by predicted blob centroids, whereas Emap2lig used its native blob-guided Build model. Background candidates consumed one attempt, and out-of-scope foreground candidates were skipped without consuming an attempt. Undetected instances remained in the full denominator throughout the completion analysis.</w:t>
      </w:r>
    </w:p>
    <w:p>
      <w:pPr>
        <w:pStyle w:val="BodyText"/>
        <w:spacing w:line="360" w:lineRule="auto" w:after="120"/>
        <w:ind w:firstLine="420"/>
      </w:pPr>
      <w:r>
        <w:t xml:space="preserve">For top-1 poses with RMSD &lt;3 Å, mean completion at a 100% budget was 63.2% for GT, 49.6% for CA2 and 38.2% for Emap2lig. Increasing the budget to 300% raised these values to 64.2%, 55.0% and 43.3%, respectively. Using best-of-50 poses at the same threshold, completion at a 100% budget reached 70.5%, 58.0% and 42.5%, respectively. At a 300% budget, the corresponding completion values were 71.5%, 66.3% and 50.0%, respectively. With correct identities supplied to both pipelines, LigandSeek completed more instances, demonstrating its combined advantage in localisation and pose reconstruction.</w:t>
      </w:r>
    </w:p>
    <w:p>
      <w:pPr>
        <w:pStyle w:val="BodyText"/>
        <w:spacing w:line="360" w:lineRule="auto" w:after="120"/>
        <w:ind w:firstLine="420"/>
      </w:pPr>
      <w:r>
        <w:t xml:space="preserve">Emap2lig is not a fully automated end-to-end modelling tool, but an interactive, semi-automated tool that relies on users to assign the correct SMILES to each detected blob. Even under the favourable assumption of perfect identity matching for Emap2lig, comparison of</w:t>
      </w:r>
      <w:r>
        <w:t xml:space="preserve"> </w:t>
      </w:r>
      <w:r>
        <w:rPr>
          <w:rStyle w:val="MDFIGREF_eJyrrk7LTC9KTbNKNUrVTcvMS9FNKs3MSdFNySxKTS7RTc7PLUgsyizOz9P184_3cQ1z9amtBQAG9xNW"/>
        </w:rPr>
        <w:t xml:space="preserve">Fig. 13</w:t>
      </w:r>
      <w:r>
        <w:t xml:space="preserve"> </w:t>
      </w:r>
      <w:r>
        <w:t xml:space="preserve">and the full LigandSeek results in the main text shows that the full LigandSeek pipeline still outperforms it.</w:t>
      </w:r>
    </w:p>
    <w:p>
      <w:pPr>
        <w:pStyle w:val="BodyText"/>
        <w:spacing w:line="360" w:lineRule="auto" w:after="120"/>
        <w:ind w:firstLine="420"/>
      </w:pPr>
      <w:r>
        <w:t xml:space="preserve">Full completion curves and per-PDB distributions are shown in</w:t>
      </w:r>
      <w:r>
        <w:t xml:space="preserve"> </w:t>
      </w:r>
      <w:r>
        <w:rPr>
          <w:rStyle w:val="MDFIGREF_eJyrrk7LTC9KTbMqLi0o0E3LzEvRTc4vKkpNLtHNTSxJztBNKs3MSdH184_3cQ1z9amtBQDcERJr"/>
        </w:rPr>
        <w:t xml:space="preserve">Fig. 16</w:t>
      </w:r>
      <w:r>
        <w:t xml:space="preserve">.</w:t>
      </w:r>
    </w:p>
    <w:bookmarkEnd w:id="85"/>
    <w:bookmarkEnd w:id="86"/>
    <w:bookmarkStart w:id="96" w:name="stage-3-end-to-end-top-k-success-1"/>
    <w:p>
      <w:pPr>
        <w:pStyle w:val="3"/>
        <w:keepNext/>
        <w:ind w:firstLine="0"/>
      </w:pPr>
      <w:r>
        <w:t xml:space="preserve">Stage 3: End-to-end top-k success</w:t>
      </w:r>
    </w:p>
    <w:bookmarkStart w:id="87" w:name="evaluation-protocol-top-k-success-1"/>
    <w:p>
      <w:pPr>
        <w:pStyle w:val="4"/>
        <w:keepNext/>
        <w:ind w:firstLine="0"/>
      </w:pPr>
      <w:r>
        <w:t xml:space="preserve">Evaluation protocol (top-k success)</w:t>
      </w:r>
    </w:p>
    <w:p>
      <w:pPr>
        <w:pStyle w:val="FirstParagraph"/>
        <w:spacing w:line="360" w:lineRule="auto" w:after="120"/>
        <w:ind w:firstLine="420"/>
      </w:pPr>
      <w:r>
        <w:t xml:space="preserve">Top-k success measures whether an end-to-end pipeline successfully processes at least one ligand instance in a complex within a specified attempt budget.</w:t>
      </w:r>
    </w:p>
    <w:p>
      <w:pPr>
        <w:pStyle w:val="BodyText"/>
        <w:spacing w:line="360" w:lineRule="auto" w:after="120"/>
        <w:ind w:firstLine="420"/>
      </w:pPr>
      <w:r>
        <w:t xml:space="preserve">Find ranks candidate ligand regions by descending mean probability, yielding Rank 1, Rank 2 and subsequent candidates. For each PDB entry, the pipeline examines these candidates in order for up to</w:t>
      </w:r>
      <w:r>
        <w:t xml:space="preserve"> </w:t>
      </w:r>
      <m:oMath>
        <m:r>
          <m:t>K</m:t>
        </m:r>
      </m:oMath>
      <w:r>
        <w:t xml:space="preserve"> </w:t>
      </w:r>
      <w:r>
        <w:t xml:space="preserve">attempts. A PDB entry is classified as successful if any attempt within this budget succeeds.</w:t>
      </w:r>
    </w:p>
    <w:p>
      <w:pPr>
        <w:pStyle w:val="BodyText"/>
        <w:spacing w:line="360" w:lineRule="auto" w:after="120"/>
        <w:ind w:firstLine="420"/>
      </w:pPr>
      <w:r>
        <w:t xml:space="preserve">Top-k success evaluates two basic end-to-end capabilities of our pipeline. These comprise detection and identity matching across all ligand categories, and detection, identity matching and modelling of eligible small molecules. These are single-residue organic small molecules with no atoms missing relative to their templates. Attempt-accounting rules are the same as those in the main text. The all-ligand test set contains 179 PDBs and 2,502 ligand instances; the small-molecule subset contains 77 PDBs and 446 instances. Each task was also evaluated with deposited receptors (GT) and CryoAtom2-reconstructed receptors (CA2).</w:t>
      </w:r>
    </w:p>
    <w:bookmarkEnd w:id="87"/>
    <w:bookmarkStart w:id="91" w:name="X7c5f3635e52dedf6b028c4b04f7b23741b6730c"/>
    <w:p>
      <w:pPr>
        <w:pStyle w:val="4"/>
        <w:keepNext/>
        <w:ind w:firstLine="0"/>
      </w:pPr>
      <w:r>
        <w:t xml:space="preserve">End-to-end region detection and identity matching across ligand categories</w:t>
      </w:r>
    </w:p>
    <w:p>
      <w:pPr>
        <w:pStyle w:val="CaptionedFigure"/>
        <w:keepNext/>
        <w:spacing w:line="240" w:lineRule="auto" w:before="0" w:after="0"/>
        <w:ind w:firstLine="0"/>
        <w:jc w:val="center"/>
      </w:pPr>
      <w:r>
        <w:drawing>
          <wp:inline>
            <wp:extent cx="5731510" cy="3060245"/>
            <wp:effectExtent b="0" l="0" r="0" t="0"/>
            <wp:docPr descr="Fig. 14 | End-to-end ligand-region detection and identity matching. The curves show the percentage of the 179 test PDB entries with successful predictions within an attempt budget of K=1–10. Find+Match curves require end-to-end correct region detection and ligand identity matching, whereas Find and Emap2lig-Find curves require only correct region detection. Find and Match denote LigandSeek-Find and LigandSeek-Match, respectively. GT denotes deposited receptor structures, and CA2 denotes CryoAtom2-reconstructed receptor structures." title="MDPPTFIG_eJzVVs1uGzcQfhVir7W0kmIl8cIx4MpyUFROhSTtpVsYNHekJby7ZEmuftIU6K0oivSSopcWPfeUB6iB5l2KOs5jdIZcyXLtAEFyKCJAIjn85pvhDDmabyLNXR4lLLr4-ez817_iYW94cfb81e-_tbV2i2iLRQasKmaQEWiQpOnnFoxN025_p7uTpgdgT53Safr6xZ-vfvn-9bMfLv54maaBLU2v01W8BKKCHrR4UbQmsspaJXcibz347Hg0_GI4Ipjg2klVHZfcnNYaFb6MdueJZouyqGwyv5dGuXM6iWMrcii5bSsNFW5OlEEyXJppPFcm00YJsFZW07KIe53O7bjkskqjPWIbGz88cssC2DyZ8QJ5Pyn5FAbBPOHiFYKwpwB6JCuwXr6xmidWc4FmkKdAERL1tjtp1Cwf1gWJeO1Uw9nASRMjgLCJNNaNgmqnAeFOcCB4Gn6a-aGqnEU9boWUqHP-7CdMwD9nL89f_OjtArdu30p-016-X9nrSt5WICYTJ3594qeDcGI_ovNP1uHq3l0d6ElQD-45ypQ_JJ1H4yUCMwOEHsppm3W32VM2xMQ71QI8fSGnHFcGphh0loEDQeFnKGQyg8pJt2T-kmDI2mTGBWP_Q1Te4-zsg_X8cQ5M1Di3zOZqzhyuNRiBqcHXwtTES7p3dpgD69j44GOGW0Yifi5dzmwt6BlO6oIhayZ9esOepDQz7hyU2rGTOpuCQ8IPNlRXk1wm6ggrbFO3yreqW2oykQIOlKhLDOKqarmc_CgDqdv7dDcuvZlGEn7GfrD0Whr3tffeywJ43BDcu4nA7XXfl_fv756_gblzRR43ofmwsttmh1iUPzqiWrR6EQa-rqUBvPHrgiaUMVjD2I0VLVS764Vti81zMHg6b8NDhyXXPcS3vOQ_9lRVLN9oqX1JEpxFa8oBG3njjwBOW2vAhsxjt5DNauKZQbFss_uPG22Lo1ZWOsgQIkA7ZZh1phauRpUtzzbY763hA7NU-06VPaztAl-8h96sfLWs05_eXvQVdgLrDiDq37nV7Xc7i1ud253edv_prpYiwW_zuPhbPa7M8Pm1bqBhQK534UA1OsGaxrzzKzdQcF8Zc6ktXUw6YTUbS0HXkhbiwWxsMLxWkJVBEvt2LPbdWNw0Y_FmLxZTXcVjVjWqSO2OJ3JK4T5WLtsWYlnGQXDcwU93u62rKR5EZsi-Q_0L9Ws4H6_OiKlZ-3HpUnCQUwRHSpxaVqlBzqsp7Buj8FbzzNJjI77Vhr9gQYicl6obBgJrfC0IJ4XUh7IoyCLNvX6YcCxIBvAO03SCmIdoxe9fWaxB8VU-WlnsttjJ_Ehlmy0bTxYTU9KIiWOL0KSx5bpZ83LahoVjgvab64ooQbDm1jZgRPlxRaqx-bsPqmQ0QTS96WCWz0Y2YC9nKzTtVyq4Hl9OeVJUjHrknX6vH1huRFFehr7F3JjzxHFZrMSb86Jq4mX1Oi_43Yu-_RdkzH_n" id="89" name="Picture"/>
            <a:graphic>
              <a:graphicData uri="http://schemas.openxmlformats.org/drawingml/2006/picture">
                <pic:pic>
                  <pic:nvPicPr>
                    <pic:cNvPr descr="C:/Users/15919/Desktop/论文草稿/temp/manuscript_figures_otd4ccym/figure_000014.png" id="90" name="Picture"/>
                    <pic:cNvPicPr>
                      <a:picLocks noChangeArrowheads="1" noChangeAspect="1"/>
                    </pic:cNvPicPr>
                  </pic:nvPicPr>
                  <pic:blipFill>
                    <a:blip r:embed="rId88"/>
                    <a:stretch>
                      <a:fillRect/>
                    </a:stretch>
                  </pic:blipFill>
                  <pic:spPr bwMode="auto">
                    <a:xfrm>
                      <a:off x="0" y="0"/>
                      <a:ext cx="5731510" cy="3060245"/>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14 | End-to-end ligand-region detection and identity matching.</w:t>
      </w:r>
      <w:r>
        <w:rPr>
          <w:rFonts w:ascii="华文仿宋" w:hAnsi="华文仿宋" w:eastAsia="华文仿宋"/>
          <w:sz w:val="18"/>
        </w:rPr>
        <w:t xml:space="preserve"> </w:t>
      </w:r>
      <w:r>
        <w:rPr>
          <w:rFonts w:ascii="华文仿宋" w:hAnsi="华文仿宋" w:eastAsia="华文仿宋"/>
          <w:sz w:val="18"/>
        </w:rPr>
        <w:t xml:space="preserve">The curves show the percentage of the 179 test PDB entries with successful predictions within an attempt budget of</w:t>
      </w:r>
      <w:r>
        <w:rPr>
          <w:rFonts w:ascii="华文仿宋" w:hAnsi="华文仿宋" w:eastAsia="华文仿宋"/>
          <w:sz w:val="18"/>
        </w:rPr>
        <w:t xml:space="preserve"> </w:t>
      </w:r>
      <m:oMath>
        <m:r>
          <m:t>K</m:t>
        </m:r>
        <m:r>
          <m:rPr>
            <m:sty m:val="p"/>
          </m:rPr>
          <m:t>=</m:t>
        </m:r>
        <m:r>
          <m:t>1</m:t>
        </m:r>
        <m:r>
          <m:rPr>
            <m:sty m:val="p"/>
          </m:rPr>
          <m:t>–</m:t>
        </m:r>
        <m:r>
          <m:t>10</m:t>
        </m:r>
      </m:oMath>
      <w:r>
        <w:rPr>
          <w:rFonts w:ascii="华文仿宋" w:hAnsi="华文仿宋" w:eastAsia="华文仿宋"/>
          <w:sz w:val="18"/>
        </w:rPr>
        <w:t xml:space="preserve">. Find+Match curves require end-to-end correct region detection and ligand identity matching, whereas Find and Emap2lig-Find curves require only correct region detection. Find and Match denote LigandSeek-Find and LigandSeek-Match, respectively. GT denotes deposited receptor structures, and CA2 denotes CryoAtom2-reconstructed receptor structures.</w:t>
      </w:r>
    </w:p>
    <w:p>
      <w:pPr>
        <w:pStyle w:val="BodyText"/>
        <w:spacing w:line="360" w:lineRule="auto" w:after="120"/>
        <w:ind w:firstLine="420"/>
      </w:pPr>
      <w:r>
        <w:t xml:space="preserve">We first evaluated end-to-end ligand-region detection and identity matching in 179 independent test PDB entries</w:t>
      </w:r>
      <w:r>
        <w:t xml:space="preserve"> </w:t>
      </w:r>
      <w:r>
        <w:t xml:space="preserve">(</w:t>
      </w:r>
      <w:r>
        <w:rPr>
          <w:rStyle w:val="MDFIGREF_eJyrrk7LTC9KTbNKNUrVTczJ0U3LzEvRzU0sSc7Q9fOP93ENc_WprQUAEWwNqQ"/>
        </w:rPr>
        <w:t xml:space="preserve">Fig. 14</w:t>
      </w:r>
      <w:r>
        <w:t xml:space="preserve">).</w:t>
      </w:r>
      <w:r>
        <w:t xml:space="preserve"> </w:t>
      </w:r>
      <w:r>
        <w:t xml:space="preserve">These entries contained coexisting ligand categories, including small molecules, ions and sugars. Under the strictest single-attempt condition (</w:t>
      </w:r>
      <m:oMath>
        <m:r>
          <m:t>K</m:t>
        </m:r>
        <m:r>
          <m:rPr>
            <m:sty m:val="p"/>
          </m:rPr>
          <m:t>=</m:t>
        </m:r>
        <m:r>
          <m:t>1</m:t>
        </m:r>
      </m:oMath>
      <w:r>
        <w:t xml:space="preserve">), end-to-end region detection and identity matching succeeded in 120 entries (67.0%) with CryoAtom2-reconstructed receptors (CA2), while region detection alone succeeded in 134 entries (74.9%). With deposited receptors (GT), the corresponding counts were 142 (79.3%) for joint success and 148 (82.7%) for region detection alone. As the attempt budget increased to 10, end-to-end success rates rapidly plateaued at 87.7% with CA2 receptors and 92.2% with GT receptors. By comparison, Emap2lig-Find detected ligand regions but could not identify their chemical identities. It detected regions in only 71 entries (39.7%) at</w:t>
      </w:r>
      <w:r>
        <w:t xml:space="preserve"> </w:t>
      </w:r>
      <m:oMath>
        <m:r>
          <m:t>K</m:t>
        </m:r>
        <m:r>
          <m:rPr>
            <m:sty m:val="p"/>
          </m:rPr>
          <m:t>=</m:t>
        </m:r>
        <m:r>
          <m:t>1</m:t>
        </m:r>
      </m:oMath>
      <w:r>
        <w:t xml:space="preserve"> </w:t>
      </w:r>
      <w:r>
        <w:t xml:space="preserve">and 93 entries (52.0%) within</w:t>
      </w:r>
      <w:r>
        <w:t xml:space="preserve"> </w:t>
      </w:r>
      <m:oMath>
        <m:r>
          <m:t>K</m:t>
        </m:r>
        <m:r>
          <m:rPr>
            <m:sty m:val="p"/>
          </m:rPr>
          <m:t>≤</m:t>
        </m:r>
        <m:r>
          <m:t>10</m:t>
        </m:r>
      </m:oMath>
      <w:r>
        <w:t xml:space="preserve">.</w:t>
      </w:r>
    </w:p>
    <w:bookmarkEnd w:id="91"/>
    <w:bookmarkStart w:id="95" w:name="X2d042fd888c941a3928274ade7e0f535f7af2c8"/>
    <w:p>
      <w:pPr>
        <w:pStyle w:val="4"/>
        <w:keepNext/>
        <w:ind w:firstLine="0"/>
      </w:pPr>
      <w:r>
        <w:t xml:space="preserve">End-to-end reconstruction of all-atom small-molecule poses</w:t>
      </w:r>
    </w:p>
    <w:p>
      <w:pPr>
        <w:pStyle w:val="CaptionedFigure"/>
        <w:keepNext/>
        <w:spacing w:line="240" w:lineRule="auto" w:before="0" w:after="0"/>
        <w:ind w:firstLine="0"/>
        <w:jc w:val="center"/>
      </w:pPr>
      <w:r>
        <w:drawing>
          <wp:inline>
            <wp:extent cx="5731510" cy="3497158"/>
            <wp:effectExtent b="0" l="0" r="0" t="0"/>
            <wp:docPr descr="Fig. 15 | End-to-end modelling of small molecules. Eligible small molecules are single-residue organic small molecules with no atoms missing relative to their templates. Curves show the percentage of the 77 test PDB entries with successful predictions within an attempt budget of K = 1–10. Find and Match denote LigandSeek-Find and LigandSeek-Match, respectively. GT and CA2 denote deposited and CryoAtom2-reconstructed receptor structures, respectively. a, Find+Match curves require end-to-end correct region detection and ligand identity matching, whereas Find and Emap2lig-Find curves require only correct region detection. b, c, Success rates for end-to-end pose reconstruction with PocketXMol-tuned using deposited (GT, b) and CryoAtom2-reconstructed (CA2, c) receptor structures across charged attempts K. Success requires RMSD below 2 Å or 3 Å. Solid lines denote top-1 poses selected by model score; dashed lines denote best-of-50 poses." title="MDPPTFIG_eJztWF-PGzUQ_ypWnlqRZJP0wvVCe9KRy1WIXInuCkJi0cnxOlnrvGtje5NLKRIvCCFUXop4AfHMUz8AlegD3wRxvX4MZuzNn_tTVLUPJRVVc2uPZ34z9szYY39Z0dSllQ6pnP345PTnP6Jeq3f25NGzX3-pa-1OKlVSMdwqOeEJMnU7cfyx5cbGcbO91dyK411uj53Scfz88e_Pfvr2-cPvzn57GscBLY4vw-U04wjFW7xmMyplTQvNpch57e5HR_3eJ70-sjGqnVD5UUbNcaFB4LPKrWlHk5NM5rYzvR1XUud0J4osS3lGbV1pnsPgSJmMOuiacTRVJtFGMW6tyMeZjFqNxrtRRkUeV7YRbWD859DNJCfTzoRKwP0go2PeDeqRL5pzIO8x57oPtlpPX-lNO1ZTBmoABycDQK2NRlwpuweFRBItnCoxS3aUFHkCbCNhrOsH0UbJBCPBgGBp-FO291TuLMhRy4QAmdOHP4AD_n7y9PTx914vp9btWEGvGkt3cntZyOsKwKhi6PtD3-yGGfsvGH9_sVzNm_MJ3Q_iwTyHnvKTxPloCCJuJhxY98S4Tppt8oD08qTmVI3D7DOVcClx9dSI-KgAkuQMVs3WEdUF7DewCK8xVbK2lvekGIshJMUFXxBqgAZ-krwG3CIpOIFMo7lgl1inwqUkV4Q6lVmSCZ-ExHBJnZhw4hRxKReGOJ5poIGjSbcA9ZbYVE1xkGhuGM8d5CPGBVI2N4HfOjLYfZ_AiBFzRbZgmOejQhKYRyIYpm8YEzmh8N-hIkeGRTLmDvDW1jnnwyrrqH3YwsuNMXupjVGNRoLxXcWKDBZxvi26FO3IAqjb_vBWlHk1JSX8GfiPdTOSleZrb72nBeZBCXD7KgC33Xxd3L--fvQC5MY5elQuzXp5t0728Dyg8APjWUoSnivHSV9AmiWHnB_XFgwrNM9bhfSymjNMMDmrkzv3PFt3pzVHSbhWVjge5LtmpnYgPVuQzAzSxZmC4Rj0uHbKkEApAPUC9FuSPG_HkUrX1htVH-zvhEBnYfc3_ItCwDHDl-UBUwZC0sHQGHZ1CGLH_f7ug1j6JCACItwJ3D8QDI6aKpmm3MDslgnVy6huAX_IoAv6VC5nL9T0f8D_lwJ-uLbeqK6t5W9jHLG19UaVHIaClxgsnQlUd6sbJhzynKyc6biX-TJ5oNgxd5_uK1lzRQ5HfeGr8mVZcO3OvSoZXv_X8uAaFBRVwq5fVScQyowCs1hKzRjLjFB227Vd6TdSba9r6boIynCmWnKwf7hLhlzCha5F_vwGLovkBnyBU0mBZ3cOTGVt6pSuNX3owhWQwzUSY204C48DxMLRzN8jCbUpvyA4hBthTY1q7UaQPn9Y4_PJduXzKqks3pIq7c0bzXazcXJjY2uz2b754JYWrAO_0q_0pfyaGDq99K5UIgDWq2CAGGbRAsa8coCFezYkbSq0RTfiDPPJQDB0InbY3cnAwBJahlq6ncg_7EX-XS8qn_Wi1Ve9CDMZppkXICK0OxqJMab8kXLJBmOzLAqEowb8a7brOh_DREQC6Fsb0MKXP2gP5nME1yzsWJoUDKS4gn3YrCzJVTel-ZjvGKOgoqOJxdBEvPmAv5cEImAuRVcUBNTo0iIMpdB7QkrUiG0vHxoUbp6GQy2JzRHwHIAWP36us2CKzuNhz2pY4eF0HwJ45fGPdk5GJsMvOI6chOc-Mls8-3k6DvMTRxiOl-EKXAzZyqgtmYHLf-eg2lh3h6uMYAO4sZ4NaumkbwPvsjXnxvFcBdOjZZN2JJwc6MF2qx1QruRCv_T8Y-VKm3YcFXJOXm3LvFwvqxd-gd925at_AP4ChL0" id="93" name="Picture"/>
            <a:graphic>
              <a:graphicData uri="http://schemas.openxmlformats.org/drawingml/2006/picture">
                <pic:pic>
                  <pic:nvPicPr>
                    <pic:cNvPr descr="C:/Users/15919/Desktop/论文草稿/temp/manuscript_figures_otd4ccym/figure_000015.png" id="94" name="Picture"/>
                    <pic:cNvPicPr>
                      <a:picLocks noChangeArrowheads="1" noChangeAspect="1"/>
                    </pic:cNvPicPr>
                  </pic:nvPicPr>
                  <pic:blipFill>
                    <a:blip r:embed="rId92"/>
                    <a:stretch>
                      <a:fillRect/>
                    </a:stretch>
                  </pic:blipFill>
                  <pic:spPr bwMode="auto">
                    <a:xfrm>
                      <a:off x="0" y="0"/>
                      <a:ext cx="5731510" cy="349715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15 | End-to-end modelling of small molecules.</w:t>
      </w:r>
      <w:r>
        <w:rPr>
          <w:rFonts w:ascii="华文仿宋" w:hAnsi="华文仿宋" w:eastAsia="华文仿宋"/>
          <w:sz w:val="18"/>
        </w:rPr>
        <w:t xml:space="preserve"> </w:t>
      </w:r>
      <w:r>
        <w:rPr>
          <w:rFonts w:ascii="华文仿宋" w:hAnsi="华文仿宋" w:eastAsia="华文仿宋"/>
          <w:sz w:val="18"/>
        </w:rPr>
        <w:t xml:space="preserve">Eligible small molecules are single-residue organic small molecules with no atoms missing relative to their templates. Curves show the percentage of the 77 test PDB entries with successful predictions within an attempt budget of</w:t>
      </w:r>
      <w:r>
        <w:rPr>
          <w:rFonts w:ascii="华文仿宋" w:hAnsi="华文仿宋" w:eastAsia="华文仿宋"/>
          <w:sz w:val="18"/>
        </w:rPr>
        <w:t xml:space="preserve"> </w:t>
      </w:r>
      <m:oMath>
        <m:r>
          <m:t>K</m:t>
        </m:r>
        <m:r>
          <m:rPr>
            <m:sty m:val="p"/>
          </m:rPr>
          <m:t>=</m:t>
        </m:r>
        <m:r>
          <m:t>1</m:t>
        </m:r>
        <m:r>
          <m:rPr>
            <m:sty m:val="p"/>
          </m:rPr>
          <m:t>–</m:t>
        </m:r>
        <m:r>
          <m:t>10</m:t>
        </m:r>
      </m:oMath>
      <w:r>
        <w:rPr>
          <w:rFonts w:ascii="华文仿宋" w:hAnsi="华文仿宋" w:eastAsia="华文仿宋"/>
          <w:sz w:val="18"/>
        </w:rPr>
        <w:t xml:space="preserve">. Find and Match denote LigandSeek-Find and LigandSeek-Match, respectively. GT and CA2 denote deposited and CryoAtom2-reconstructed receptor structures, respectively.</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 Find+Match curves require end-to-end correct region detection and ligand identity matching, whereas Find and Emap2lig-Find curves require only correct region detection.</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 Success rates for end-to-end pose reconstruction with PocketXMol-tuned using deposited (GT, b) and CryoAtom2-reconstructed (CA2, c) receptor structures across charged attempts</w:t>
      </w:r>
      <w:r>
        <w:rPr>
          <w:rFonts w:ascii="华文仿宋" w:hAnsi="华文仿宋" w:eastAsia="华文仿宋"/>
          <w:sz w:val="18"/>
        </w:rPr>
        <w:t xml:space="preserve"> </w:t>
      </w:r>
      <m:oMath>
        <m:r>
          <m:t>K</m:t>
        </m:r>
      </m:oMath>
      <w:r>
        <w:rPr>
          <w:rFonts w:ascii="华文仿宋" w:hAnsi="华文仿宋" w:eastAsia="华文仿宋"/>
          <w:sz w:val="18"/>
        </w:rPr>
        <w:t xml:space="preserve">. Success requires RMSD below 2 Å or 3 Å. Solid lines denote top-1 poses selected by model score; dashed lines denote best-of-50 poses.</w:t>
      </w:r>
    </w:p>
    <w:p>
      <w:pPr>
        <w:pStyle w:val="BodyText"/>
        <w:spacing w:line="360" w:lineRule="auto" w:after="120"/>
        <w:ind w:firstLine="420"/>
      </w:pPr>
      <w:r>
        <w:t xml:space="preserve">We evaluated the full end-to-end reconstruction pipeline (detection, matching, and pose reconstruction) for eligible small molecules across 77 PDB entries which contain at least one of them</w:t>
      </w:r>
      <w:r>
        <w:t xml:space="preserve"> </w:t>
      </w:r>
      <w:r>
        <w:t xml:space="preserve">(</w:t>
      </w:r>
      <w:r>
        <w:rPr>
          <w:rStyle w:val="MDFIGREF_eJyrrk7LTC9KTbNKNUrVLc5NzMnRLcgsSM3JzEvV9fOP93ENc_WpSdJJrq0FAFM9D3E"/>
        </w:rPr>
        <w:t xml:space="preserve">Fig. 15b, c</w:t>
      </w:r>
      <w:r>
        <w:t xml:space="preserve">).</w:t>
      </w:r>
      <w:r>
        <w:t xml:space="preserve"> </w:t>
      </w:r>
      <w:r>
        <w:t xml:space="preserve">In all evaluations, PocketXMol-tuned used the centroid of the ligand region predicted by Find to define the binding site and pocket, without relying on ground-truth ligand coordinates. We tested the pipeline using both deposited receptors</w:t>
      </w:r>
      <w:r>
        <w:t xml:space="preserve"> </w:t>
      </w:r>
      <w:r>
        <w:t xml:space="preserve">(</w:t>
      </w:r>
      <w:r>
        <w:rPr>
          <w:rStyle w:val="MDFIGREF_eJyrrk7LTC9KTbNKNUrVLc5NzMnRLcgsSM3JzEvV9fOP93ENc_WpSaqtBQA1lA7i"/>
        </w:rPr>
        <w:t xml:space="preserve">Fig. 15b</w:t>
      </w:r>
      <w:r>
        <w:t xml:space="preserve">)</w:t>
      </w:r>
      <w:r>
        <w:t xml:space="preserve"> </w:t>
      </w:r>
      <w:r>
        <w:t xml:space="preserve">and CryoAtom2-reconstructed receptors</w:t>
      </w:r>
      <w:r>
        <w:t xml:space="preserve"> </w:t>
      </w:r>
      <w:r>
        <w:t xml:space="preserve">(</w:t>
      </w:r>
      <w:r>
        <w:rPr>
          <w:rStyle w:val="MDFIGREF_eJyrrk7LTC9KTbNKNUrVLc5NzMnRLcgsSM3JzEvV9fOP93ENc_WpSa6tBQA1lw7j"/>
        </w:rPr>
        <w:t xml:space="preserve">Fig. 15c</w:t>
      </w:r>
      <w:r>
        <w:t xml:space="preserve">),</w:t>
      </w:r>
      <w:r>
        <w:t xml:space="preserve"> </w:t>
      </w:r>
      <w:r>
        <w:t xml:space="preserve">where in the latter, no deposited structural information was used at any stage of the pipeline.</w:t>
      </w:r>
    </w:p>
    <w:p>
      <w:pPr>
        <w:pStyle w:val="BodyText"/>
        <w:spacing w:line="360" w:lineRule="auto" w:after="120"/>
        <w:ind w:firstLine="420"/>
      </w:pPr>
      <w:r>
        <w:t xml:space="preserve">The strictest evaluation allowed one attempt (</w:t>
      </w:r>
      <m:oMath>
        <m:r>
          <m:t>K</m:t>
        </m:r>
        <m:r>
          <m:rPr>
            <m:sty m:val="p"/>
          </m:rPr>
          <m:t>=</m:t>
        </m:r>
        <m:r>
          <m:t>1</m:t>
        </m:r>
      </m:oMath>
      <w:r>
        <w:t xml:space="preserve">), selected only the top-1 pose and required RMSD &lt; 2 Å. Under this criterion, 34/77 entries (44.2%) succeeded with CryoAtom2-reconstructed receptors, compared with 44/77 (57.1%) with deposited receptors. At RMSD &lt; 3 Å, the corresponding counts were 41/77 (53.2%) and 50/77 (64.9%). Allowing up to 10 charged attempts (</w:t>
      </w:r>
      <m:oMath>
        <m:r>
          <m:t>K</m:t>
        </m:r>
        <m:r>
          <m:rPr>
            <m:sty m:val="p"/>
          </m:rPr>
          <m:t>≤</m:t>
        </m:r>
        <m:r>
          <m:t>10</m:t>
        </m:r>
      </m:oMath>
      <w:r>
        <w:t xml:space="preserve">) increased top-1 success with CryoAtom2-reconstructed receptors to 46/77 entries (59.7%) at RMSD &lt; 2 Å and 52/77 (67.5%) at RMSD &lt; 3 Å. With deposited receptors, 51/77 entries (66.2%) and 55/77 (71.4%) achieved success at RMSD &lt; 2 Å and &lt; 3 Å, respectively.</w:t>
      </w:r>
    </w:p>
    <w:p>
      <w:pPr>
        <w:pStyle w:val="BodyText"/>
        <w:spacing w:line="360" w:lineRule="auto" w:after="120"/>
        <w:ind w:firstLine="420"/>
      </w:pPr>
      <w:r>
        <w:t xml:space="preserve">For best-of-50 poses within</w:t>
      </w:r>
      <w:r>
        <w:t xml:space="preserve"> </w:t>
      </w:r>
      <m:oMath>
        <m:r>
          <m:t>K</m:t>
        </m:r>
        <m:r>
          <m:rPr>
            <m:sty m:val="p"/>
          </m:rPr>
          <m:t>≤</m:t>
        </m:r>
        <m:r>
          <m:t>10</m:t>
        </m:r>
      </m:oMath>
      <w:r>
        <w:t xml:space="preserve">, success at RMSD &lt; 2 Å reached 67.5% and 75.3% with CryoAtom2-reconstructed and deposited receptors, respectively. At RMSD &lt; 3 Å, the corresponding success rates were 75.3% and 76.6%.</w:t>
      </w:r>
    </w:p>
    <w:p>
      <w:pPr>
        <w:pStyle w:val="BodyText"/>
        <w:spacing w:line="360" w:lineRule="auto" w:after="120"/>
        <w:ind w:firstLine="420"/>
      </w:pPr>
      <w:r>
        <w:rPr>
          <w:rStyle w:val="MDFIGREF_eJyrrk7LTC9KTbNKNUrVLc5NzMnRLcgsSM3JzEvV9fOP93ENc_WpSaytBQA1kQ7h"/>
        </w:rPr>
        <w:t xml:space="preserve">Fig. 15a</w:t>
      </w:r>
      <w:r>
        <w:t xml:space="preserve"> </w:t>
      </w:r>
      <w:r>
        <w:t xml:space="preserve">further separates the success rates of individual pipeline stages. Within the first 10 charged attempts (</w:t>
      </w:r>
      <m:oMath>
        <m:r>
          <m:t>K</m:t>
        </m:r>
        <m:r>
          <m:rPr>
            <m:sty m:val="p"/>
          </m:rPr>
          <m:t>≤</m:t>
        </m:r>
        <m:r>
          <m:t>10</m:t>
        </m:r>
      </m:oMath>
      <w:r>
        <w:t xml:space="preserve">), Find alone succeeded in 88.3% and 89.6% of entries with CryoAtom2-reconstructed and deposited receptors, respectively. Both exceeded Emap2lig-Find’s success rate of 70.1% in this subset. Requiring both Find and Match to succeed yielded rates of 81.8% and 83.1%, respectively.</w:t>
      </w:r>
    </w:p>
    <w:bookmarkEnd w:id="95"/>
    <w:bookmarkEnd w:id="96"/>
    <w:bookmarkStart w:id="101" w:name="X07526cb7f7dceb25411efd60e854e64420c4ee5"/>
    <w:p>
      <w:pPr>
        <w:pStyle w:val="3"/>
        <w:keepNext/>
        <w:ind w:firstLine="0"/>
      </w:pPr>
      <w:r>
        <w:t xml:space="preserve">Find–Build comparison with correct ligand identities</w:t>
      </w:r>
    </w:p>
    <w:p>
      <w:pPr>
        <w:pStyle w:val="FirstParagraph"/>
        <w:spacing w:line="360" w:lineRule="auto" w:after="120"/>
        <w:ind w:firstLine="420"/>
      </w:pPr>
      <w:r>
        <w:t xml:space="preserve">Full completion curves and per-PDB distributions for the Find–Build comparison with correct ligand identities are shown in</w:t>
      </w:r>
      <w:r>
        <w:t xml:space="preserve"> </w:t>
      </w:r>
      <w:r>
        <w:rPr>
          <w:rStyle w:val="MDFIGREF_eJyrrk7LTC9KTbMqLi0o0E3LzEvRTc4vKkpNLtHNTSxJztBNKs3MSdH184_3cQ1z9amtBQDcERJr"/>
        </w:rPr>
        <w:t xml:space="preserve">Fig. 16</w:t>
      </w:r>
      <w:r>
        <w:t xml:space="preserve">.</w:t>
      </w:r>
    </w:p>
    <w:p>
      <w:pPr>
        <w:pStyle w:val="CaptionedFigure"/>
        <w:keepNext/>
        <w:spacing w:line="240" w:lineRule="auto" w:before="0" w:after="0"/>
        <w:ind w:firstLine="0"/>
        <w:jc w:val="center"/>
      </w:pPr>
      <w:r>
        <w:drawing>
          <wp:inline>
            <wp:extent cx="5029200" cy="6218691"/>
            <wp:effectExtent b="0" l="0" r="0" t="0"/>
            <wp:docPr descr="Fig. 16 | Find–Build completion of small molecules, assuming correct ligand identities. Eligible small molecules are single-residue organic small molecules with no atoms missing relative to their templates. Every panel contains the same 77 PDBs and 446 instances. a–d, Emap2lig. e–h, LigandSeek with CryoAtom2 receptors. i–l, LigandSeek with deposited receptors. Within each group, top and bottom rows show top-1 and best-of-50 poses; left and right columns require heavy-atom RMSD strictly &lt;2\,\mathrm{Å} and &lt;3\,\mathrm{Å}. Every blob corresponding to an eligible small molecule receives the correct SMILES. LigandSeek uses single-pass PocketXMol-tuned centre docking, whereas Emap2lig uses its native guiding blob. Background blobs are charged, and out-of-scope foreground blobs are skipped. Undetected and failed instances remain in the denominator. For N target instances per PDB, relative budget \rho allows \lfloor\rho N\rfloor charged attempts. Completion is the number of distinct successful instances divided by N. Green lines and circles show the PDB-equal mean, and blue lines and diamonds show the median. Grey points and violins show PDB distributions at 50\%, 100\%, 200\% and 300\% budgets." title="MDPPTFIG_eJztWl9vUzcU_ypWpO0pyU1CU2iASqVNEVLaVVRsk5apcnydXCu-trF9k4YxiT1ME2PshWkvm_a8Jz7AkMbDPsC-Axp_PsbOub5JU9oBA2kQlkppfM8_n3P8c86J4y9Khvqk1CKlpz88ePzT71G70X764N6TX36uGuMPS2VSstxpOeIxCm22ut1rjlvX7daba_W1bneLu6HXptt9dv-3Jz9-8-zu7ae_Pux2g7Vu96Q5RVOOplxmTKUvVFxh2lrOfCWlniWVXiZkXNn96KDT_rjdQY1YOCPp5GAs4uBqs9oUCjmMGi-0OkipHWYGWJ-VLoxbhhymUrnW-GK3lHhvWlHkWMJT6qracAXMvrYwGTzaQTTWNjZWM-6cUINURo1abTVKqVDd0jpa27P5276fSE7GrRGVYPdKSgd8M0yPctFUAmWHnJtdfuhn0rVCZMqYCnWE4m7GKZ7GLWcoA19AXQIJ9BsrYKF4vJpJJNHM68JqIY6akE4Q6wvrfCeoTqcGTvAyhBP-FeNtrbwDPeqYEKDz-O73sJR_PXj4-P6dfF5Ond9wgp7GSzaUO6mUzxUM4xS9_LmXDzdDxPk7OH9jlqX6uWlAN4J6cM_jcuZBYjwG4MjtiIPothhUSX2V3CTbEN2jW_cuIXQI06mRHBeG6D5xKZWSpFpyBolzZUKdy1LMbgE7IsWAQtpEzJUXXnBXxcl9cOEt5OoNMkIW1vM2rILowQZ7br0ItUCD5ZK8AtIizjiBXUuVYCdEx8InRGlCvU4dSUW-oYnlknox4sRr4hMuLPEcAEI9LDRpj7idEEMVl4AH5WHXO5QiDj6lyNmzZG_rEvgA8FhZWSXA9FQxVKQAt7hM2ik1DYk45EBIyqSTg2mf82FwZ9NO9Ab40wA_GDdeW1AWICtPysbcaCc8j-dlPwGOUIRTlpCB1ZkpQyAmd6mnPVgmVo8dcYkeI6NSDyzufEX3K80aAZvcnSeS933OsmKQeAhWZinEavn1TECKE05Hkwpmjlzd2d8izlvBvJwsLKCOb4W0pXegzhWFIX2lwqD7fcH4lmZZCp8M07LgE_QjDUZzJ9KW8xOSFn6a3M2clr8XIn79Q-nPI8EH8syGX2-cTn506_ZpjH8z5x9fH7MQFWlY5JVcJM9huy2s7wu0f84s98-LVnJa5XpS90LT44xWMdZGKIkUasvptTevQlA4Q0Gcdkv7O1c67f3qfPHKoMBMa7SB9orsaTbk_tMdLSs-U1DPGAAAikwMdBArk3HCLaRkVj6DCQE5VKFWDzKRO4g-V8klyoZY-7CwASE0BSyhdsChBmNR01le7hwDHBIAIT8h7obCGB5XyTUVcw-RgFuo2adCwnBW2iFq7P2BkIcNTaGGbhEKo62SbW2X-_lF-9mv774HG2ZxC47HLeHnwGy4xRa2fNQF97IYRBY2wv8Ixn9-tcTx22ycpIQvNQvr_jvXOz367tvTe6TncP4PH-OvNeOd5Q56i54X3RGhHk87AFVk8-hYTISWTmVpD-qD7pNYOC8UdHcuY3gQ2s_kXBGJxUjEYKu3PA34H3Q_VXLZcq4InjWHoy8mLMPztXDGBMCBjqLCr2cUvitwqkIH3pMZn9OJBU3hS8acUsqBpnLrE2K0wBSg5EhoiaduuSBYzsFoRS9DqILIsld5CeiatTf9sP7gPYBteQmTF8OkXlviZImTl-OkscTJYrd-y1Pnl2L8zBLji43xcIr13C_18N-slz4vk9LsPkipWWusAQYOVxv1c6tr9ZsXjGAteBWYoq-EqdjS8Ym7IYUFsPU6NkDNZ5bPzNjXBnc42YNWORHGYRYxQjXaEwxziA9sd7RnScwdw1k2W1F-gyfKL_BExf2daP76ToTfGSFMlYGKMP6gLwbgrDvQPl5hbJJGgXBQg7_6atWoAQQiYrC-tgYjvOID471pjLA0Mz-OXAoOUsxgR7OhI0pvJlQN-Ia1epxwGjtEBtqbMpzhzAci2DxSnZsgWI1OJKEnhdkWUuKMOM71w4DC7rbcswSHfZC5CrPk_GMPM6HouD18cgYy3Bvv6Hj-bg5tHfZtiu-wcOTwYn4bh0wuTm_l5HRk410hhvwCriDFUKxAbSGcXxyKjowa6_xlrlOCA5DG32fCtHTUcUH2aDSVRr7SwfXoaEhbUhG8MbXWbDSDlVOlcF3a-V2iuTFteSrklDw_lqrIlzOzdYHXeunLvwFNIIkP" id="98" name="Picture"/>
            <a:graphic>
              <a:graphicData uri="http://schemas.openxmlformats.org/drawingml/2006/picture">
                <pic:pic>
                  <pic:nvPicPr>
                    <pic:cNvPr descr="C:/Users/15919/Desktop/论文草稿/temp/manuscript_figures_otd4ccym/figure_000016.png" id="99" name="Picture"/>
                    <pic:cNvPicPr>
                      <a:picLocks noChangeArrowheads="1" noChangeAspect="1"/>
                    </pic:cNvPicPr>
                  </pic:nvPicPr>
                  <pic:blipFill>
                    <a:blip r:embed="rId97"/>
                    <a:stretch>
                      <a:fillRect/>
                    </a:stretch>
                  </pic:blipFill>
                  <pic:spPr bwMode="auto">
                    <a:xfrm>
                      <a:off x="0" y="0"/>
                      <a:ext cx="5029200" cy="6218691"/>
                    </a:xfrm>
                    <a:prstGeom prst="rect">
                      <a:avLst/>
                    </a:prstGeom>
                    <a:noFill/>
                    <a:ln w="9525">
                      <a:noFill/>
                      <a:headEnd/>
                      <a:tailEnd/>
                    </a:ln>
                  </pic:spPr>
                </pic:pic>
              </a:graphicData>
            </a:graphic>
          </wp:inline>
        </w:drawing>
      </w:r>
    </w:p>
    <w:p>
      <w:pPr>
        <w:pStyle w:val="ImageCaption"/>
        <w:keepNext w:val="0"/>
        <w:keepLines/>
        <w:spacing w:line="240" w:lineRule="auto"/>
        <w:ind w:firstLine="0"/>
      </w:pPr>
      <w:r>
        <w:rPr>
          <w:rFonts w:ascii="华文仿宋" w:hAnsi="华文仿宋" w:eastAsia="华文仿宋"/>
          <w:b/>
          <w:bCs/>
          <w:sz w:val="18"/>
        </w:rPr>
        <w:t xml:space="preserve">Fig. 16 | Find–Build completion of small molecules, assuming correct ligand identities.</w:t>
      </w:r>
      <w:r>
        <w:rPr>
          <w:rFonts w:ascii="华文仿宋" w:hAnsi="华文仿宋" w:eastAsia="华文仿宋"/>
          <w:sz w:val="18"/>
        </w:rPr>
        <w:t xml:space="preserve"> </w:t>
      </w:r>
      <w:r>
        <w:rPr>
          <w:rFonts w:ascii="华文仿宋" w:hAnsi="华文仿宋" w:eastAsia="华文仿宋"/>
          <w:sz w:val="18"/>
        </w:rPr>
        <w:t xml:space="preserve">Eligible small molecules are single-residue organic small molecules with no atoms missing relative to their templates. Every panel contains the same 77 PDBs and 446 instances. a–d, Emap2lig. e–h, LigandSeek with CryoAtom2 receptors. i–l, LigandSeek with deposited receptors. Within each group, top and bottom rows show top-1 and best-of-50 poses; left and right columns require heavy-atom RMSD strictly</w:t>
      </w:r>
      <w:r>
        <w:rPr>
          <w:rFonts w:ascii="华文仿宋" w:hAnsi="华文仿宋" w:eastAsia="华文仿宋"/>
          <w:sz w:val="18"/>
        </w:rPr>
        <w:t xml:space="preserve"> </w:t>
      </w:r>
      <m:oMath>
        <m:r>
          <m:rPr>
            <m:sty m:val="p"/>
          </m:rPr>
          <m:t>&lt;</m:t>
        </m:r>
        <m:r>
          <m:t>2</m:t>
        </m:r>
        <m:r>
          <m:t> </m:t>
        </m:r>
        <m:r>
          <m:rPr>
            <m:sty m:val="p"/>
          </m:rPr>
          <m:t>Å</m:t>
        </m:r>
      </m:oMath>
      <w:r>
        <w:rPr>
          <w:rFonts w:ascii="华文仿宋" w:hAnsi="华文仿宋" w:eastAsia="华文仿宋"/>
          <w:sz w:val="18"/>
        </w:rPr>
        <w:t xml:space="preserve"> </w:t>
      </w:r>
      <w:r>
        <w:rPr>
          <w:rFonts w:ascii="华文仿宋" w:hAnsi="华文仿宋" w:eastAsia="华文仿宋"/>
          <w:sz w:val="18"/>
        </w:rPr>
        <w:t xml:space="preserve">and</w:t>
      </w:r>
      <w:r>
        <w:rPr>
          <w:rFonts w:ascii="华文仿宋" w:hAnsi="华文仿宋" w:eastAsia="华文仿宋"/>
          <w:sz w:val="18"/>
        </w:rPr>
        <w:t xml:space="preserve"> </w:t>
      </w:r>
      <m:oMath>
        <m:r>
          <m:rPr>
            <m:sty m:val="p"/>
          </m:rPr>
          <m:t>&lt;</m:t>
        </m:r>
        <m:r>
          <m:t>3</m:t>
        </m:r>
        <m:r>
          <m:t> </m:t>
        </m:r>
        <m:r>
          <m:rPr>
            <m:sty m:val="p"/>
          </m:rPr>
          <m:t>Å</m:t>
        </m:r>
      </m:oMath>
      <w:r>
        <w:rPr>
          <w:rFonts w:ascii="华文仿宋" w:hAnsi="华文仿宋" w:eastAsia="华文仿宋"/>
          <w:sz w:val="18"/>
        </w:rPr>
        <w:t xml:space="preserve">. Every blob corresponding to an eligible small molecule receives the correct SMILES. LigandSeek uses single-pass PocketXMol-tuned centre docking, whereas Emap2lig uses its native guiding blob. Background blobs are charged, and out-of-scope foreground blobs are skipped. Undetected and failed instances remain in the denominator. For</w:t>
      </w:r>
      <w:r>
        <w:rPr>
          <w:rFonts w:ascii="华文仿宋" w:hAnsi="华文仿宋" w:eastAsia="华文仿宋"/>
          <w:sz w:val="18"/>
        </w:rPr>
        <w:t xml:space="preserve"> </w:t>
      </w:r>
      <m:oMath>
        <m:r>
          <m:t>N</m:t>
        </m:r>
      </m:oMath>
      <w:r>
        <w:rPr>
          <w:rFonts w:ascii="华文仿宋" w:hAnsi="华文仿宋" w:eastAsia="华文仿宋"/>
          <w:sz w:val="18"/>
        </w:rPr>
        <w:t xml:space="preserve"> </w:t>
      </w:r>
      <w:r>
        <w:rPr>
          <w:rFonts w:ascii="华文仿宋" w:hAnsi="华文仿宋" w:eastAsia="华文仿宋"/>
          <w:sz w:val="18"/>
        </w:rPr>
        <w:t xml:space="preserve">target instances per PDB, relative budget</w:t>
      </w:r>
      <w:r>
        <w:rPr>
          <w:rFonts w:ascii="华文仿宋" w:hAnsi="华文仿宋" w:eastAsia="华文仿宋"/>
          <w:sz w:val="18"/>
        </w:rPr>
        <w:t xml:space="preserve"> </w:t>
      </w:r>
      <m:oMath>
        <m:r>
          <m:t>ρ</m:t>
        </m:r>
      </m:oMath>
      <w:r>
        <w:rPr>
          <w:rFonts w:ascii="华文仿宋" w:hAnsi="华文仿宋" w:eastAsia="华文仿宋"/>
          <w:sz w:val="18"/>
        </w:rPr>
        <w:t xml:space="preserve"> </w:t>
      </w:r>
      <w:r>
        <w:rPr>
          <w:rFonts w:ascii="华文仿宋" w:hAnsi="华文仿宋" w:eastAsia="华文仿宋"/>
          <w:sz w:val="18"/>
        </w:rPr>
        <w:t xml:space="preserve">allows</w:t>
      </w:r>
      <w:r>
        <w:rPr>
          <w:rFonts w:ascii="华文仿宋" w:hAnsi="华文仿宋" w:eastAsia="华文仿宋"/>
          <w:sz w:val="18"/>
        </w:rPr>
        <w:t xml:space="preserve"> </w:t>
      </w:r>
      <m:oMath>
        <m:r>
          <m:rPr>
            <m:sty m:val="p"/>
          </m:rPr>
          <m:t>⌊</m:t>
        </m:r>
        <m:r>
          <m:t>ρ</m:t>
        </m:r>
        <m:r>
          <m:t>N</m:t>
        </m:r>
        <m:r>
          <m:rPr>
            <m:sty m:val="p"/>
          </m:rPr>
          <m:t>⌋</m:t>
        </m:r>
      </m:oMath>
      <w:r>
        <w:rPr>
          <w:rFonts w:ascii="华文仿宋" w:hAnsi="华文仿宋" w:eastAsia="华文仿宋"/>
          <w:sz w:val="18"/>
        </w:rPr>
        <w:t xml:space="preserve"> </w:t>
      </w:r>
      <w:r>
        <w:rPr>
          <w:rFonts w:ascii="华文仿宋" w:hAnsi="华文仿宋" w:eastAsia="华文仿宋"/>
          <w:sz w:val="18"/>
        </w:rPr>
        <w:t xml:space="preserve">charged attempts. Completion is the number of distinct successful instances divided by</w:t>
      </w:r>
      <w:r>
        <w:rPr>
          <w:rFonts w:ascii="华文仿宋" w:hAnsi="华文仿宋" w:eastAsia="华文仿宋"/>
          <w:sz w:val="18"/>
        </w:rPr>
        <w:t xml:space="preserve"> </w:t>
      </w:r>
      <m:oMath>
        <m:r>
          <m:t>N</m:t>
        </m:r>
      </m:oMath>
      <w:r>
        <w:rPr>
          <w:rFonts w:ascii="华文仿宋" w:hAnsi="华文仿宋" w:eastAsia="华文仿宋"/>
          <w:sz w:val="18"/>
        </w:rPr>
        <w:t xml:space="preserve">. Green lines and circles show the PDB-equal mean, and blue lines and diamonds show the median. Grey points and violins show PDB distributions at</w:t>
      </w:r>
      <w:r>
        <w:rPr>
          <w:rFonts w:ascii="华文仿宋" w:hAnsi="华文仿宋" w:eastAsia="华文仿宋"/>
          <w:sz w:val="18"/>
        </w:rPr>
        <w:t xml:space="preserve"> </w:t>
      </w:r>
      <m:oMath>
        <m:r>
          <m:t>50</m:t>
        </m:r>
        <m:r>
          <m:rPr>
            <m:sty m:val="p"/>
          </m:rPr>
          <m:t>%</m:t>
        </m:r>
      </m:oMath>
      <w:r>
        <w:rPr>
          <w:rFonts w:ascii="华文仿宋" w:hAnsi="华文仿宋" w:eastAsia="华文仿宋"/>
          <w:sz w:val="18"/>
        </w:rPr>
        <w:t xml:space="preserve">,</w:t>
      </w:r>
      <w:r>
        <w:rPr>
          <w:rFonts w:ascii="华文仿宋" w:hAnsi="华文仿宋" w:eastAsia="华文仿宋"/>
          <w:sz w:val="18"/>
        </w:rPr>
        <w:t xml:space="preserve"> </w:t>
      </w:r>
      <m:oMath>
        <m:r>
          <m:t>100</m:t>
        </m:r>
        <m:r>
          <m:rPr>
            <m:sty m:val="p"/>
          </m:rPr>
          <m:t>%</m:t>
        </m:r>
      </m:oMath>
      <w:r>
        <w:rPr>
          <w:rFonts w:ascii="华文仿宋" w:hAnsi="华文仿宋" w:eastAsia="华文仿宋"/>
          <w:sz w:val="18"/>
        </w:rPr>
        <w:t xml:space="preserve">,</w:t>
      </w:r>
      <w:r>
        <w:rPr>
          <w:rFonts w:ascii="华文仿宋" w:hAnsi="华文仿宋" w:eastAsia="华文仿宋"/>
          <w:sz w:val="18"/>
        </w:rPr>
        <w:t xml:space="preserve"> </w:t>
      </w:r>
      <m:oMath>
        <m:r>
          <m:t>200</m:t>
        </m:r>
        <m:r>
          <m:rPr>
            <m:sty m:val="p"/>
          </m:rPr>
          <m:t>%</m:t>
        </m:r>
      </m:oMath>
      <w:r>
        <w:rPr>
          <w:rFonts w:ascii="华文仿宋" w:hAnsi="华文仿宋" w:eastAsia="华文仿宋"/>
          <w:sz w:val="18"/>
        </w:rPr>
        <w:t xml:space="preserve"> </w:t>
      </w:r>
      <w:r>
        <w:rPr>
          <w:rFonts w:ascii="华文仿宋" w:hAnsi="华文仿宋" w:eastAsia="华文仿宋"/>
          <w:sz w:val="18"/>
        </w:rPr>
        <w:t xml:space="preserve">and</w:t>
      </w:r>
      <w:r>
        <w:rPr>
          <w:rFonts w:ascii="华文仿宋" w:hAnsi="华文仿宋" w:eastAsia="华文仿宋"/>
          <w:sz w:val="18"/>
        </w:rPr>
        <w:t xml:space="preserve"> </w:t>
      </w:r>
      <m:oMath>
        <m:r>
          <m:t>300</m:t>
        </m:r>
        <m:r>
          <m:rPr>
            <m:sty m:val="p"/>
          </m:rPr>
          <m:t>%</m:t>
        </m:r>
      </m:oMath>
      <w:r>
        <w:rPr>
          <w:rFonts w:ascii="华文仿宋" w:hAnsi="华文仿宋" w:eastAsia="华文仿宋"/>
          <w:sz w:val="18"/>
        </w:rPr>
        <w:t xml:space="preserve"> </w:t>
      </w:r>
      <w:r>
        <w:rPr>
          <w:rFonts w:ascii="华文仿宋" w:hAnsi="华文仿宋" w:eastAsia="华文仿宋"/>
          <w:sz w:val="18"/>
        </w:rPr>
        <w:t xml:space="preserve">budgets.</w:t>
      </w:r>
    </w:p>
    <w:p>
      <w:pPr>
        <w:pStyle w:val="MDConverterBibliography"/>
      </w:pPr>
      <w:r>
        <w:rPr>
          <w:b/>
          <w:bCs/>
        </w:rPr>
        <w:t xml:space="preserve">References</w:t>
      </w:r>
    </w:p>
    <w:p>
      <w:pPr>
        <w:pStyle w:val="MDConverterBibliography"/>
      </w:pPr>
      <w:r>
        <w:t xml:space="preserve">1. Li, S., Jain, A., Kagaya, Y., Park, J. H., &amp; Kihara, D.</w:t>
      </w:r>
      <w:r>
        <w:t xml:space="preserve"> </w:t>
      </w:r>
      <w:r>
        <w:t xml:space="preserve">Direct Detection and Atomic Modeling of Ligands in Cryo-EM Maps Using Deep Learning</w:t>
      </w:r>
      <w:r>
        <w:t xml:space="preserve">.</w:t>
      </w:r>
      <w:r>
        <w:t xml:space="preserve"> </w:t>
      </w:r>
      <w:r>
        <w:rPr>
          <w:i/>
          <w:iCs/>
        </w:rPr>
        <w:t xml:space="preserve">bioRxiv</w:t>
      </w:r>
      <w:r>
        <w:t xml:space="preserve"> </w:t>
      </w:r>
      <w:r>
        <w:t xml:space="preserve">(2026). https://doi.org/</w:t>
      </w:r>
      <w:hyperlink r:id="rId100">
        <w:r>
          <w:rPr>
            <w:rStyle w:val="a4"/>
          </w:rPr>
          <w:t xml:space="preserve">10.64898/2026.06.01.729423</w:t>
        </w:r>
      </w:hyperlink>
      <w:r>
        <w:t xml:space="preserve">.</w:t>
      </w:r>
    </w:p>
    <w:bookmarkEnd w:id="101"/>
    <w:bookmarkEnd w:id="102"/>
    <w:bookmarkEnd w:id="103"/>
    <w:sectPr w:rsidR="00DD1CAE" w:rsidSect="0015253C">
      <w:footerReference r:id="rId8" w:type="default"/>
      <w:pgSz w:h="16838" w:w="11906"/>
      <w:pgMar w:bottom="1440" w:footer="992" w:gutter="0" w:header="851" w:left="1440" w:right="1440" w:top="1440"/>
      <w:cols w:space="425"/>
      <w:titlePg/>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华文楷体">
    <w:altName w:val="Microsoft YaHei"/>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171355"/>
      <w:docPartObj>
        <w:docPartGallery w:val="Page Numbers (Bottom of Page)"/>
        <w:docPartUnique/>
      </w:docPartObj>
    </w:sdtPr>
    <w:sdtEndPr/>
    <w:sdtContent>
      <w:p w14:paraId="68634CE8" w14:textId="77777777" w:rsidR="001952CC" w:rsidRDefault="001952CC">
        <w:pPr>
          <w:pStyle w:val="a7"/>
          <w:jc w:val="center"/>
        </w:pPr>
        <w:r>
          <w:fldChar w:fldCharType="begin"/>
        </w:r>
        <w:r>
          <w:instrText>PAGE   \* MERGEFORMAT</w:instrText>
        </w:r>
        <w:r>
          <w:fldChar w:fldCharType="separate"/>
        </w:r>
        <w:r w:rsidR="0015253C" w:rsidRPr="0015253C">
          <w:rPr>
            <w:noProof/>
            <w:lang w:val="zh-CN"/>
          </w:rPr>
          <w:t>2</w:t>
        </w:r>
        <w:r>
          <w:fldChar w:fldCharType="end"/>
        </w:r>
      </w:p>
    </w:sdtContent>
  </w:sdt>
  <w:p w14:paraId="448A4DD4" w14:textId="77777777" w:rsidR="001952CC" w:rsidRDefault="001952C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DB75" w14:textId="77777777" w:rsidR="0015253C" w:rsidRDefault="0015253C">
    <w:pPr>
      <w:pStyle w:val="a7"/>
      <w:jc w:val="center"/>
    </w:pPr>
  </w:p>
  <w:p w14:paraId="693BFB88" w14:textId="77777777" w:rsidR="0015253C" w:rsidRDefault="0015253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31308"/>
      <w:docPartObj>
        <w:docPartGallery w:val="Page Numbers (Bottom of Page)"/>
        <w:docPartUnique/>
      </w:docPartObj>
    </w:sdtPr>
    <w:sdtEndPr/>
    <w:sdtContent>
      <w:p w14:paraId="152623F9" w14:textId="77777777" w:rsidR="0015253C" w:rsidRDefault="0015253C">
        <w:pPr>
          <w:pStyle w:val="a7"/>
          <w:jc w:val="center"/>
        </w:pPr>
        <w:r>
          <w:fldChar w:fldCharType="begin"/>
        </w:r>
        <w:r>
          <w:instrText>PAGE   \* MERGEFORMAT</w:instrText>
        </w:r>
        <w:r>
          <w:fldChar w:fldCharType="separate"/>
        </w:r>
        <w:r w:rsidR="000D2AF1" w:rsidRPr="000D2AF1">
          <w:rPr>
            <w:noProof/>
            <w:lang w:val="zh-CN"/>
          </w:rPr>
          <w:t>1</w:t>
        </w:r>
        <w:r>
          <w:fldChar w:fldCharType="end"/>
        </w:r>
      </w:p>
    </w:sdtContent>
  </w:sdt>
  <w:p w14:paraId="733EB7C8" w14:textId="77777777" w:rsidR="0015253C" w:rsidRDefault="0015253C">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3655DD"/>
    <w:multiLevelType w:val="multilevel"/>
    <w:tmpl w:val="94D0608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9174F6E"/>
    <w:multiLevelType w:val="multilevel"/>
    <w:tmpl w:val="2F7E51B6"/>
    <w:lvl w:ilvl="0">
      <w:start w:val="1"/>
      <w:numFmt w:val="chineseCountingThousand"/>
      <w:suff w:val="space"/>
      <w:lvlText w:val="第%1章"/>
      <w:lvlJc w:val="left"/>
      <w:pPr>
        <w:ind w:firstLine="0" w:left="0"/>
      </w:pPr>
      <w:rPr>
        <w:rFonts w:hint="eastAsia"/>
      </w:rPr>
    </w:lvl>
    <w:lvl w:ilvl="1">
      <w:start w:val="1"/>
      <w:numFmt w:val="decimal"/>
      <w:isLgl/>
      <w:suff w:val="space"/>
      <w:lvlText w:val="%1.%2"/>
      <w:lvlJc w:val="left"/>
      <w:pPr>
        <w:ind w:firstLine="0" w:left="0"/>
      </w:pPr>
      <w:rPr>
        <w:rFonts w:hint="eastAsia"/>
      </w:rPr>
    </w:lvl>
    <w:lvl w:ilvl="2">
      <w:start w:val="1"/>
      <w:numFmt w:val="decimal"/>
      <w:isLgl/>
      <w:suff w:val="space"/>
      <w:lvlText w:val="%1.%2.%3"/>
      <w:lvlJc w:val="left"/>
      <w:pPr>
        <w:ind w:firstLine="0" w:left="0"/>
      </w:pPr>
      <w:rPr>
        <w:rFonts w:hint="eastAsia"/>
      </w:rPr>
    </w:lvl>
    <w:lvl w:ilvl="3">
      <w:start w:val="1"/>
      <w:numFmt w:val="decimal"/>
      <w:isLgl/>
      <w:suff w:val="space"/>
      <w:lvlText w:val="%1.%2.%3.%4"/>
      <w:lvlJc w:val="left"/>
      <w:pPr>
        <w:ind w:firstLine="0" w:left="0"/>
      </w:pPr>
      <w:rPr>
        <w:rFonts w:hint="eastAsia"/>
      </w:rPr>
    </w:lvl>
    <w:lvl w:ilvl="4">
      <w:start w:val="1"/>
      <w:numFmt w:val="decimal"/>
      <w:lvlText w:val="%1.%2.%3.%4.%5"/>
      <w:lvlJc w:val="left"/>
      <w:pPr>
        <w:ind w:firstLine="0" w:left="0"/>
      </w:pPr>
      <w:rPr>
        <w:rFonts w:hint="eastAsia"/>
      </w:rPr>
    </w:lvl>
    <w:lvl w:ilvl="5">
      <w:start w:val="1"/>
      <w:numFmt w:val="decimal"/>
      <w:lvlText w:val="%1.%2.%3.%4.%5.%6"/>
      <w:lvlJc w:val="left"/>
      <w:pPr>
        <w:ind w:firstLine="0" w:left="0"/>
      </w:pPr>
      <w:rPr>
        <w:rFonts w:hint="eastAsia"/>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2">
    <w:nsid w:val="1E2538D2"/>
    <w:multiLevelType w:val="multilevel"/>
    <w:tmpl w:val="03B82D0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FD44104"/>
    <w:multiLevelType w:val="multilevel"/>
    <w:tmpl w:val="D6A40D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F6F669A"/>
    <w:multiLevelType w:val="multilevel"/>
    <w:tmpl w:val="F46ED8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0F03017"/>
    <w:multiLevelType w:val="multilevel"/>
    <w:tmpl w:val="19AE9C7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43281FD1"/>
    <w:multiLevelType w:val="hybridMultilevel"/>
    <w:tmpl w:val="A12EF0BA"/>
    <w:lvl w:ilvl="0" w:tplc="A15CBF76">
      <w:start w:val="1"/>
      <w:numFmt w:val="decimal"/>
      <w:lvlText w:val="%1."/>
      <w:lvlJc w:val="left"/>
      <w:pPr>
        <w:ind w:hanging="360" w:left="360"/>
      </w:pPr>
      <w:rPr>
        <w:rFonts w:hint="default"/>
        <w:color w:val="auto"/>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7">
    <w:nsid w:val="52676D56"/>
    <w:multiLevelType w:val="multilevel"/>
    <w:tmpl w:val="7EE0F90E"/>
    <w:lvl w:ilvl="0">
      <w:start w:val="1"/>
      <w:numFmt w:val="decimal"/>
      <w:suff w:val="space"/>
      <w:lvlText w:val="%1"/>
      <w:lvlJc w:val="left"/>
      <w:pPr>
        <w:ind w:firstLine="0" w:left="0"/>
      </w:pPr>
      <w:rPr>
        <w:rFonts w:hint="eastAsia"/>
      </w:rPr>
    </w:lvl>
    <w:lvl w:ilvl="1">
      <w:start w:val="1"/>
      <w:numFmt w:val="decimal"/>
      <w:suff w:val="space"/>
      <w:lvlText w:val="%1.%2"/>
      <w:lvlJc w:val="left"/>
      <w:pPr>
        <w:ind w:firstLine="0" w:left="0"/>
      </w:pPr>
      <w:rPr>
        <w:rFonts w:hint="eastAsia"/>
      </w:rPr>
    </w:lvl>
    <w:lvl w:ilvl="2">
      <w:start w:val="1"/>
      <w:numFmt w:val="decimal"/>
      <w:suff w:val="space"/>
      <w:lvlText w:val="%1.%2.%3"/>
      <w:lvlJc w:val="left"/>
      <w:pPr>
        <w:ind w:firstLine="0" w:left="0"/>
      </w:pPr>
      <w:rPr>
        <w:rFonts w:hint="eastAsia"/>
      </w:rPr>
    </w:lvl>
    <w:lvl w:ilvl="3">
      <w:start w:val="1"/>
      <w:numFmt w:val="decimal"/>
      <w:suff w:val="space"/>
      <w:lvlText w:val="%1.%2.%3.%4"/>
      <w:lvlJc w:val="left"/>
      <w:pPr>
        <w:ind w:firstLine="0" w:left="0"/>
      </w:pPr>
      <w:rPr>
        <w:rFonts w:hint="eastAsia"/>
      </w:rPr>
    </w:lvl>
    <w:lvl w:ilvl="4">
      <w:start w:val="1"/>
      <w:numFmt w:val="decimal"/>
      <w:lvlText w:val="%1.%2.%3.%4.%5"/>
      <w:lvlJc w:val="left"/>
      <w:pPr>
        <w:ind w:firstLine="0" w:left="0"/>
      </w:pPr>
      <w:rPr>
        <w:rFonts w:hint="eastAsia"/>
      </w:rPr>
    </w:lvl>
    <w:lvl w:ilvl="5">
      <w:start w:val="1"/>
      <w:numFmt w:val="decimal"/>
      <w:lvlText w:val="%1.%2.%3.%4.%5.%6"/>
      <w:lvlJc w:val="left"/>
      <w:pPr>
        <w:ind w:firstLine="0" w:left="0"/>
      </w:pPr>
      <w:rPr>
        <w:rFonts w:hint="eastAsia"/>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8">
    <w:nsid w:val="60A26B11"/>
    <w:multiLevelType w:val="hybridMultilevel"/>
    <w:tmpl w:val="5A365338"/>
    <w:lvl w:ilvl="0" w:tplc="3DD6C788">
      <w:start w:val="1"/>
      <w:numFmt w:val="decimal"/>
      <w:lvlText w:val="%1."/>
      <w:lvlJc w:val="left"/>
      <w:pPr>
        <w:ind w:hanging="360" w:left="360"/>
      </w:pPr>
      <w:rPr>
        <w:rFonts w:hint="default"/>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9">
    <w:nsid w:val="72767AF0"/>
    <w:multiLevelType w:val="multilevel"/>
    <w:tmpl w:val="28F6E7E8"/>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4528784" w:numId="1">
    <w:abstractNumId w:val="7"/>
  </w:num>
  <w:num w16cid:durableId="1207642904" w:numId="2">
    <w:abstractNumId w:val="1"/>
  </w:num>
  <w:num w16cid:durableId="1282298939" w:numId="3">
    <w:abstractNumId w:val="6"/>
  </w:num>
  <w:num w16cid:durableId="968166837" w:numId="4">
    <w:abstractNumId w:val="9"/>
  </w:num>
  <w:num w16cid:durableId="15273975" w:numId="5">
    <w:abstractNumId w:val="8"/>
  </w:num>
  <w:num w16cid:durableId="1503279600" w:numId="6">
    <w:abstractNumId w:val="3"/>
  </w:num>
  <w:num w16cid:durableId="1357736665" w:numId="7">
    <w:abstractNumId w:val="5"/>
  </w:num>
  <w:num w16cid:durableId="1717974079" w:numId="8">
    <w:abstractNumId w:val="2"/>
  </w:num>
  <w:num w16cid:durableId="1609311758" w:numId="9">
    <w:abstractNumId w:val="0"/>
  </w:num>
  <w:num w16cid:durableId="2051032843" w:numId="10">
    <w:abstractNumId w:val="4"/>
  </w:num>
  <w:num w16cid:durableId="1954480798" w:numId="11">
    <w:abstractNumId w:val="1"/>
  </w:num>
  <w:num w16cid:durableId="1030179939" w:numId="1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2"/>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EA3"/>
    <w:rsid w:val="00001807"/>
    <w:rsid w:val="0000343F"/>
    <w:rsid w:val="0000535E"/>
    <w:rsid w:val="00006F59"/>
    <w:rsid w:val="000072F8"/>
    <w:rsid w:val="00011255"/>
    <w:rsid w:val="00013E65"/>
    <w:rsid w:val="00013FF8"/>
    <w:rsid w:val="0001422F"/>
    <w:rsid w:val="000174FB"/>
    <w:rsid w:val="000208E2"/>
    <w:rsid w:val="00022176"/>
    <w:rsid w:val="000233E6"/>
    <w:rsid w:val="00025127"/>
    <w:rsid w:val="00032DDC"/>
    <w:rsid w:val="00032F56"/>
    <w:rsid w:val="000377DC"/>
    <w:rsid w:val="00040F93"/>
    <w:rsid w:val="0004383E"/>
    <w:rsid w:val="00046062"/>
    <w:rsid w:val="00054369"/>
    <w:rsid w:val="00054925"/>
    <w:rsid w:val="00054D28"/>
    <w:rsid w:val="000558E8"/>
    <w:rsid w:val="00066C01"/>
    <w:rsid w:val="0007161E"/>
    <w:rsid w:val="00071B31"/>
    <w:rsid w:val="00072ADC"/>
    <w:rsid w:val="00075989"/>
    <w:rsid w:val="000830A3"/>
    <w:rsid w:val="00092071"/>
    <w:rsid w:val="0009369A"/>
    <w:rsid w:val="000B2DB4"/>
    <w:rsid w:val="000B37DD"/>
    <w:rsid w:val="000B7B9E"/>
    <w:rsid w:val="000C45D6"/>
    <w:rsid w:val="000D2AF1"/>
    <w:rsid w:val="000D71A1"/>
    <w:rsid w:val="000E1AF4"/>
    <w:rsid w:val="000E781E"/>
    <w:rsid w:val="000E7836"/>
    <w:rsid w:val="000F3D3C"/>
    <w:rsid w:val="000F6788"/>
    <w:rsid w:val="00103E58"/>
    <w:rsid w:val="00113274"/>
    <w:rsid w:val="00113D39"/>
    <w:rsid w:val="001141D8"/>
    <w:rsid w:val="001143A8"/>
    <w:rsid w:val="00116EC7"/>
    <w:rsid w:val="00121BF8"/>
    <w:rsid w:val="0012359E"/>
    <w:rsid w:val="00131BF2"/>
    <w:rsid w:val="0013575F"/>
    <w:rsid w:val="0013714F"/>
    <w:rsid w:val="001424C4"/>
    <w:rsid w:val="001427C0"/>
    <w:rsid w:val="0015253C"/>
    <w:rsid w:val="001534EF"/>
    <w:rsid w:val="001555F3"/>
    <w:rsid w:val="001617BA"/>
    <w:rsid w:val="00164443"/>
    <w:rsid w:val="00164E0E"/>
    <w:rsid w:val="0016725E"/>
    <w:rsid w:val="0017167B"/>
    <w:rsid w:val="00174B3D"/>
    <w:rsid w:val="00176CDC"/>
    <w:rsid w:val="00182632"/>
    <w:rsid w:val="0018622D"/>
    <w:rsid w:val="00191969"/>
    <w:rsid w:val="001952CC"/>
    <w:rsid w:val="001A1B86"/>
    <w:rsid w:val="001B297A"/>
    <w:rsid w:val="001B2C74"/>
    <w:rsid w:val="001B4F4B"/>
    <w:rsid w:val="001B6808"/>
    <w:rsid w:val="001B6DBB"/>
    <w:rsid w:val="001C23D2"/>
    <w:rsid w:val="001C2823"/>
    <w:rsid w:val="001C377C"/>
    <w:rsid w:val="001C5D03"/>
    <w:rsid w:val="001D008D"/>
    <w:rsid w:val="001D06CF"/>
    <w:rsid w:val="001D16D3"/>
    <w:rsid w:val="001D22C7"/>
    <w:rsid w:val="001D3EEB"/>
    <w:rsid w:val="001D616D"/>
    <w:rsid w:val="001D6E13"/>
    <w:rsid w:val="001E00F9"/>
    <w:rsid w:val="001E102B"/>
    <w:rsid w:val="001E40D6"/>
    <w:rsid w:val="001E4E70"/>
    <w:rsid w:val="001F3131"/>
    <w:rsid w:val="001F495C"/>
    <w:rsid w:val="001F4C80"/>
    <w:rsid w:val="001F6317"/>
    <w:rsid w:val="00201890"/>
    <w:rsid w:val="002024BD"/>
    <w:rsid w:val="00210EA3"/>
    <w:rsid w:val="00213D82"/>
    <w:rsid w:val="00214997"/>
    <w:rsid w:val="00214B4D"/>
    <w:rsid w:val="00221F60"/>
    <w:rsid w:val="00223664"/>
    <w:rsid w:val="00234DE8"/>
    <w:rsid w:val="00235468"/>
    <w:rsid w:val="00240297"/>
    <w:rsid w:val="00241812"/>
    <w:rsid w:val="00250669"/>
    <w:rsid w:val="002525EE"/>
    <w:rsid w:val="0025344D"/>
    <w:rsid w:val="00255118"/>
    <w:rsid w:val="00264417"/>
    <w:rsid w:val="00267FA3"/>
    <w:rsid w:val="002705D8"/>
    <w:rsid w:val="00272C6E"/>
    <w:rsid w:val="002746E3"/>
    <w:rsid w:val="00277443"/>
    <w:rsid w:val="002779B4"/>
    <w:rsid w:val="00277BFC"/>
    <w:rsid w:val="00290ED5"/>
    <w:rsid w:val="002932DF"/>
    <w:rsid w:val="00293497"/>
    <w:rsid w:val="00293937"/>
    <w:rsid w:val="00293FDB"/>
    <w:rsid w:val="00296889"/>
    <w:rsid w:val="002A4019"/>
    <w:rsid w:val="002A54E4"/>
    <w:rsid w:val="002A5A13"/>
    <w:rsid w:val="002A6447"/>
    <w:rsid w:val="002A7D0C"/>
    <w:rsid w:val="002B02DA"/>
    <w:rsid w:val="002B0348"/>
    <w:rsid w:val="002B190B"/>
    <w:rsid w:val="002B35F7"/>
    <w:rsid w:val="002B3CB6"/>
    <w:rsid w:val="002C0385"/>
    <w:rsid w:val="002C5868"/>
    <w:rsid w:val="002E57BB"/>
    <w:rsid w:val="002E7D3D"/>
    <w:rsid w:val="002F18A5"/>
    <w:rsid w:val="00314895"/>
    <w:rsid w:val="003271AB"/>
    <w:rsid w:val="0033214A"/>
    <w:rsid w:val="0033695F"/>
    <w:rsid w:val="00337886"/>
    <w:rsid w:val="00340931"/>
    <w:rsid w:val="00343016"/>
    <w:rsid w:val="00344BB2"/>
    <w:rsid w:val="00346043"/>
    <w:rsid w:val="00353B73"/>
    <w:rsid w:val="003637B4"/>
    <w:rsid w:val="00365C7C"/>
    <w:rsid w:val="003723E6"/>
    <w:rsid w:val="0037315C"/>
    <w:rsid w:val="00375675"/>
    <w:rsid w:val="00384175"/>
    <w:rsid w:val="00387B90"/>
    <w:rsid w:val="003A26C9"/>
    <w:rsid w:val="003A2D7C"/>
    <w:rsid w:val="003A4AAB"/>
    <w:rsid w:val="003B38E9"/>
    <w:rsid w:val="003B3CCA"/>
    <w:rsid w:val="003B4261"/>
    <w:rsid w:val="003B6DC1"/>
    <w:rsid w:val="003C4381"/>
    <w:rsid w:val="003C465C"/>
    <w:rsid w:val="003C4C2E"/>
    <w:rsid w:val="003D19C6"/>
    <w:rsid w:val="003D2D37"/>
    <w:rsid w:val="003D5EB6"/>
    <w:rsid w:val="003E1BCD"/>
    <w:rsid w:val="003E22AF"/>
    <w:rsid w:val="003E3111"/>
    <w:rsid w:val="003E3B94"/>
    <w:rsid w:val="003E563D"/>
    <w:rsid w:val="003F34B7"/>
    <w:rsid w:val="003F4AE6"/>
    <w:rsid w:val="003F60B1"/>
    <w:rsid w:val="00401083"/>
    <w:rsid w:val="004030A7"/>
    <w:rsid w:val="00404764"/>
    <w:rsid w:val="0041754A"/>
    <w:rsid w:val="00424135"/>
    <w:rsid w:val="00424782"/>
    <w:rsid w:val="00425B89"/>
    <w:rsid w:val="00430AD3"/>
    <w:rsid w:val="00430FEB"/>
    <w:rsid w:val="00432397"/>
    <w:rsid w:val="00435AF5"/>
    <w:rsid w:val="004375A3"/>
    <w:rsid w:val="004454CB"/>
    <w:rsid w:val="004571C1"/>
    <w:rsid w:val="0046582B"/>
    <w:rsid w:val="004661E1"/>
    <w:rsid w:val="00476E88"/>
    <w:rsid w:val="0048118C"/>
    <w:rsid w:val="004818FC"/>
    <w:rsid w:val="0048384A"/>
    <w:rsid w:val="004846B5"/>
    <w:rsid w:val="00485436"/>
    <w:rsid w:val="00485BF3"/>
    <w:rsid w:val="0049123C"/>
    <w:rsid w:val="0049221C"/>
    <w:rsid w:val="004A1DB2"/>
    <w:rsid w:val="004A2BBE"/>
    <w:rsid w:val="004A7A2F"/>
    <w:rsid w:val="004B5390"/>
    <w:rsid w:val="004B5916"/>
    <w:rsid w:val="004B76BC"/>
    <w:rsid w:val="004B79EC"/>
    <w:rsid w:val="004B7D8C"/>
    <w:rsid w:val="004C5A9E"/>
    <w:rsid w:val="004C6CC4"/>
    <w:rsid w:val="004D0829"/>
    <w:rsid w:val="004D5C0C"/>
    <w:rsid w:val="004E2120"/>
    <w:rsid w:val="004E3D08"/>
    <w:rsid w:val="004E6AAF"/>
    <w:rsid w:val="004E7788"/>
    <w:rsid w:val="004F07BF"/>
    <w:rsid w:val="004F5563"/>
    <w:rsid w:val="004F6645"/>
    <w:rsid w:val="004F7412"/>
    <w:rsid w:val="00505D52"/>
    <w:rsid w:val="00510B49"/>
    <w:rsid w:val="00512D15"/>
    <w:rsid w:val="00513FE8"/>
    <w:rsid w:val="0052043E"/>
    <w:rsid w:val="0052441E"/>
    <w:rsid w:val="005249E3"/>
    <w:rsid w:val="00541835"/>
    <w:rsid w:val="00541E56"/>
    <w:rsid w:val="00542066"/>
    <w:rsid w:val="0054252D"/>
    <w:rsid w:val="00546E46"/>
    <w:rsid w:val="00560E10"/>
    <w:rsid w:val="00561936"/>
    <w:rsid w:val="00562CA8"/>
    <w:rsid w:val="00566268"/>
    <w:rsid w:val="00594BE7"/>
    <w:rsid w:val="00597739"/>
    <w:rsid w:val="005A1E73"/>
    <w:rsid w:val="005A26CB"/>
    <w:rsid w:val="005A5B0C"/>
    <w:rsid w:val="005A6B9D"/>
    <w:rsid w:val="005B216A"/>
    <w:rsid w:val="005B3713"/>
    <w:rsid w:val="005B49C0"/>
    <w:rsid w:val="005C0804"/>
    <w:rsid w:val="005C0CAA"/>
    <w:rsid w:val="005C73B6"/>
    <w:rsid w:val="005D1CD9"/>
    <w:rsid w:val="005D3D6C"/>
    <w:rsid w:val="005D6A62"/>
    <w:rsid w:val="005E5193"/>
    <w:rsid w:val="005E6C90"/>
    <w:rsid w:val="005F3A5C"/>
    <w:rsid w:val="005F6FC1"/>
    <w:rsid w:val="005F731E"/>
    <w:rsid w:val="00603544"/>
    <w:rsid w:val="0060466E"/>
    <w:rsid w:val="00611C27"/>
    <w:rsid w:val="00614268"/>
    <w:rsid w:val="00615EE3"/>
    <w:rsid w:val="0061603D"/>
    <w:rsid w:val="00616CE0"/>
    <w:rsid w:val="00620198"/>
    <w:rsid w:val="00622846"/>
    <w:rsid w:val="006231F3"/>
    <w:rsid w:val="00630669"/>
    <w:rsid w:val="006349A9"/>
    <w:rsid w:val="00640203"/>
    <w:rsid w:val="00641F53"/>
    <w:rsid w:val="00645B1A"/>
    <w:rsid w:val="00646A3E"/>
    <w:rsid w:val="00647A6B"/>
    <w:rsid w:val="00651D8A"/>
    <w:rsid w:val="00657AB5"/>
    <w:rsid w:val="00661019"/>
    <w:rsid w:val="006625BF"/>
    <w:rsid w:val="00662B56"/>
    <w:rsid w:val="00662E6D"/>
    <w:rsid w:val="006649AC"/>
    <w:rsid w:val="00664E13"/>
    <w:rsid w:val="00673366"/>
    <w:rsid w:val="006734E2"/>
    <w:rsid w:val="00674E3B"/>
    <w:rsid w:val="006769B4"/>
    <w:rsid w:val="006832CB"/>
    <w:rsid w:val="00685959"/>
    <w:rsid w:val="00691370"/>
    <w:rsid w:val="00695624"/>
    <w:rsid w:val="006A26F5"/>
    <w:rsid w:val="006A28F0"/>
    <w:rsid w:val="006A292C"/>
    <w:rsid w:val="006A35DA"/>
    <w:rsid w:val="006A4145"/>
    <w:rsid w:val="006A558E"/>
    <w:rsid w:val="006A77D9"/>
    <w:rsid w:val="006B3D75"/>
    <w:rsid w:val="006B5A34"/>
    <w:rsid w:val="006B642E"/>
    <w:rsid w:val="006B6F91"/>
    <w:rsid w:val="006B796C"/>
    <w:rsid w:val="006C2747"/>
    <w:rsid w:val="006C6C54"/>
    <w:rsid w:val="006C7393"/>
    <w:rsid w:val="006D023F"/>
    <w:rsid w:val="006D5ACE"/>
    <w:rsid w:val="006E0154"/>
    <w:rsid w:val="006E20C2"/>
    <w:rsid w:val="006E6642"/>
    <w:rsid w:val="006E6FDA"/>
    <w:rsid w:val="006F1C0A"/>
    <w:rsid w:val="006F2163"/>
    <w:rsid w:val="00707638"/>
    <w:rsid w:val="007104D8"/>
    <w:rsid w:val="00713AAA"/>
    <w:rsid w:val="00716663"/>
    <w:rsid w:val="0073122F"/>
    <w:rsid w:val="00732B5F"/>
    <w:rsid w:val="00734C92"/>
    <w:rsid w:val="00740A35"/>
    <w:rsid w:val="00752427"/>
    <w:rsid w:val="00753452"/>
    <w:rsid w:val="0075696E"/>
    <w:rsid w:val="00760C52"/>
    <w:rsid w:val="0076460C"/>
    <w:rsid w:val="0077023D"/>
    <w:rsid w:val="007827D3"/>
    <w:rsid w:val="0078326C"/>
    <w:rsid w:val="007841AA"/>
    <w:rsid w:val="0078530E"/>
    <w:rsid w:val="007874E2"/>
    <w:rsid w:val="007940F1"/>
    <w:rsid w:val="007948C3"/>
    <w:rsid w:val="00795504"/>
    <w:rsid w:val="00797EC3"/>
    <w:rsid w:val="007A1F4F"/>
    <w:rsid w:val="007A3A92"/>
    <w:rsid w:val="007B0C9D"/>
    <w:rsid w:val="007B74A1"/>
    <w:rsid w:val="007C5016"/>
    <w:rsid w:val="007C5C5B"/>
    <w:rsid w:val="007C6DA5"/>
    <w:rsid w:val="007D0EBE"/>
    <w:rsid w:val="007D284A"/>
    <w:rsid w:val="007D3F28"/>
    <w:rsid w:val="007D4361"/>
    <w:rsid w:val="007E1EDB"/>
    <w:rsid w:val="007E592D"/>
    <w:rsid w:val="007E61CC"/>
    <w:rsid w:val="007F15DD"/>
    <w:rsid w:val="007F1B84"/>
    <w:rsid w:val="007F2D6D"/>
    <w:rsid w:val="007F5BF8"/>
    <w:rsid w:val="00800DFB"/>
    <w:rsid w:val="0080136D"/>
    <w:rsid w:val="00802D98"/>
    <w:rsid w:val="00806620"/>
    <w:rsid w:val="00814309"/>
    <w:rsid w:val="00817376"/>
    <w:rsid w:val="00821067"/>
    <w:rsid w:val="00822209"/>
    <w:rsid w:val="00824321"/>
    <w:rsid w:val="008302B4"/>
    <w:rsid w:val="00831329"/>
    <w:rsid w:val="0083133D"/>
    <w:rsid w:val="00834489"/>
    <w:rsid w:val="00836240"/>
    <w:rsid w:val="00837107"/>
    <w:rsid w:val="00840937"/>
    <w:rsid w:val="00842492"/>
    <w:rsid w:val="00844B1D"/>
    <w:rsid w:val="00844BC6"/>
    <w:rsid w:val="00856EFC"/>
    <w:rsid w:val="008606CD"/>
    <w:rsid w:val="00866B08"/>
    <w:rsid w:val="008745F3"/>
    <w:rsid w:val="0088044E"/>
    <w:rsid w:val="00885123"/>
    <w:rsid w:val="00892865"/>
    <w:rsid w:val="008934D9"/>
    <w:rsid w:val="00893CBA"/>
    <w:rsid w:val="0089474A"/>
    <w:rsid w:val="00894A81"/>
    <w:rsid w:val="00897624"/>
    <w:rsid w:val="008A5A22"/>
    <w:rsid w:val="008B30F0"/>
    <w:rsid w:val="008B7528"/>
    <w:rsid w:val="008C0188"/>
    <w:rsid w:val="008C0693"/>
    <w:rsid w:val="008C1840"/>
    <w:rsid w:val="008C2CB4"/>
    <w:rsid w:val="008C708F"/>
    <w:rsid w:val="008D1CD3"/>
    <w:rsid w:val="008D7E26"/>
    <w:rsid w:val="008E1A78"/>
    <w:rsid w:val="008E6F1C"/>
    <w:rsid w:val="008F319D"/>
    <w:rsid w:val="008F4DDE"/>
    <w:rsid w:val="00902698"/>
    <w:rsid w:val="00906DC4"/>
    <w:rsid w:val="00912404"/>
    <w:rsid w:val="00916C3A"/>
    <w:rsid w:val="00924834"/>
    <w:rsid w:val="00925A45"/>
    <w:rsid w:val="00931082"/>
    <w:rsid w:val="00934488"/>
    <w:rsid w:val="0093791D"/>
    <w:rsid w:val="00940353"/>
    <w:rsid w:val="009453EF"/>
    <w:rsid w:val="00946259"/>
    <w:rsid w:val="0094668F"/>
    <w:rsid w:val="00947C1B"/>
    <w:rsid w:val="0096073D"/>
    <w:rsid w:val="00966F2D"/>
    <w:rsid w:val="00967A5A"/>
    <w:rsid w:val="00970BD0"/>
    <w:rsid w:val="00980166"/>
    <w:rsid w:val="00980774"/>
    <w:rsid w:val="00980D4B"/>
    <w:rsid w:val="00982C23"/>
    <w:rsid w:val="00985D50"/>
    <w:rsid w:val="009954AF"/>
    <w:rsid w:val="00996707"/>
    <w:rsid w:val="009A0500"/>
    <w:rsid w:val="009A1B49"/>
    <w:rsid w:val="009A637D"/>
    <w:rsid w:val="009B082A"/>
    <w:rsid w:val="009B1BB8"/>
    <w:rsid w:val="009B2FCB"/>
    <w:rsid w:val="009B5AA0"/>
    <w:rsid w:val="009C1435"/>
    <w:rsid w:val="009C1C60"/>
    <w:rsid w:val="009C3280"/>
    <w:rsid w:val="009C63D8"/>
    <w:rsid w:val="009C6BB1"/>
    <w:rsid w:val="009D106E"/>
    <w:rsid w:val="009D1344"/>
    <w:rsid w:val="009D4F79"/>
    <w:rsid w:val="009D7AF8"/>
    <w:rsid w:val="009F47BE"/>
    <w:rsid w:val="00A02CB4"/>
    <w:rsid w:val="00A04125"/>
    <w:rsid w:val="00A06299"/>
    <w:rsid w:val="00A139A6"/>
    <w:rsid w:val="00A16779"/>
    <w:rsid w:val="00A20AFD"/>
    <w:rsid w:val="00A251C2"/>
    <w:rsid w:val="00A25BC0"/>
    <w:rsid w:val="00A307BF"/>
    <w:rsid w:val="00A506AC"/>
    <w:rsid w:val="00A54B84"/>
    <w:rsid w:val="00A76CDA"/>
    <w:rsid w:val="00A7777C"/>
    <w:rsid w:val="00A8076C"/>
    <w:rsid w:val="00A81162"/>
    <w:rsid w:val="00A844FA"/>
    <w:rsid w:val="00A86563"/>
    <w:rsid w:val="00A86D83"/>
    <w:rsid w:val="00A8713C"/>
    <w:rsid w:val="00A8748C"/>
    <w:rsid w:val="00A91C2E"/>
    <w:rsid w:val="00A9628C"/>
    <w:rsid w:val="00AA074B"/>
    <w:rsid w:val="00AA2BB4"/>
    <w:rsid w:val="00AA7ACF"/>
    <w:rsid w:val="00AB0E59"/>
    <w:rsid w:val="00AB5176"/>
    <w:rsid w:val="00AB5D7F"/>
    <w:rsid w:val="00AB6187"/>
    <w:rsid w:val="00AB775D"/>
    <w:rsid w:val="00AC5917"/>
    <w:rsid w:val="00AC614E"/>
    <w:rsid w:val="00AC718E"/>
    <w:rsid w:val="00AC77C2"/>
    <w:rsid w:val="00AD2F8A"/>
    <w:rsid w:val="00AD72D0"/>
    <w:rsid w:val="00AD7F47"/>
    <w:rsid w:val="00AE536C"/>
    <w:rsid w:val="00AE688A"/>
    <w:rsid w:val="00AF0019"/>
    <w:rsid w:val="00AF23F1"/>
    <w:rsid w:val="00B02158"/>
    <w:rsid w:val="00B050C4"/>
    <w:rsid w:val="00B24C1F"/>
    <w:rsid w:val="00B26CA8"/>
    <w:rsid w:val="00B27477"/>
    <w:rsid w:val="00B31856"/>
    <w:rsid w:val="00B33F21"/>
    <w:rsid w:val="00B41E92"/>
    <w:rsid w:val="00B4720E"/>
    <w:rsid w:val="00B609B8"/>
    <w:rsid w:val="00B74888"/>
    <w:rsid w:val="00B75323"/>
    <w:rsid w:val="00B76543"/>
    <w:rsid w:val="00B7798C"/>
    <w:rsid w:val="00B77E3A"/>
    <w:rsid w:val="00B80464"/>
    <w:rsid w:val="00B83847"/>
    <w:rsid w:val="00B852B5"/>
    <w:rsid w:val="00B95523"/>
    <w:rsid w:val="00BA2F76"/>
    <w:rsid w:val="00BA5C60"/>
    <w:rsid w:val="00BB1955"/>
    <w:rsid w:val="00BB4BB0"/>
    <w:rsid w:val="00BB4DD0"/>
    <w:rsid w:val="00BB692C"/>
    <w:rsid w:val="00BB6FEE"/>
    <w:rsid w:val="00BC1E2B"/>
    <w:rsid w:val="00BC59C9"/>
    <w:rsid w:val="00BD2895"/>
    <w:rsid w:val="00BD2901"/>
    <w:rsid w:val="00BE14A4"/>
    <w:rsid w:val="00BE3C1E"/>
    <w:rsid w:val="00BE4656"/>
    <w:rsid w:val="00BE5CBE"/>
    <w:rsid w:val="00BF0D4F"/>
    <w:rsid w:val="00BF1BC9"/>
    <w:rsid w:val="00BF1F98"/>
    <w:rsid w:val="00C04C95"/>
    <w:rsid w:val="00C108E3"/>
    <w:rsid w:val="00C109BE"/>
    <w:rsid w:val="00C11007"/>
    <w:rsid w:val="00C12843"/>
    <w:rsid w:val="00C21CE4"/>
    <w:rsid w:val="00C244F4"/>
    <w:rsid w:val="00C32764"/>
    <w:rsid w:val="00C33DCB"/>
    <w:rsid w:val="00C35825"/>
    <w:rsid w:val="00C41AA7"/>
    <w:rsid w:val="00C43F1B"/>
    <w:rsid w:val="00C512EF"/>
    <w:rsid w:val="00C53070"/>
    <w:rsid w:val="00C57221"/>
    <w:rsid w:val="00C7422D"/>
    <w:rsid w:val="00C74ECF"/>
    <w:rsid w:val="00C75923"/>
    <w:rsid w:val="00C821A1"/>
    <w:rsid w:val="00C85588"/>
    <w:rsid w:val="00C865ED"/>
    <w:rsid w:val="00C8667B"/>
    <w:rsid w:val="00C904E7"/>
    <w:rsid w:val="00C90CE9"/>
    <w:rsid w:val="00C93D9D"/>
    <w:rsid w:val="00C95B78"/>
    <w:rsid w:val="00C95CA5"/>
    <w:rsid w:val="00CB0604"/>
    <w:rsid w:val="00CB0702"/>
    <w:rsid w:val="00CB1A03"/>
    <w:rsid w:val="00CB56AA"/>
    <w:rsid w:val="00CB5EF2"/>
    <w:rsid w:val="00CB6E8C"/>
    <w:rsid w:val="00CC2FC6"/>
    <w:rsid w:val="00CC489C"/>
    <w:rsid w:val="00CE3812"/>
    <w:rsid w:val="00CE697D"/>
    <w:rsid w:val="00CF2646"/>
    <w:rsid w:val="00CF5BC9"/>
    <w:rsid w:val="00D00383"/>
    <w:rsid w:val="00D012ED"/>
    <w:rsid w:val="00D02244"/>
    <w:rsid w:val="00D10391"/>
    <w:rsid w:val="00D1109C"/>
    <w:rsid w:val="00D155CE"/>
    <w:rsid w:val="00D16A41"/>
    <w:rsid w:val="00D2050A"/>
    <w:rsid w:val="00D22CBF"/>
    <w:rsid w:val="00D3532D"/>
    <w:rsid w:val="00D354C7"/>
    <w:rsid w:val="00D4089E"/>
    <w:rsid w:val="00D47E6A"/>
    <w:rsid w:val="00D5023C"/>
    <w:rsid w:val="00D50B0C"/>
    <w:rsid w:val="00D55EA1"/>
    <w:rsid w:val="00D56314"/>
    <w:rsid w:val="00D70717"/>
    <w:rsid w:val="00D801CC"/>
    <w:rsid w:val="00D837FA"/>
    <w:rsid w:val="00D923DF"/>
    <w:rsid w:val="00DA1DDE"/>
    <w:rsid w:val="00DA7056"/>
    <w:rsid w:val="00DB18A6"/>
    <w:rsid w:val="00DB5EC6"/>
    <w:rsid w:val="00DB7105"/>
    <w:rsid w:val="00DC0E4F"/>
    <w:rsid w:val="00DC1B3B"/>
    <w:rsid w:val="00DC25F2"/>
    <w:rsid w:val="00DC4914"/>
    <w:rsid w:val="00DC4CFD"/>
    <w:rsid w:val="00DC69F9"/>
    <w:rsid w:val="00DC7336"/>
    <w:rsid w:val="00DD139B"/>
    <w:rsid w:val="00DD1CAE"/>
    <w:rsid w:val="00DD6CBD"/>
    <w:rsid w:val="00DD772E"/>
    <w:rsid w:val="00DE1C75"/>
    <w:rsid w:val="00DE2C92"/>
    <w:rsid w:val="00DE342B"/>
    <w:rsid w:val="00DE6C3F"/>
    <w:rsid w:val="00DF219D"/>
    <w:rsid w:val="00DF3A9D"/>
    <w:rsid w:val="00E014AE"/>
    <w:rsid w:val="00E01A82"/>
    <w:rsid w:val="00E05D66"/>
    <w:rsid w:val="00E06EF5"/>
    <w:rsid w:val="00E07344"/>
    <w:rsid w:val="00E123CD"/>
    <w:rsid w:val="00E216BF"/>
    <w:rsid w:val="00E236C6"/>
    <w:rsid w:val="00E2377B"/>
    <w:rsid w:val="00E25371"/>
    <w:rsid w:val="00E264BF"/>
    <w:rsid w:val="00E27CC0"/>
    <w:rsid w:val="00E30793"/>
    <w:rsid w:val="00E31588"/>
    <w:rsid w:val="00E33154"/>
    <w:rsid w:val="00E3633C"/>
    <w:rsid w:val="00E43B3A"/>
    <w:rsid w:val="00E449A6"/>
    <w:rsid w:val="00E4538F"/>
    <w:rsid w:val="00E623A2"/>
    <w:rsid w:val="00E665AA"/>
    <w:rsid w:val="00E665C3"/>
    <w:rsid w:val="00E6699D"/>
    <w:rsid w:val="00E66D3D"/>
    <w:rsid w:val="00E72100"/>
    <w:rsid w:val="00E72138"/>
    <w:rsid w:val="00E74D1B"/>
    <w:rsid w:val="00E75C43"/>
    <w:rsid w:val="00E80BA0"/>
    <w:rsid w:val="00E843B5"/>
    <w:rsid w:val="00E8622D"/>
    <w:rsid w:val="00E90295"/>
    <w:rsid w:val="00E90744"/>
    <w:rsid w:val="00E928FC"/>
    <w:rsid w:val="00E92A3E"/>
    <w:rsid w:val="00E944BD"/>
    <w:rsid w:val="00E94BCC"/>
    <w:rsid w:val="00E968FC"/>
    <w:rsid w:val="00E9714F"/>
    <w:rsid w:val="00E97866"/>
    <w:rsid w:val="00EA04CB"/>
    <w:rsid w:val="00EA730E"/>
    <w:rsid w:val="00EB2292"/>
    <w:rsid w:val="00EB742A"/>
    <w:rsid w:val="00EC0F99"/>
    <w:rsid w:val="00EC3A29"/>
    <w:rsid w:val="00EC55E0"/>
    <w:rsid w:val="00EC5872"/>
    <w:rsid w:val="00EC6016"/>
    <w:rsid w:val="00ED1934"/>
    <w:rsid w:val="00ED3651"/>
    <w:rsid w:val="00EE33A7"/>
    <w:rsid w:val="00EE3F0C"/>
    <w:rsid w:val="00EE5BDA"/>
    <w:rsid w:val="00EE6A8E"/>
    <w:rsid w:val="00EE6EDC"/>
    <w:rsid w:val="00EE7995"/>
    <w:rsid w:val="00EF058C"/>
    <w:rsid w:val="00EF3F52"/>
    <w:rsid w:val="00EF7354"/>
    <w:rsid w:val="00F00E1A"/>
    <w:rsid w:val="00F07E79"/>
    <w:rsid w:val="00F14978"/>
    <w:rsid w:val="00F15CED"/>
    <w:rsid w:val="00F20A13"/>
    <w:rsid w:val="00F263CB"/>
    <w:rsid w:val="00F26FEA"/>
    <w:rsid w:val="00F304F2"/>
    <w:rsid w:val="00F35591"/>
    <w:rsid w:val="00F42C03"/>
    <w:rsid w:val="00F43B24"/>
    <w:rsid w:val="00F515BC"/>
    <w:rsid w:val="00F53B3C"/>
    <w:rsid w:val="00F540AE"/>
    <w:rsid w:val="00F56DEF"/>
    <w:rsid w:val="00F572E4"/>
    <w:rsid w:val="00F57E90"/>
    <w:rsid w:val="00F61BC4"/>
    <w:rsid w:val="00F62AA4"/>
    <w:rsid w:val="00F6421B"/>
    <w:rsid w:val="00F66C2D"/>
    <w:rsid w:val="00F71446"/>
    <w:rsid w:val="00F71E1C"/>
    <w:rsid w:val="00F73371"/>
    <w:rsid w:val="00F761B2"/>
    <w:rsid w:val="00F81EF4"/>
    <w:rsid w:val="00F8208F"/>
    <w:rsid w:val="00F8249D"/>
    <w:rsid w:val="00F8597C"/>
    <w:rsid w:val="00F868FA"/>
    <w:rsid w:val="00F87654"/>
    <w:rsid w:val="00F90267"/>
    <w:rsid w:val="00FA0FA8"/>
    <w:rsid w:val="00FA2487"/>
    <w:rsid w:val="00FA52F2"/>
    <w:rsid w:val="00FA5ABB"/>
    <w:rsid w:val="00FB05D2"/>
    <w:rsid w:val="00FB3FEE"/>
    <w:rsid w:val="00FC212E"/>
    <w:rsid w:val="00FC2672"/>
    <w:rsid w:val="00FD33EE"/>
    <w:rsid w:val="00FE1A22"/>
    <w:rsid w:val="00FE20C3"/>
    <w:rsid w:val="00FE66D1"/>
    <w:rsid w:val="00FE77C9"/>
    <w:rsid w:val="00FE7DF8"/>
    <w:rsid w:val="00FF2C1C"/>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1"/>
        <w:szCs w:val="22"/>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844FA"/>
    <w:pPr>
      <w:widowControl w:val="0"/>
      <w:spacing w:line="360" w:lineRule="auto" w:after="120"/>
      <w:ind w:firstLine="420"/>
      <w:jc w:val="both"/>
    </w:pPr>
    <w:rPr>
      <w:color w:val="000000"/>
      <w:sz w:val="21"/>
    </w:rPr>
  </w:style>
  <w:style w:styleId="1" w:type="paragraph">
    <w:name w:val="heading 1"/>
    <w:next w:val="a"/>
    <w:link w:val="10"/>
    <w:uiPriority w:val="9"/>
    <w:qFormat/>
    <w:rsid w:val="004F07BF"/>
    <w:pPr>
      <w:keepNext/>
      <w:keepLines/>
      <w:pageBreakBefore/>
      <w:spacing w:after="330" w:before="340" w:line="300" w:lineRule="auto"/>
      <w:ind w:firstLine="0"/>
      <w:jc w:val="center"/>
      <w:outlineLvl w:val="0"/>
    </w:pPr>
    <w:rPr>
      <w:b/>
      <w:bCs/>
      <w:i w:val="0"/>
      <w:color w:val="000000"/>
      <w:kern w:val="44"/>
      <w:sz w:val="44"/>
      <w:szCs w:val="44"/>
    </w:rPr>
  </w:style>
  <w:style w:styleId="2" w:type="paragraph">
    <w:name w:val="heading 2"/>
    <w:basedOn w:val="a"/>
    <w:next w:val="a"/>
    <w:link w:val="20"/>
    <w:uiPriority w:val="9"/>
    <w:unhideWhenUsed/>
    <w:qFormat/>
    <w:rsid w:val="00E123CD"/>
    <w:pPr>
      <w:keepNext/>
      <w:keepLines/>
      <w:spacing w:after="260" w:before="260" w:line="300" w:lineRule="auto"/>
      <w:ind w:firstLine="0"/>
      <w:jc w:val="left"/>
      <w:outlineLvl w:val="1"/>
    </w:pPr>
    <w:rPr>
      <w:rFonts w:asciiTheme="majorHAnsi" w:cstheme="majorBidi" w:eastAsiaTheme="majorEastAsia" w:hAnsiTheme="majorHAnsi"/>
      <w:b/>
      <w:bCs/>
      <w:i w:val="0"/>
      <w:color w:val="000000"/>
      <w:sz w:val="32"/>
      <w:szCs w:val="32"/>
    </w:rPr>
  </w:style>
  <w:style w:styleId="3" w:type="paragraph">
    <w:name w:val="heading 3"/>
    <w:basedOn w:val="a"/>
    <w:next w:val="a"/>
    <w:link w:val="30"/>
    <w:uiPriority w:val="9"/>
    <w:unhideWhenUsed/>
    <w:qFormat/>
    <w:rsid w:val="00E123CD"/>
    <w:pPr>
      <w:keepNext/>
      <w:keepLines/>
      <w:spacing w:after="200" w:before="260" w:line="300" w:lineRule="auto"/>
      <w:ind w:firstLine="0"/>
      <w:jc w:val="left"/>
      <w:outlineLvl w:val="2"/>
    </w:pPr>
    <w:rPr>
      <w:b/>
      <w:bCs/>
      <w:i w:val="0"/>
      <w:color w:val="000000"/>
      <w:sz w:val="28"/>
      <w:szCs w:val="32"/>
    </w:rPr>
  </w:style>
  <w:style w:styleId="4" w:type="paragraph">
    <w:name w:val="heading 4"/>
    <w:basedOn w:val="a"/>
    <w:next w:val="a"/>
    <w:link w:val="40"/>
    <w:uiPriority w:val="9"/>
    <w:unhideWhenUsed/>
    <w:qFormat/>
    <w:rsid w:val="00E33154"/>
    <w:pPr>
      <w:keepNext/>
      <w:keepLines/>
      <w:spacing w:after="160" w:before="220" w:line="300" w:lineRule="auto"/>
      <w:ind w:firstLine="0"/>
      <w:jc w:val="left"/>
      <w:outlineLvl w:val="3"/>
    </w:pPr>
    <w:rPr>
      <w:rFonts w:asciiTheme="majorHAnsi" w:cstheme="majorBidi" w:eastAsia="MS PGothic" w:hAnsiTheme="majorHAnsi"/>
      <w:b/>
      <w:bCs/>
      <w:i w:val="0"/>
      <w:color w:val="000000"/>
      <w:sz w:val="24"/>
      <w:szCs w:val="28"/>
    </w:rPr>
  </w:style>
  <w:style w:styleId="5" w:type="paragraph">
    <w:name w:val="heading 5"/>
    <w:basedOn w:val="a"/>
    <w:next w:val="a"/>
    <w:link w:val="50"/>
    <w:uiPriority w:val="9"/>
    <w:unhideWhenUsed/>
    <w:qFormat/>
    <w:rsid w:val="00924834"/>
    <w:pPr>
      <w:keepNext/>
      <w:keepLines/>
      <w:spacing w:after="140" w:before="200" w:line="300" w:lineRule="auto"/>
      <w:ind w:firstLine="0"/>
      <w:jc w:val="left"/>
      <w:outlineLvl w:val="4"/>
    </w:pPr>
    <w:rPr>
      <w:b/>
      <w:bCs/>
      <w:i w:val="0"/>
      <w:color w:val="000000"/>
      <w:sz w:val="22"/>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F07BF"/>
    <w:rPr>
      <w:b/>
      <w:bCs/>
      <w:kern w:val="44"/>
      <w:sz w:val="44"/>
      <w:szCs w:val="44"/>
    </w:rPr>
  </w:style>
  <w:style w:customStyle="1" w:styleId="20" w:type="character">
    <w:name w:val="标题 2 字符"/>
    <w:basedOn w:val="a0"/>
    <w:link w:val="2"/>
    <w:uiPriority w:val="9"/>
    <w:rsid w:val="00E123CD"/>
    <w:rPr>
      <w:rFonts w:asciiTheme="majorHAnsi" w:cstheme="majorBidi" w:eastAsiaTheme="majorEastAsia" w:hAnsiTheme="majorHAnsi"/>
      <w:b/>
      <w:bCs/>
      <w:sz w:val="32"/>
      <w:szCs w:val="32"/>
    </w:rPr>
  </w:style>
  <w:style w:customStyle="1" w:styleId="30" w:type="character">
    <w:name w:val="标题 3 字符"/>
    <w:basedOn w:val="a0"/>
    <w:link w:val="3"/>
    <w:uiPriority w:val="9"/>
    <w:rsid w:val="00E123CD"/>
    <w:rPr>
      <w:b/>
      <w:bCs/>
      <w:sz w:val="32"/>
      <w:szCs w:val="32"/>
    </w:rPr>
  </w:style>
  <w:style w:customStyle="1" w:styleId="40" w:type="character">
    <w:name w:val="标题 4 字符"/>
    <w:basedOn w:val="a0"/>
    <w:link w:val="4"/>
    <w:uiPriority w:val="9"/>
    <w:rsid w:val="00E33154"/>
    <w:rPr>
      <w:rFonts w:asciiTheme="majorHAnsi" w:cstheme="majorBidi" w:eastAsia="MS PGothic" w:hAnsiTheme="majorHAnsi"/>
      <w:b/>
      <w:bCs/>
      <w:i/>
      <w:color w:val="EE0000"/>
      <w:sz w:val="30"/>
      <w:szCs w:val="28"/>
    </w:rPr>
  </w:style>
  <w:style w:styleId="a3" w:type="table">
    <w:name w:val="Table Grid"/>
    <w:basedOn w:val="a1"/>
    <w:uiPriority w:val="39"/>
    <w:rsid w:val="00365C7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1" w:type="paragraph">
    <w:name w:val="toc 1"/>
    <w:basedOn w:val="a"/>
    <w:next w:val="a"/>
    <w:autoRedefine/>
    <w:uiPriority w:val="39"/>
    <w:unhideWhenUsed/>
    <w:rsid w:val="003B38E9"/>
  </w:style>
  <w:style w:styleId="TOC2" w:type="paragraph">
    <w:name w:val="toc 2"/>
    <w:basedOn w:val="a"/>
    <w:next w:val="a"/>
    <w:autoRedefine/>
    <w:uiPriority w:val="39"/>
    <w:unhideWhenUsed/>
    <w:rsid w:val="00614268"/>
    <w:pPr>
      <w:ind w:left="420" w:leftChars="200"/>
    </w:pPr>
  </w:style>
  <w:style w:styleId="TOC3" w:type="paragraph">
    <w:name w:val="toc 3"/>
    <w:basedOn w:val="a"/>
    <w:next w:val="a"/>
    <w:autoRedefine/>
    <w:uiPriority w:val="39"/>
    <w:unhideWhenUsed/>
    <w:rsid w:val="003B38E9"/>
    <w:pPr>
      <w:ind w:left="840" w:leftChars="400"/>
    </w:pPr>
  </w:style>
  <w:style w:styleId="a4" w:type="character">
    <w:name w:val="Hyperlink"/>
    <w:basedOn w:val="a0"/>
    <w:uiPriority w:val="99"/>
    <w:unhideWhenUsed/>
    <w:rsid w:val="003B38E9"/>
    <w:rPr>
      <w:color w:themeColor="hyperlink" w:val="0563C1"/>
      <w:u w:val="single"/>
    </w:rPr>
  </w:style>
  <w:style w:styleId="a5" w:type="paragraph">
    <w:name w:val="header"/>
    <w:basedOn w:val="a"/>
    <w:link w:val="a6"/>
    <w:uiPriority w:val="99"/>
    <w:unhideWhenUsed/>
    <w:rsid w:val="001952CC"/>
    <w:pPr>
      <w:pBdr>
        <w:bottom w:color="auto" w:space="1" w:sz="6" w:val="single"/>
      </w:pBdr>
      <w:tabs>
        <w:tab w:pos="4153" w:val="center"/>
        <w:tab w:pos="8306" w:val="right"/>
      </w:tabs>
      <w:snapToGrid w:val="0"/>
      <w:jc w:val="center"/>
    </w:pPr>
    <w:rPr>
      <w:sz w:val="18"/>
      <w:szCs w:val="18"/>
    </w:rPr>
  </w:style>
  <w:style w:customStyle="1" w:styleId="a6" w:type="character">
    <w:name w:val="页眉 字符"/>
    <w:basedOn w:val="a0"/>
    <w:link w:val="a5"/>
    <w:uiPriority w:val="99"/>
    <w:rsid w:val="001952CC"/>
    <w:rPr>
      <w:sz w:val="18"/>
      <w:szCs w:val="18"/>
    </w:rPr>
  </w:style>
  <w:style w:styleId="a7" w:type="paragraph">
    <w:name w:val="footer"/>
    <w:basedOn w:val="a"/>
    <w:link w:val="a8"/>
    <w:uiPriority w:val="99"/>
    <w:unhideWhenUsed/>
    <w:rsid w:val="001952CC"/>
    <w:pPr>
      <w:tabs>
        <w:tab w:pos="4153" w:val="center"/>
        <w:tab w:pos="8306" w:val="right"/>
      </w:tabs>
      <w:snapToGrid w:val="0"/>
      <w:jc w:val="left"/>
    </w:pPr>
    <w:rPr>
      <w:sz w:val="18"/>
      <w:szCs w:val="18"/>
    </w:rPr>
  </w:style>
  <w:style w:customStyle="1" w:styleId="a8" w:type="character">
    <w:name w:val="页脚 字符"/>
    <w:basedOn w:val="a0"/>
    <w:link w:val="a7"/>
    <w:uiPriority w:val="99"/>
    <w:rsid w:val="001952CC"/>
    <w:rPr>
      <w:sz w:val="18"/>
      <w:szCs w:val="18"/>
    </w:rPr>
  </w:style>
  <w:style w:customStyle="1" w:styleId="a9" w:type="paragraph">
    <w:name w:val="图"/>
    <w:link w:val="Char"/>
    <w:qFormat/>
    <w:rsid w:val="00F71E1C"/>
    <w:pPr>
      <w:keepNext/>
      <w:jc w:val="center"/>
    </w:pPr>
  </w:style>
  <w:style w:customStyle="1" w:styleId="aa" w:type="paragraph">
    <w:name w:val="表"/>
    <w:next w:val="a"/>
    <w:link w:val="Char0"/>
    <w:qFormat/>
    <w:rsid w:val="00F71E1C"/>
  </w:style>
  <w:style w:customStyle="1" w:styleId="Char" w:type="character">
    <w:name w:val="图 Char"/>
    <w:basedOn w:val="a0"/>
    <w:link w:val="a9"/>
    <w:rsid w:val="00F71E1C"/>
  </w:style>
  <w:style w:customStyle="1" w:styleId="ab" w:type="paragraph">
    <w:name w:val="图名"/>
    <w:basedOn w:val="ac"/>
    <w:next w:val="a"/>
    <w:link w:val="Char1"/>
    <w:qFormat/>
    <w:rsid w:val="001D6E13"/>
    <w:pPr>
      <w:jc w:val="center"/>
    </w:pPr>
  </w:style>
  <w:style w:customStyle="1" w:styleId="Char0" w:type="character">
    <w:name w:val="表 Char"/>
    <w:basedOn w:val="Char"/>
    <w:link w:val="aa"/>
    <w:rsid w:val="00F71E1C"/>
  </w:style>
  <w:style w:customStyle="1" w:styleId="ad" w:type="paragraph">
    <w:name w:val="表名"/>
    <w:next w:val="aa"/>
    <w:link w:val="Char2"/>
    <w:qFormat/>
    <w:rsid w:val="00066C01"/>
    <w:pPr>
      <w:keepNext/>
      <w:jc w:val="center"/>
    </w:pPr>
    <w:rPr>
      <w:rFonts w:asciiTheme="majorHAnsi" w:cstheme="majorBidi" w:eastAsia="黑体" w:hAnsiTheme="majorHAnsi"/>
      <w:sz w:val="20"/>
      <w:szCs w:val="20"/>
    </w:rPr>
  </w:style>
  <w:style w:customStyle="1" w:styleId="Char1" w:type="character">
    <w:name w:val="图名 Char"/>
    <w:basedOn w:val="Char0"/>
    <w:link w:val="ab"/>
    <w:rsid w:val="001D6E13"/>
    <w:rPr>
      <w:rFonts w:asciiTheme="majorHAnsi" w:cstheme="majorBidi" w:eastAsia="黑体" w:hAnsiTheme="majorHAnsi"/>
      <w:sz w:val="20"/>
      <w:szCs w:val="20"/>
    </w:rPr>
  </w:style>
  <w:style w:customStyle="1" w:styleId="ae" w:type="paragraph">
    <w:name w:val="公式"/>
    <w:next w:val="af"/>
    <w:link w:val="Char3"/>
    <w:qFormat/>
    <w:rsid w:val="002A54E4"/>
    <w:pPr>
      <w:tabs>
        <w:tab w:pos="4253" w:val="center"/>
        <w:tab w:pos="8222" w:val="right"/>
      </w:tabs>
    </w:pPr>
    <w:rPr>
      <w:rFonts w:ascii="Cambria Math" w:eastAsia="Cambria Math" w:hAnsi="Cambria Math"/>
    </w:rPr>
  </w:style>
  <w:style w:customStyle="1" w:styleId="Char2" w:type="character">
    <w:name w:val="表名 Char"/>
    <w:basedOn w:val="Char1"/>
    <w:link w:val="ad"/>
    <w:rsid w:val="00066C01"/>
    <w:rPr>
      <w:rFonts w:asciiTheme="majorHAnsi" w:cstheme="majorBidi" w:eastAsia="黑体" w:hAnsiTheme="majorHAnsi"/>
      <w:sz w:val="20"/>
      <w:szCs w:val="20"/>
    </w:rPr>
  </w:style>
  <w:style w:customStyle="1" w:styleId="af" w:type="paragraph">
    <w:name w:val="公式名"/>
    <w:link w:val="Char4"/>
    <w:qFormat/>
    <w:rsid w:val="00A139A6"/>
    <w:rPr>
      <w:rFonts w:ascii="Cambria Math" w:eastAsia="Cambria Math" w:hAnsi="Cambria Math"/>
    </w:rPr>
  </w:style>
  <w:style w:customStyle="1" w:styleId="Char3" w:type="character">
    <w:name w:val="公式 Char"/>
    <w:basedOn w:val="Char2"/>
    <w:link w:val="ae"/>
    <w:rsid w:val="002A54E4"/>
    <w:rPr>
      <w:rFonts w:ascii="Cambria Math" w:cstheme="majorBidi" w:eastAsia="Cambria Math" w:hAnsi="Cambria Math"/>
      <w:sz w:val="20"/>
      <w:szCs w:val="20"/>
    </w:rPr>
  </w:style>
  <w:style w:styleId="ac" w:type="paragraph">
    <w:name w:val="caption"/>
    <w:basedOn w:val="a"/>
    <w:next w:val="a"/>
    <w:uiPriority w:val="35"/>
    <w:unhideWhenUsed/>
    <w:qFormat/>
    <w:rsid w:val="001D6E13"/>
    <w:rPr>
      <w:rFonts w:asciiTheme="majorHAnsi" w:cstheme="majorBidi" w:eastAsia="黑体" w:hAnsiTheme="majorHAnsi"/>
      <w:sz w:val="20"/>
      <w:szCs w:val="20"/>
    </w:rPr>
  </w:style>
  <w:style w:customStyle="1" w:styleId="Char4" w:type="character">
    <w:name w:val="公式名 Char"/>
    <w:basedOn w:val="Char3"/>
    <w:link w:val="af"/>
    <w:rsid w:val="00A139A6"/>
    <w:rPr>
      <w:rFonts w:ascii="Cambria Math" w:cstheme="majorBidi" w:eastAsia="Cambria Math" w:hAnsi="Cambria Math"/>
      <w:i/>
      <w:sz w:val="20"/>
      <w:szCs w:val="20"/>
    </w:rPr>
  </w:style>
  <w:style w:styleId="af0" w:type="character">
    <w:name w:val="Placeholder Text"/>
    <w:basedOn w:val="a0"/>
    <w:uiPriority w:val="99"/>
    <w:semiHidden/>
    <w:rsid w:val="00753452"/>
    <w:rPr>
      <w:color w:val="808080"/>
    </w:rPr>
  </w:style>
  <w:style w:styleId="af1" w:type="character">
    <w:name w:val="Unresolved Mention"/>
    <w:basedOn w:val="a0"/>
    <w:uiPriority w:val="99"/>
    <w:semiHidden/>
    <w:unhideWhenUsed/>
    <w:rsid w:val="00645B1A"/>
    <w:rPr>
      <w:color w:val="605E5C"/>
      <w:shd w:color="auto" w:fill="E1DFDD" w:val="clear"/>
    </w:rPr>
  </w:style>
  <w:style w:styleId="af2" w:type="paragraph">
    <w:name w:val="List Paragraph"/>
    <w:basedOn w:val="a"/>
    <w:uiPriority w:val="34"/>
    <w:qFormat/>
    <w:rsid w:val="00F07E79"/>
    <w:pPr>
      <w:ind w:firstLine="420" w:firstLineChars="200"/>
    </w:pPr>
  </w:style>
  <w:style w:customStyle="1" w:styleId="50" w:type="character">
    <w:name w:val="标题 5 字符"/>
    <w:basedOn w:val="a0"/>
    <w:link w:val="5"/>
    <w:uiPriority w:val="9"/>
    <w:rsid w:val="00924834"/>
    <w:rPr>
      <w:b/>
      <w:bCs/>
      <w:szCs w:val="28"/>
    </w:rPr>
  </w:style>
  <w:style w:styleId="af3" w:type="paragraph">
    <w:name w:val="Normal (Web)"/>
    <w:basedOn w:val="a"/>
    <w:uiPriority w:val="99"/>
    <w:unhideWhenUsed/>
    <w:rsid w:val="004E3D08"/>
    <w:pPr>
      <w:widowControl/>
      <w:spacing w:after="100" w:afterAutospacing="1" w:before="100" w:beforeAutospacing="1"/>
      <w:jc w:val="left"/>
    </w:pPr>
    <w:rPr>
      <w:rFonts w:ascii="宋体" w:cs="宋体" w:eastAsia="宋体" w:hAnsi="宋体"/>
      <w:kern w:val="0"/>
      <w:sz w:val="24"/>
      <w:szCs w:val="24"/>
    </w:rPr>
  </w:style>
  <w:style w:styleId="af4" w:type="character">
    <w:name w:val="Strong"/>
    <w:basedOn w:val="a0"/>
    <w:uiPriority w:val="22"/>
    <w:qFormat/>
    <w:rsid w:val="0000535E"/>
    <w:rPr>
      <w:b/>
      <w:bCs/>
    </w:rPr>
  </w:style>
  <w:style w:styleId="HTML" w:type="paragraph">
    <w:name w:val="HTML Preformatted"/>
    <w:basedOn w:val="a"/>
    <w:link w:val="HTML0"/>
    <w:uiPriority w:val="99"/>
    <w:semiHidden/>
    <w:unhideWhenUsed/>
    <w:rsid w:val="0000535E"/>
    <w:pPr>
      <w:widowControl/>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jc w:val="left"/>
    </w:pPr>
    <w:rPr>
      <w:rFonts w:ascii="宋体" w:cs="宋体" w:eastAsia="宋体" w:hAnsi="宋体"/>
      <w:kern w:val="0"/>
      <w:sz w:val="24"/>
      <w:szCs w:val="24"/>
    </w:rPr>
  </w:style>
  <w:style w:customStyle="1" w:styleId="HTML0" w:type="character">
    <w:name w:val="HTML 预设格式 字符"/>
    <w:basedOn w:val="a0"/>
    <w:link w:val="HTML"/>
    <w:uiPriority w:val="99"/>
    <w:semiHidden/>
    <w:rsid w:val="0000535E"/>
    <w:rPr>
      <w:rFonts w:ascii="宋体" w:cs="宋体" w:eastAsia="宋体" w:hAnsi="宋体"/>
      <w:kern w:val="0"/>
      <w:sz w:val="24"/>
      <w:szCs w:val="24"/>
    </w:rPr>
  </w:style>
  <w:style w:styleId="HTML1" w:type="character">
    <w:name w:val="HTML Code"/>
    <w:basedOn w:val="a0"/>
    <w:uiPriority w:val="99"/>
    <w:semiHidden/>
    <w:unhideWhenUsed/>
    <w:rsid w:val="0000535E"/>
    <w:rPr>
      <w:rFonts w:ascii="宋体" w:cs="宋体" w:eastAsia="宋体" w:hAnsi="宋体"/>
      <w:sz w:val="24"/>
      <w:szCs w:val="24"/>
    </w:rPr>
  </w:style>
  <w:style w:type="paragraph" w:customStyle="1" w:styleId="MDConverterBibliography">
    <w:name w:val="MDConverterBibliography"/>
    <w:basedOn w:val="BodyText"/>
    <w:qFormat/>
  </w:style>
  <w:style w:type="paragraph" w:customStyle="1" w:styleId="MDTableNote">
    <w:name w:val="MDTableNote"/>
    <w:basedOn w:val="BodyText"/>
    <w:qFormat/>
  </w:style>
  <w:style w:type="character" w:customStyle="1" w:styleId="MDCITE_eJyLdijNTSwwyslMjwUAGFAEGg">
    <w:name w:val="MDCITE_eJyLdijNTSwwyslMjwUAGFAEGg"/>
    <w:basedOn w:val="BodyTextChar"/>
  </w:style>
  <w:style w:type="character" w:customStyle="1" w:styleId="MDFIGREF_eJyrrk7LTC9KTbMqLi0o0E3LzEvRTc4vKkpNLtHNTSxJztBNKs3MSamtBQBErw_K">
    <w:name w:val="MDFIGREF_eJyrrk7LTC9KTbMqLi0o0E3LzEvRTc4vKkpNLtHNTSxJztBNKs3MSamtBQBErw_K"/>
    <w:basedOn w:val="BodyTextChar"/>
  </w:style>
  <w:style w:type="character" w:customStyle="1" w:styleId="MDFIGREF_eJyrrk7LTC9KTbMqLi0o0E3LzEvRTc4vKkpNLtHNTSxJztBNKs3MSdH184_3cQ1z9amtBQDcERJr">
    <w:name w:val="MDFIGREF_eJyrrk7LTC9KTbMqLi0o0E3LzEvRTc4vKkpNLtHNTSxJztBNKs3MSdH184_3cQ1z9amtBQDcERJr"/>
    <w:basedOn w:val="BodyTextChar"/>
  </w:style>
  <w:style w:type="character" w:customStyle="1" w:styleId="MDFIGREF_eJyrrk7LTC9KTbMqLklMTzXULS4pykwu0S3JKEotzsjPSalJqq0FAAjTDoE">
    <w:name w:val="MDFIGREF_eJyrrk7LTC9KTbMqLklMTzXULS4pykwu0S3JKEotzsjPSalJqq0FAAjTDoE"/>
    <w:basedOn w:val="BodyTextChar"/>
  </w:style>
  <w:style w:type="character" w:customStyle="1" w:styleId="MDFIGREF_eJyrrk7LTC9KTbMqLklMTzXULS4pykwu0S3JKEotzsjPSalJrK0FAAjQDoA">
    <w:name w:val="MDFIGREF_eJyrrk7LTC9KTbMqLklMTzXULS4pykwu0S3JKEotzsjPSalJrK0FAAjQDoA"/>
    <w:basedOn w:val="BodyTextChar"/>
  </w:style>
  <w:style w:type="character" w:customStyle="1" w:styleId="MDFIGREF_eJyrrk7LTC9KTbMqLklMTzXULS4pykwu0S3JKEotzsjPSdH184_3cQ1z9alJqq0FAJIYESI">
    <w:name w:val="MDFIGREF_eJyrrk7LTC9KTbMqLklMTzXULS4pykwu0S3JKEotzsjPSdH184_3cQ1z9alJqq0FAJIYESI"/>
    <w:basedOn w:val="BodyTextChar"/>
  </w:style>
  <w:style w:type="character" w:customStyle="1" w:styleId="MDFIGREF_eJyrrk7LTC9KTbMqLklMTzXULS4pykwu0S3JKEotzsjPSdH184_3cQ1z9alJrK0FAJIVESE">
    <w:name w:val="MDFIGREF_eJyrrk7LTC9KTbMqLklMTzXULS4pykwu0S3JKEotzsjPSdH184_3cQ1z9alJrK0FAJIVESE"/>
    <w:basedOn w:val="BodyTextChar"/>
  </w:style>
  <w:style w:type="character" w:customStyle="1" w:styleId="MDFIGREF_eJyrrk7LTC9KTbMqLklMTzXULS4pykwu0S3JKEotzsjPSdH184_3cQ1z9amtBQBwbhBE">
    <w:name w:val="MDFIGREF_eJyrrk7LTC9KTbMqLklMTzXULS4pykwu0S3JKEotzsjPSdH184_3cQ1z9amtBQBwbhBE"/>
    <w:basedOn w:val="BodyTextChar"/>
  </w:style>
  <w:style w:type="character" w:customStyle="1" w:styleId="MDFIGREF_eJyrrk7LTC9KTbMqLklMTzXUTc7PLchJLcnMz9NNLi0qSy2urQUA-gsODw">
    <w:name w:val="MDFIGREF_eJyrrk7LTC9KTbMqLklMTzXUTc7PLchJLcnMz9NNLi0qSy2urQUA-gsODw"/>
    <w:basedOn w:val="BodyTextChar"/>
  </w:style>
  <w:style w:type="character" w:customStyle="1" w:styleId="MDFIGREF_eJyrrk7LTC9KTbMqLklMTzXUTc7PLchJLcnMz9NNLi0qSy3W9fOP93ENc_WprQUAgekQsA">
    <w:name w:val="MDFIGREF_eJyrrk7LTC9KTbMqLklMTzXUTc7PLchJLcnMz9NNLi0qSy3W9fOP93ENc_WprQUAgekQsA"/>
    <w:basedOn w:val="BodyTextChar"/>
  </w:style>
  <w:style w:type="character" w:customStyle="1" w:styleId="MDFIGREF_eJyrrk7LTC9KTbMqLklMTzXUTU7MS8lMSSxJ1S0sTczJLKmsSa6tBQAUBQ7C">
    <w:name w:val="MDFIGREF_eJyrrk7LTC9KTbMqLklMTzXUTU7MS8lMSSxJ1S0sTczJLKmsSa6tBQAUBQ7C"/>
    <w:basedOn w:val="BodyTextChar"/>
  </w:style>
  <w:style w:type="character" w:customStyle="1" w:styleId="MDFIGREF_eJyrrk7LTC9KTbMqLklMTzXUTU7MS8lMSSxJ1S0sTczJLKmsSamtBQAUCA7D">
    <w:name w:val="MDFIGREF_eJyrrk7LTC9KTbMqLklMTzXUTU7MS8lMSSxJ1S0sTczJLKmsSamtBQAUCA7D"/>
    <w:basedOn w:val="BodyTextChar"/>
  </w:style>
  <w:style w:type="character" w:customStyle="1" w:styleId="MDFIGREF_eJyrrk7LTC9KTbMqLklMTzXUTU7MS8lMSSxJ1S0sTczJLKnU9fOP93ENc_WpSa6tBQCfihFj">
    <w:name w:val="MDFIGREF_eJyrrk7LTC9KTbMqLklMTzXUTU7MS8lMSSxJ1S0sTczJLKnU9fOP93ENc_WpSa6tBQCfihFj"/>
    <w:basedOn w:val="BodyTextChar"/>
  </w:style>
  <w:style w:type="character" w:customStyle="1" w:styleId="MDFIGREF_eJyrrk7LTC9KTbMqLklMTzXUTU7MS8lMSSxJ1S0sTczJLKnU9fOP93ENc_WpSamtBQCfjRFk">
    <w:name w:val="MDFIGREF_eJyrrk7LTC9KTbMqLklMTzXUTU7MS8lMSSxJ1S0sTczJLKnU9fOP93ENc_WpSamtBQCfjRFk"/>
    <w:basedOn w:val="BodyTextChar"/>
  </w:style>
  <w:style w:type="character" w:customStyle="1" w:styleId="MDFIGREF_eJyrrk7LTC9KTbMqLklMTzXUTU7MS8lMSSxJ1S0sTczJLKnU9fOP93ENc_WpSaqtBQCfhxFi">
    <w:name w:val="MDFIGREF_eJyrrk7LTC9KTbMqLklMTzXUTU7MS8lMSSxJ1S0sTczJLKnU9fOP93ENc_WpSaqtBQCfhxFi"/>
    <w:basedOn w:val="BodyTextChar"/>
  </w:style>
  <w:style w:type="character" w:customStyle="1" w:styleId="MDFIGREF_eJyrrk7LTC9KTbMqLklMTzXUTU7MS8lMSSxJ1S0sTczJLKnU9fOP93ENc_WpSaytBQCfhBFh">
    <w:name w:val="MDFIGREF_eJyrrk7LTC9KTbMqLklMTzXUTU7MS8lMSSxJ1S0sTczJLKnU9fOP93ENc_WpSaytBQCfhBFh"/>
    <w:basedOn w:val="BodyTextChar"/>
  </w:style>
  <w:style w:type="character" w:customStyle="1" w:styleId="MDFIGREF_eJyrrk7LTC9KTbMqLklMTzXUzS9LLUrMydEtSC1Kyy_KTcxLTtX184_3cQ1z9alJ1kmprQUA7KMS1A">
    <w:name w:val="MDFIGREF_eJyrrk7LTC9KTbMqLklMTzXUzS9LLUrMydEtSC1Kyy_KTcxLTtX184_3cQ1z9alJ1kmprQUA7KMS1A"/>
    <w:basedOn w:val="BodyTextChar"/>
  </w:style>
  <w:style w:type="character" w:customStyle="1" w:styleId="MDFIGREF_eJyrrk7LTC9KTbMqLklMTzXUzS9LLUrMydEtSC1Kyy_KTcxLTtX184_3cQ1z9alJqq0FAMgwEkM">
    <w:name w:val="MDFIGREF_eJyrrk7LTC9KTbMqLklMTzXUzS9LLUrMydEtSC1Kyy_KTcxLTtX184_3cQ1z9alJqq0FAMgwEkM"/>
    <w:basedOn w:val="BodyTextChar"/>
  </w:style>
  <w:style w:type="character" w:customStyle="1" w:styleId="MDFIGREF_eJyrrk7LTC9KTbMqLklMTzXUzS9LLUrMydEtSC1Kyy_KTcxLTtX184_3cQ1z9alJrK0FAMgtEkI">
    <w:name w:val="MDFIGREF_eJyrrk7LTC9KTbMqLklMTzXUzS9LLUrMydEtSC1Kyy_KTcxLTtX184_3cQ1z9alJrK0FAMgtEkI"/>
    <w:basedOn w:val="BodyTextChar"/>
  </w:style>
  <w:style w:type="character" w:customStyle="1" w:styleId="MDFIGREF_eJyrrk7LTC9KTbMqLklMTzXWLShKTclMLklN0S1KTc_Mz9PNSE1M0S3Jh9B-_vE-rmGuPrW1AGCIFKY">
    <w:name w:val="MDFIGREF_eJyrrk7LTC9KTbMqLklMTzXWLShKTclMLklN0S1KTc_Mz9PNSE1M0S3Jh9B-_vE-rmGuPrW1AGCIFKY"/>
    <w:basedOn w:val="BodyTextChar"/>
  </w:style>
  <w:style w:type="character" w:customStyle="1" w:styleId="MDFIGREF_eJyrrk7LTC9KTbMqLklMTzXWTU4sTi3WzU3MzNP184_3cQ1z9alJedQwOa22FgBpGRDP">
    <w:name w:val="MDFIGREF_eJyrrk7LTC9KTbMqLklMTzXWTU4sTi3WzU3MzNP184_3cQ1z9alJedQwOa22FgBpGRDP"/>
    <w:basedOn w:val="BodyTextChar"/>
  </w:style>
  <w:style w:type="character" w:customStyle="1" w:styleId="MDFIGREF_eJyrrk7LTC9KTbMqLklMTzXWTU4sTi3WzU3MzNP184_3cQ1z9alJfNQwObm2FgBo-xDJ">
    <w:name w:val="MDFIGREF_eJyrrk7LTC9KTbMqLklMTzXWTU4sTi3WzU3MzNP184_3cQ1z9alJfNQwObm2FgBo-xDJ"/>
    <w:basedOn w:val="BodyTextChar"/>
  </w:style>
  <w:style w:type="character" w:customStyle="1" w:styleId="MDFIGREF_eJyrrk7LTC9KTbMqLklMTzXWTU4sTi3WzU3MzNP184_3cQ1z9amtBQALlw2U">
    <w:name w:val="MDFIGREF_eJyrrk7LTC9KTbMqLklMTzXWTU4sTi3WzU3MzNP184_3cQ1z9amtBQALlw2U"/>
    <w:basedOn w:val="BodyTextChar"/>
  </w:style>
  <w:style w:type="character" w:customStyle="1" w:styleId="MDFIGREF_eJyrrk7LTC9KTbNKNUrVLc5NzMnRLcgsSM3JzEutSa6tBQDAgwxC">
    <w:name w:val="MDFIGREF_eJyrrk7LTC9KTbNKNUrVLc5NzMnRLcgsSM3JzEutSa6tBQDAgwxC"/>
    <w:basedOn w:val="BodyTextChar"/>
  </w:style>
  <w:style w:type="character" w:customStyle="1" w:styleId="MDFIGREF_eJyrrk7LTC9KTbNKNUrVLc5NzMnRLcgsSM3JzEutSaqtBQDAgAxB">
    <w:name w:val="MDFIGREF_eJyrrk7LTC9KTbNKNUrVLc5NzMnRLcgsSM3JzEutSaqtBQDAgAxB"/>
    <w:basedOn w:val="BodyTextChar"/>
  </w:style>
  <w:style w:type="character" w:customStyle="1" w:styleId="MDFIGREF_eJyrrk7LTC9KTbNKNUrVLc5NzMnRLcgsSM3JzEutSaytBQDAfQxA">
    <w:name w:val="MDFIGREF_eJyrrk7LTC9KTbNKNUrVLc5NzMnRLcgsSM3JzEutSaytBQDAfQxA"/>
    <w:basedOn w:val="BodyTextChar"/>
  </w:style>
  <w:style w:type="character" w:customStyle="1" w:styleId="MDFIGREF_eJyrrk7LTC9KTbNKNUrVLc5NzMnRLcgsSM3JzEutSdJJrq0FANjnDNA">
    <w:name w:val="MDFIGREF_eJyrrk7LTC9KTbNKNUrVLc5NzMnRLcgsSM3JzEutSdJJrq0FANjnDNA"/>
    <w:basedOn w:val="BodyTextChar"/>
  </w:style>
  <w:style w:type="character" w:customStyle="1" w:styleId="MDFIGREF_eJyrrk7LTC9KTbNKNUrVLc5NzMnRLcgsSM3JzEvV9fOP93ENc_WpSa6tBQA1lw7j">
    <w:name w:val="MDFIGREF_eJyrrk7LTC9KTbNKNUrVLc5NzMnRLcgsSM3JzEvV9fOP93ENc_WpSa6tBQA1lw7j"/>
    <w:basedOn w:val="BodyTextChar"/>
  </w:style>
  <w:style w:type="character" w:customStyle="1" w:styleId="MDFIGREF_eJyrrk7LTC9KTbNKNUrVLc5NzMnRLcgsSM3JzEvV9fOP93ENc_WpSaqtBQA1lA7i">
    <w:name w:val="MDFIGREF_eJyrrk7LTC9KTbNKNUrVLc5NzMnRLcgsSM3JzEvV9fOP93ENc_WpSaqtBQA1lA7i"/>
    <w:basedOn w:val="BodyTextChar"/>
  </w:style>
  <w:style w:type="character" w:customStyle="1" w:styleId="MDFIGREF_eJyrrk7LTC9KTbNKNUrVLc5NzMnRLcgsSM3JzEvV9fOP93ENc_WpSaytBQA1kQ7h">
    <w:name w:val="MDFIGREF_eJyrrk7LTC9KTbNKNUrVLc5NzMnRLcgsSM3JzEvV9fOP93ENc_WpSaytBQA1kQ7h"/>
    <w:basedOn w:val="BodyTextChar"/>
  </w:style>
  <w:style w:type="character" w:customStyle="1" w:styleId="MDFIGREF_eJyrrk7LTC9KTbNKNUrVLc5NzMnRLcgsSM3JzEvV9fOP93ENc_WpSdJJrq0FAFM9D3E">
    <w:name w:val="MDFIGREF_eJyrrk7LTC9KTbNKNUrVLc5NzMnRLcgsSM3JzEvV9fOP93ENc_WpSdJJrq0FAFM9D3E"/>
    <w:basedOn w:val="BodyTextChar"/>
  </w:style>
  <w:style w:type="character" w:customStyle="1" w:styleId="MDFIGREF_eJyrrk7LTC9KTbNKNUrVTcvMS9FNKs3MSdFNySxKTS7RTc7PLUgsyizOz9P184_3cQ1z9amtBQAG9xNW">
    <w:name w:val="MDFIGREF_eJyrrk7LTC9KTbNKNUrVTcvMS9FNKs3MSdFNySxKTS7RTc7PLUgsyizOz9P184_3cQ1z9amtBQAG9xNW"/>
    <w:basedOn w:val="BodyTextChar"/>
  </w:style>
  <w:style w:type="character" w:customStyle="1" w:styleId="MDFIGREF_eJyrrk7LTC9KTbNKNUrVTczJ0U3LzEvRzU0sSc6orQUApM0LCA">
    <w:name w:val="MDFIGREF_eJyrrk7LTC9KTbNKNUrVTczJ0U3LzEvRzU0sSc6orQUApM0LCA"/>
    <w:basedOn w:val="BodyTextChar"/>
  </w:style>
  <w:style w:type="character" w:customStyle="1" w:styleId="MDFIGREF_eJyrrk7LTC9KTbNKNUrVTczJ0U3LzEvRzU0sSc7Q9fOP93ENc_WprQUAEWwNqQ">
    <w:name w:val="MDFIGREF_eJyrrk7LTC9KTbNKNUrVTczJ0U3LzEvRzU0sSc7Q9fOP93ENc_WprQUAEWwNqQ"/>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BodyTextChar">
    <w:name w:val="Body Text Char"/>
    <w:basedOn w:val="a0"/>
  </w:style>
  <w:style w:type="character" w:customStyle="1" w:styleId="VerbatimChar">
    <w:name w:val="Verbatim Char"/>
    <w:basedOn w:val="a0"/>
    <w:rPr>
      <w:rFonts w:ascii="Courier New" w:hAnsi="Courier New"/>
    </w:rPr>
  </w:style>
  <w:style w:type="paragraph" w:customStyle="1" w:styleId="ImageCaption">
    <w:name w:val="Image Caption"/>
    <w:basedOn w:val="ac"/>
    <w:rPr>
      <w:i w:val="0"/>
    </w:rPr>
  </w:style>
  <w:style w:type="paragraph" w:customStyle="1" w:styleId="BodyText">
    <w:name w:val="Body Text"/>
    <w:pPr>
      <w:spacing w:line="360" w:lineRule="auto" w:after="120"/>
      <w:ind w:firstLine="420"/>
      <w:jc w:val="both"/>
    </w:pPr>
    <w:rPr>
      <w:color w:val="000000"/>
      <w:sz w:val="21"/>
    </w:rPr>
  </w:style>
  <w:style w:type="paragraph" w:customStyle="1" w:styleId="FirstParagraph">
    <w:name w:val="First Paragraph"/>
    <w:pPr>
      <w:spacing w:line="360" w:lineRule="auto" w:after="120"/>
      <w:ind w:firstLine="420"/>
      <w:jc w:val="both"/>
    </w:pPr>
    <w:rPr>
      <w:color w:val="000000"/>
      <w:sz w:val="21"/>
    </w:rPr>
  </w:style>
  <w:style w:type="paragraph" w:customStyle="1" w:styleId="Heading6">
    <w:name w:val="heading 6"/>
    <w:pPr>
      <w:keepNext/>
      <w:spacing w:line="300" w:lineRule="auto" w:before="180" w:after="120"/>
      <w:ind w:firstLine="0"/>
      <w:jc w:val="left"/>
    </w:pPr>
    <w:rPr>
      <w:b/>
      <w:i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2" Type="http://schemas.openxmlformats.org/officeDocument/2006/relationships/numbering" Target="numbering.xml"/><Relationship Id="rId31" Type="http://schemas.openxmlformats.org/officeDocument/2006/relationships/styles" Target="styles.xml"/><Relationship Id="rId30" Type="http://schemas.openxmlformats.org/officeDocument/2006/relationships/settings" Target="settings.xml"/><Relationship Id="rId29" Type="http://schemas.openxmlformats.org/officeDocument/2006/relationships/webSettings" Target="webSettings.xml"/><Relationship Id="rId28" Type="http://schemas.openxmlformats.org/officeDocument/2006/relationships/fontTable" Target="fontTable.xml"/><Relationship Id="rId27" Type="http://schemas.openxmlformats.org/officeDocument/2006/relationships/theme" Target="theme/theme1.xml"/><Relationship Id="rId26" Type="http://schemas.openxmlformats.org/officeDocument/2006/relationships/footnotes" Target="footnotes.xml"/><Relationship Id="rId25" Type="http://schemas.openxmlformats.org/officeDocument/2006/relationships/comments" Target="comments.xml"/><Relationship Id="rId8" Type="http://schemas.openxmlformats.org/officeDocument/2006/relationships/footer" Target="footer1.xml"/><Relationship Id="rId21" Type="http://schemas.openxmlformats.org/officeDocument/2006/relationships/image" Target="media/image3.png"/><Relationship Id="rId20" Type="http://schemas.openxmlformats.org/officeDocument/2006/relationships/image" Target="media/image2.png"/><Relationship Id="rId24" Type="http://schemas.openxmlformats.org/officeDocument/2006/relationships/footer" Target="footer3.xml"/><Relationship Id="rId23" Type="http://schemas.openxmlformats.org/officeDocument/2006/relationships/image" Target="media/image5.png"/><Relationship Id="rId19" Type="http://schemas.openxmlformats.org/officeDocument/2006/relationships/image" Target="media/image1.png"/><Relationship Id="rId9" Type="http://schemas.openxmlformats.org/officeDocument/2006/relationships/footer" Target="footer2.xml"/><Relationship Id="rId22" Type="http://schemas.openxmlformats.org/officeDocument/2006/relationships/image" Target="media/image4.png"/><Relationship Id="rId33" Type="http://schemas.openxmlformats.org/officeDocument/2006/relationships/image" Target="media/rId33.png"/><Relationship Id="rId37" Type="http://schemas.openxmlformats.org/officeDocument/2006/relationships/image" Target="media/rId37.png"/><Relationship Id="rId43" Type="http://schemas.openxmlformats.org/officeDocument/2006/relationships/image" Target="media/rId43.png"/><Relationship Id="rId47" Type="http://schemas.openxmlformats.org/officeDocument/2006/relationships/image" Target="media/rId47.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3" Type="http://schemas.openxmlformats.org/officeDocument/2006/relationships/image" Target="media/rId63.png"/><Relationship Id="rId67" Type="http://schemas.openxmlformats.org/officeDocument/2006/relationships/image" Target="media/rId67.png"/><Relationship Id="rId71" Type="http://schemas.openxmlformats.org/officeDocument/2006/relationships/image" Target="media/rId71.png"/><Relationship Id="rId74" Type="http://schemas.openxmlformats.org/officeDocument/2006/relationships/image" Target="media/rId74.png"/><Relationship Id="rId78" Type="http://schemas.openxmlformats.org/officeDocument/2006/relationships/image" Target="media/rId78.png"/><Relationship Id="rId82" Type="http://schemas.openxmlformats.org/officeDocument/2006/relationships/image" Target="media/rId82.png"/><Relationship Id="rId88" Type="http://schemas.openxmlformats.org/officeDocument/2006/relationships/image" Target="media/rId88.png"/><Relationship Id="rId92" Type="http://schemas.openxmlformats.org/officeDocument/2006/relationships/image" Target="media/rId92.png"/><Relationship Id="rId97" Type="http://schemas.openxmlformats.org/officeDocument/2006/relationships/image" Target="media/rId97.png"/><Relationship Id="rId100" Type="http://schemas.openxmlformats.org/officeDocument/2006/relationships/hyperlink" Target="https://doi.org/10.64898/2026.06.01.729423" TargetMode="External"/></Relationships>
</file>

<file path=word/_rels/footnotes.xml.rels><?xml version='1.0' encoding='UTF-8' standalone='yes'?>
<Relationships xmlns="http://schemas.openxmlformats.org/package/2006/relationships"><Relationship Id="rId100" Type="http://schemas.openxmlformats.org/officeDocument/2006/relationships/hyperlink" Target="https://doi.org/10.64898/2026.06.01.72942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38176</TotalTime>
  <Pages>25</Pages>
  <Words>2818</Words>
  <Characters>16063</Characters>
  <Application>Microsoft Office Word</Application>
  <DocSecurity>0</DocSecurity>
  <Lines>133</Lines>
  <Paragraphs>37</Paragraphs>
  <ScaleCrop>false</ScaleCrop>
  <Company/>
  <LinksUpToDate>false</LinksUpToDate>
  <CharactersWithSpaces>18844</CharactersWithSpaces>
  <SharedDoc>false</SharedDoc>
  <HLinks>
    <vt:vector size="72" baseType="variant">
      <vt:variant>
        <vt:i4>8126509</vt:i4>
      </vt:variant>
      <vt:variant>
        <vt:i4>63</vt:i4>
      </vt:variant>
      <vt:variant>
        <vt:i4>0</vt:i4>
      </vt:variant>
      <vt:variant>
        <vt:i4>5</vt:i4>
      </vt:variant>
      <vt:variant>
        <vt:lpwstr>mailto:penghongen@10.102.33.220:%22/home/penghongen/projects/VN-EGNN_all/%22</vt:lpwstr>
      </vt:variant>
      <vt:variant>
        <vt:lpwstr/>
      </vt:variant>
      <vt:variant>
        <vt:i4>3997812</vt:i4>
      </vt:variant>
      <vt:variant>
        <vt:i4>60</vt:i4>
      </vt:variant>
      <vt:variant>
        <vt:i4>0</vt:i4>
      </vt:variant>
      <vt:variant>
        <vt:i4>5</vt:i4>
      </vt:variant>
      <vt:variant>
        <vt:lpwstr>https://conda.github.io/conda-pack/</vt:lpwstr>
      </vt:variant>
      <vt:variant>
        <vt:lpwstr/>
      </vt:variant>
      <vt:variant>
        <vt:i4>8126572</vt:i4>
      </vt:variant>
      <vt:variant>
        <vt:i4>57</vt:i4>
      </vt:variant>
      <vt:variant>
        <vt:i4>0</vt:i4>
      </vt:variant>
      <vt:variant>
        <vt:i4>5</vt:i4>
      </vt:variant>
      <vt:variant>
        <vt:lpwstr>https://blog.csdn.net/ds1302__/article/details/120027173</vt:lpwstr>
      </vt:variant>
      <vt:variant>
        <vt:lpwstr/>
      </vt:variant>
      <vt:variant>
        <vt:i4>1179706</vt:i4>
      </vt:variant>
      <vt:variant>
        <vt:i4>50</vt:i4>
      </vt:variant>
      <vt:variant>
        <vt:i4>0</vt:i4>
      </vt:variant>
      <vt:variant>
        <vt:i4>5</vt:i4>
      </vt:variant>
      <vt:variant>
        <vt:lpwstr/>
      </vt:variant>
      <vt:variant>
        <vt:lpwstr>_Toc459226546</vt:lpwstr>
      </vt:variant>
      <vt:variant>
        <vt:i4>1179706</vt:i4>
      </vt:variant>
      <vt:variant>
        <vt:i4>44</vt:i4>
      </vt:variant>
      <vt:variant>
        <vt:i4>0</vt:i4>
      </vt:variant>
      <vt:variant>
        <vt:i4>5</vt:i4>
      </vt:variant>
      <vt:variant>
        <vt:lpwstr/>
      </vt:variant>
      <vt:variant>
        <vt:lpwstr>_Toc459226545</vt:lpwstr>
      </vt:variant>
      <vt:variant>
        <vt:i4>1179706</vt:i4>
      </vt:variant>
      <vt:variant>
        <vt:i4>38</vt:i4>
      </vt:variant>
      <vt:variant>
        <vt:i4>0</vt:i4>
      </vt:variant>
      <vt:variant>
        <vt:i4>5</vt:i4>
      </vt:variant>
      <vt:variant>
        <vt:lpwstr/>
      </vt:variant>
      <vt:variant>
        <vt:lpwstr>_Toc459226544</vt:lpwstr>
      </vt:variant>
      <vt:variant>
        <vt:i4>1179706</vt:i4>
      </vt:variant>
      <vt:variant>
        <vt:i4>32</vt:i4>
      </vt:variant>
      <vt:variant>
        <vt:i4>0</vt:i4>
      </vt:variant>
      <vt:variant>
        <vt:i4>5</vt:i4>
      </vt:variant>
      <vt:variant>
        <vt:lpwstr/>
      </vt:variant>
      <vt:variant>
        <vt:lpwstr>_Toc459226543</vt:lpwstr>
      </vt:variant>
      <vt:variant>
        <vt:i4>1179706</vt:i4>
      </vt:variant>
      <vt:variant>
        <vt:i4>26</vt:i4>
      </vt:variant>
      <vt:variant>
        <vt:i4>0</vt:i4>
      </vt:variant>
      <vt:variant>
        <vt:i4>5</vt:i4>
      </vt:variant>
      <vt:variant>
        <vt:lpwstr/>
      </vt:variant>
      <vt:variant>
        <vt:lpwstr>_Toc459226542</vt:lpwstr>
      </vt:variant>
      <vt:variant>
        <vt:i4>1179706</vt:i4>
      </vt:variant>
      <vt:variant>
        <vt:i4>20</vt:i4>
      </vt:variant>
      <vt:variant>
        <vt:i4>0</vt:i4>
      </vt:variant>
      <vt:variant>
        <vt:i4>5</vt:i4>
      </vt:variant>
      <vt:variant>
        <vt:lpwstr/>
      </vt:variant>
      <vt:variant>
        <vt:lpwstr>_Toc459226541</vt:lpwstr>
      </vt:variant>
      <vt:variant>
        <vt:i4>1179706</vt:i4>
      </vt:variant>
      <vt:variant>
        <vt:i4>14</vt:i4>
      </vt:variant>
      <vt:variant>
        <vt:i4>0</vt:i4>
      </vt:variant>
      <vt:variant>
        <vt:i4>5</vt:i4>
      </vt:variant>
      <vt:variant>
        <vt:lpwstr/>
      </vt:variant>
      <vt:variant>
        <vt:lpwstr>_Toc459226540</vt:lpwstr>
      </vt:variant>
      <vt:variant>
        <vt:i4>1376314</vt:i4>
      </vt:variant>
      <vt:variant>
        <vt:i4>8</vt:i4>
      </vt:variant>
      <vt:variant>
        <vt:i4>0</vt:i4>
      </vt:variant>
      <vt:variant>
        <vt:i4>5</vt:i4>
      </vt:variant>
      <vt:variant>
        <vt:lpwstr/>
      </vt:variant>
      <vt:variant>
        <vt:lpwstr>_Toc459226539</vt:lpwstr>
      </vt:variant>
      <vt:variant>
        <vt:i4>1376314</vt:i4>
      </vt:variant>
      <vt:variant>
        <vt:i4>2</vt:i4>
      </vt:variant>
      <vt:variant>
        <vt:i4>0</vt:i4>
      </vt:variant>
      <vt:variant>
        <vt:i4>5</vt:i4>
      </vt:variant>
      <vt:variant>
        <vt:lpwstr/>
      </vt:variant>
      <vt:variant>
        <vt:lpwstr>_Toc459226538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2026-10-27T10:44:23Z</dcterms:created>
  <dcterms:modified xsi:type="dcterms:W3CDTF">2026-10-27T10:44:23Z</dcterms:modified>
</cp:coreProperties>
</file>

<file path=docProps/custom.xml><?xml version="1.0" encoding="utf-8"?>
<Properties xmlns="http://schemas.openxmlformats.org/officeDocument/2006/custom-properties" xmlns:vt="http://schemas.openxmlformats.org/officeDocument/2006/docPropsVTypes"/>
</file>