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2O0zAQfpUoZ6ibdstuo6US6gKXBVVI3CxV3sRpTOMf2W4aBEjcgAM3xIUHgBMPwErwNOz2MZiJ05_VckBEivx55vM3M5_9KjbMl3EaxdefLn9_-Umu3l5uvr4H1DPGN_GdKLbc6armOZKmKaXPHbeO0mQ0TsaUnnG39NpQuvn-4-rzu83HD9ffflEa1Ci9LaeY5ChViMVdXXNbC76e1wNMSWaXK4PJ0fFweJSMmmR8lJwcn7w-NSJL4Y8aWSmXsvs0Lr03KSEuK7lkrqcNV5AstJXMw9YuSG7ZWqiFrMig379HJBOKxp0CaP2PBhzzK8t3MvafRHRRiIyf6WwlufJByfKKeaGVK4VxNJ60E6p6JrKZDZvsaT2zUc5dhlWmKWmNJ63vpLOdHLpOPJcGxlQrOCKMn4PF0Kybv8iNlbLPSQjM-_glPaMWMIjIQT0ZAsKbATzbzjg5Jbs-9i2FBhk6eK6zpYuUnpZMLfgDa_W65Cx3KIh624QzPPMhCJr7owcFgiq5ZcJFJcwjUVVYEXF7PgCWOm-5z0qEBXCeQZU2f2OzI5GberhzBhy-WD_ROQ7OVl5jhyxtCitxhYuLGsj0YZqXYW01IY5p3vgow3z3XIGVIa17tR0ZWO26FTXW-cdcywgBsC10Gsqy-twF7h5t2ZhXOrRO9pCllYrWoDIeDUZB5a8svJeHKm-jO8xSz0S1DR_iSnV-oUMdhH8Sv_kDVF9_tg" id="12" name="Picture"/>
            <a:graphic>
              <a:graphicData uri="http://schemas.openxmlformats.org/drawingml/2006/picture">
                <pic:pic>
                  <pic:nvPicPr>
                    <pic:cNvPr descr="C:/Users/15919/Desktop/论文草稿/temp/manuscript_figures_jdprmm0e/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 c, Foreground classification and identity assignment in Match. The candidate encoder processes a 48³ grid centred on each blob with a U-Net to generate voxel summary h_j^{\mathrm{vox}}. Find-derived blob, pocket and pseudo-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2O0zAQfpUoZ7ZO222rRksl1AUuu6hC4map8jpuYxr_yHbbIEDihjhwQ1x4AU48AEjwNOzuYzATpz8r9oCIFPkbz-dvZj77dWpZKNM8SW8-_fj95Se5FKE0xfU7DDrWhjp9kKROeFNtRIG8aU7pCy-cp7Q7GHfHlJ4LvwrGUnr77fv15_e3Hz_cfP1FaRSk9F5FzZRAtYVcnqiGcLI5xYRibrW2mBqM-v3T7qAejka9YT97c2Ylz-FPalVpn7OHNC1DsDkhnpdCMd8xVmhILoxTLEDolqRwbCv1UlWkl2VDopjUNG0VQOt_NOBYWDuxl3H_JGIWC8nFueFrJXSISk5ULEijfSmtp-mkmVBvZpLPXAz4s83MJYXwHKtMc9I4TxrjSes7ObadBKEsjKnXcETaMAeDoVk_f1lYp1QmSNyYZ_j1OlYvYRBZgHp3CAjvBfBsN-PkjOz7OLQUG2To4IXhK59oMy2ZXopHzpltKVjhURD1dglvBQ9xEzQPR48KRFXylwlXlbRPZFVhRcTN-QhY7oMTgZcIF8B5DlWa_J1gTyJ39TDyFhy-2l6aAgdn62CwQ5bXC6dwhYtLashkMM2ruDaasI9pUYeEY759rsDiSGtfbUsGVrPuRK3z4akwKkEAbAedxrJsc-Ej94B2bMxrE1snB8jySidbUBkPeoOoci8L7-WxLprdPWZ5YLLabR_jSrd-oUMthH-Svv0De3l_Gg" id="15" name="Picture"/>
            <a:graphic>
              <a:graphicData uri="http://schemas.openxmlformats.org/drawingml/2006/picture">
                <pic:pic>
                  <pic:nvPicPr>
                    <pic:cNvPr descr="C:/Users/15919/Desktop/论文草稿/temp/manuscript_figures_jdprmm0e/figure_000002.png" id="16" name="Picture"/>
                    <pic:cNvPicPr>
                      <a:picLocks noChangeArrowheads="1" noChangeAspect="1"/>
                    </pic:cNvPicPr>
                  </pic:nvPicPr>
                  <pic:blipFill>
                    <a:blip r:embed="rId14"/>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47" w:name="results"/>
    <w:p>
      <w:pPr>
        <w:pStyle w:val="Heading1"/>
        <w:keepNext/>
        <w:spacing w:line="480" w:lineRule="auto"/>
        <w:ind w:firstLine="0"/>
      </w:pPr>
      <w:r>
        <w:rPr>
          <w:rFonts w:ascii="Times New Roman" w:hAnsi="Times New Roman"/>
          <w:sz w:val="24"/>
        </w:rPr>
        <w:t xml:space="preserve">Results</w:t>
      </w:r>
    </w:p>
    <w:bookmarkStart w:id="46"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performance was measured using the Dice score.</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one-to-oneF1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one-to-onePRAUC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18"/>
    <w:bookmarkStart w:id="22" w:name="stage-1-results"/>
    <w:p>
      <w:pPr>
        <w:pStyle w:val="Heading3"/>
        <w:keepNext/>
        <w:spacing w:line="480" w:lineRule="auto"/>
        <w:ind w:firstLine="0"/>
      </w:pPr>
      <w:r>
        <w:rPr>
          <w:rFonts w:ascii="Times New Roman" w:hAnsi="Times New Roman"/>
          <w:sz w:val="24"/>
        </w:rPr>
        <w:t xml:space="preserve">Stage 1: Results</w:t>
      </w:r>
    </w:p>
    <w:p>
      <w:pPr>
        <w:pStyle w:val="FirstParagraph"/>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 one-to-one PRAUC@0.3 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 one-to-one PRAUC@0.5 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and Emap2lig-Find directly using one-to-one PRAUC@0.3</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performed better on 112 structures, comparably on 40 and worse on 27 in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Its performance was therefore substantially better than that of Emap2lig-Find. Emap2lig primarily targets small-molecule identification and modelling, explaining its better detection performance for small molecules than across all ligand categories.</w:t>
      </w:r>
    </w:p>
    <w:p>
      <w:pPr>
        <w:pStyle w:val="BodyText"/>
        <w:spacing w:line="480" w:lineRule="auto" w:after="120"/>
        <w:ind w:firstLine="480"/>
      </w:pPr>
      <w:r>
        <w:rPr>
          <w:rFonts w:ascii="Times New Roman" w:hAnsi="Times New Roman"/>
          <w:sz w:val="24"/>
        </w:rPr>
        <w:t xml:space="preserve">Across the 179 test PDB entries, each contained a mean of 14.0 ground-truth ligand instances, whereas Emap2lig-Find predicted 353.9 candidate regions (blobs) per entry. These numerous false-positive candidates resulted in very low precision</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a0FANzkDSc"/>
          <w:rFonts w:ascii="Times New Roman" w:hAnsi="Times New Roman"/>
          <w:sz w:val="24"/>
        </w:rPr>
        <w:t xml:space="preserve">Fig. 3e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Accurate localisation requires both high precision and high recall, and a good balance between them. Sacrificing too much precision to increase recall is inappropriate for this task. LigandSeek-Find achieved a good balance between precision and recall under these conditions. The low precision of Emap2lig-Find directly resulted in its low Dice score. However, subsequent analyses showed the top-k success rates for Emap2lig-Find is not</w:t>
      </w:r>
      <w:r>
        <w:rPr>
          <w:rFonts w:ascii="Times New Roman" w:hAnsi="Times New Roman"/>
          <w:sz w:val="24"/>
        </w:rPr>
        <w:t xml:space="preserve"> </w:t>
      </w:r>
      <w:r>
        <w:rPr>
          <w:rFonts w:ascii="Times New Roman" w:hAnsi="Times New Roman"/>
          <w:sz w:val="24"/>
        </w:rPr>
        <w:t xml:space="preserve">bad(</w:t>
      </w:r>
      <w:r>
        <w:rPr>
          <w:rStyle w:val="MDFIGREF_eJyrrk7LTC9KTbNKNUrVTczJ0U3LzEvRzU0sSc6orQUApM0LCA"/>
          <w:rFonts w:ascii="Times New Roman" w:hAnsi="Times New Roman"/>
          <w:sz w:val="24"/>
        </w:rPr>
        <w:t xml:space="preserve">Fig. 5</w:t>
      </w:r>
      <w:r>
        <w:rPr>
          <w:rFonts w:ascii="Times New Roman" w:hAnsi="Times New Roman"/>
          <w:sz w:val="24"/>
        </w:rPr>
        <w:t xml:space="preserve">,</w:t>
      </w:r>
      <w:r>
        <w:rPr>
          <w:rFonts w:ascii="Times New Roman" w:hAnsi="Times New Roman"/>
          <w:sz w:val="24"/>
        </w:rPr>
        <w:t xml:space="preserve"> </w:t>
      </w:r>
      <w:r>
        <w:rPr>
          <w:rStyle w:val="MDFIGREF_eJyrrk7LTC9KTbNKNUrVLc5NzMnRLcgsSM3JzEutSaytBQDAfQxA"/>
          <w:rFonts w:ascii="Times New Roman" w:hAnsi="Times New Roman"/>
          <w:sz w:val="24"/>
        </w:rPr>
        <w:t xml:space="preserve">Fig. 6a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Its PRAUC, which depends on ranking instances by their mean probability, was therefore substantially higher than its Dice score.</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ydUsuO0zAU_ZUoa6bugxY1GiqhDrAZUIXEzlLlcZzGNH7IdtsgYI1YsAKxAbFmxQcwEnwN0_kM7o3Tx4hZICJFPr7n-NyH_Sq1LJRplqTbj5e_P_8kPrCF6G0vP1x9_dKxNtTpnSR1wptqLXLUTTNKn3vhPKW94bg3pvRM-GUwltLr7z-uPr29fv9u--0XpdGQ0lsdNVMC3SJ5opjUJ17WlmlRIa-YW64sKob3BoO7vWE9GoxwfX1qJc_gT2pVaZ-x-zQtQ7AZIZ6XQjHfMVZoIAvjFAuwdQuSO7aReqEq0u92RwTT0bR1AK__8YBjYeXE3sb9k4kpCsnFmeErJXSITk5ULEijfSmtp-mk6VCvZ5LPXNzwp-uZS3LhOWaZZqS5ANLMn7TjJ8fTJ0EoC23qFRyRNswLuYBi_fxFbp1SXUFiYN7Fb9CxegGNyBzc-z1AeD2AZ7seJ6dkX8ehpFggwwmeG770iTbTkumFeOCc2ZSC5R5MGr8d4a3gIQbB83D0KEF0JX8N4aKS9pGsKsyIuDkfAct8cCLwEmEBmmeQpeFvbPYictMPd97ChC82T0yOjbNVMFghy-rCKVzh4pIamC508zKujSfEkRZ1SDjy7XMFFUdZ-2pbMaiadWdqnQ-PhVEJAlA7qDSmZetzH7UHtFMjr00snRwgyyqdbMBlPOwPo8utKryXhzpvonvMssBktQsf40q388IJtRD-SfrmD6SwgbI" id="20" name="Picture"/>
            <a:graphic>
              <a:graphicData uri="http://schemas.openxmlformats.org/drawingml/2006/picture">
                <pic:pic>
                  <pic:nvPicPr>
                    <pic:cNvPr descr="C:/Users/15919/Desktop/论文草稿/temp/manuscript_figures_jdprmm0e/figure_000003.png" id="21" name="Picture"/>
                    <pic:cNvPicPr>
                      <a:picLocks noChangeArrowheads="1" noChangeAspect="1"/>
                    </pic:cNvPicPr>
                  </pic:nvPicPr>
                  <pic:blipFill>
                    <a:blip r:embed="rId19"/>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b,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d,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 f, One-to-one precision and recall at threshold of 0.3. Each point represents one PDB entry; open white circles and thick bars indicate the median and interquartile range, respectively.</w:t>
      </w:r>
    </w:p>
    <w:bookmarkEnd w:id="22"/>
    <w:bookmarkStart w:id="45"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4a–d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instance Dice scores of 0.816 and 0.766,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Replacing deposited receptor structures with receptors reconstructed from density maps by CryoAtom2 retained the main detection and coverage advantages of LigandSeek-Find in these cases.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4a–c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The predicted region extended beyond the ligand, reducing precision from 0.607 to 0.396 and Dice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retained good detection performance with CryoAtom2-reconstructed receptors when deposited receptor structures were unavailable. Performance decreased in some regions, while the overall test-set comparison is shown in</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and ligand carbon atoms are orange. Other ligand atoms are coloured by element; blue envelopes show selected predicted regions, and pale grey-blue envelopes show ground-truth ligand regions." title="MDPPTFIG_eJydUsuKE0EU_ZWm104qySSOacaAZNTNKEFwVxBqqqvTZboeVFUeom4VQXEjs_EDdKV7Bf2aOPkM7-3qPAYZEBuaOnXvuee-6kVqWSjTLEmvPv5Yf_pJfGBT0Vl_-Lb5_Hr97rJlbVilt5LUCW-qhciROsoofeqF85R2-oPOgNIz4WfBWEo3X7__vnyzef_26ssvSqMmpTeJaqYECkb_UWHmjjMvjhSTGv2KudncIqN_cnzc6_RXJ-073V6_9_LUSp7Bn6xUpX3G7tK0DMFmhHheCsV8y1ihwVkYp1iAq5uS3LGl1FNVkW67fZtgFpo2CqD1PxoQFuZO7GTcP4mYopBcnBk-V0KHqORExYI02pfSepoO6w71Yiz52MULf7wYuyQXnmOWUUbqHZB6BaTZADlcAAlCWWhTzyFE2jAp5BSK9ZNnuXVKtQWJhkkbv17L6ik0InNQ7_YB4XoAj7c9Dk_Jro59SbFAhhM8N3zmE21GJdNTcc85sywFyz2IdFBv6_BW8BCNoLkPPUgQVclfQ7iopH0gqwozIq7jI2CZD04EXiIsgPMEstT-a5cdiVzXw5u3MOGL5SOTY-NsHgxWyLJV4RSesLhkBZ42dPM8nrUm2NEtViHh6G-eK7A40ppX25CBVZ9bUet8eCiMShAA20GlMS1bnPvI3aMtG_3axNLJHrKs0skSVAZ93OGNLNzLfZ3X1h1mWWCy2poPcaWbeeGEGgj_MH31B4ixhYM" id="24" name="Picture"/>
            <a:graphic>
              <a:graphicData uri="http://schemas.openxmlformats.org/drawingml/2006/picture">
                <pic:pic>
                  <pic:nvPicPr>
                    <pic:cNvPr descr="C:/Users/15919/Desktop/论文草稿/temp/manuscript_figures_jdprmm0e/figure_000004.png" id="25" name="Picture"/>
                    <pic:cNvPicPr>
                      <a:picLocks noChangeArrowheads="1" noChangeAspect="1"/>
                    </pic:cNvPicPr>
                  </pic:nvPicPr>
                  <pic:blipFill>
                    <a:blip r:embed="rId23"/>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4 | Small-molecule region detection under different receptor conditions.</w:t>
      </w:r>
      <w:r>
        <w:rPr>
          <w:rFonts w:ascii="Times New Roman" w:hAnsi="Times New Roman"/>
          <w:sz w:val="24"/>
        </w:rPr>
        <w:t xml:space="preserve"> </w:t>
      </w:r>
      <w:r>
        <w:rPr>
          <w:rFonts w:ascii="Times New Roman" w:hAnsi="Times New Roman"/>
          <w:sz w:val="24"/>
        </w:rPr>
        <w:t xml:space="preserve">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and ligand carbon atoms are orange. Other ligand atoms are coloured by element; blue envelopes show selected predicted regions, and pale grey-blue envelopes show ground-truth ligand regions.</w:t>
      </w:r>
    </w:p>
    <w:p>
      <w:pPr>
        <w:pStyle w:val="CaptionedFigure"/>
        <w:keepNext/>
        <w:spacing w:line="480" w:lineRule="auto"/>
        <w:ind w:firstLine="0"/>
        <w:jc w:val="center"/>
      </w:pPr>
      <w:r>
        <w:rPr>
          <w:rFonts w:ascii="Times New Roman" w:hAnsi="Times New Roman"/>
          <w:sz w:val="24"/>
        </w:rPr>
        <w:drawing>
          <wp:inline>
            <wp:extent cx="5733415" cy="2915483"/>
            <wp:effectExtent b="0" l="0" r="0" t="0"/>
            <wp:docPr descr="Fig. 5 | End-to-end ligand-region detection and identity matching. The curves show the percentage of 179 test PDB entries with successful predictions within an attempt budget of K, for K=1–10.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 title="MDPPTFIG_eJydkstuEzEUhl9lNGsSJ5MONKMSCaWBTUEREjtLkevxZEx9k-1cELBGLLoCsQGxZsUDUAmehqaPwfF4cqnKAjHSyL99fn8-59ivU0N8nRZJuvl49fvzTzTJJpurD9dfv3SN8ev0XpJa5rRYsjKYxgXGLxyzDuN-PuwPMT5l7sJrg_HN9x_Xn97dXL7ffPuFcaRhfBeniGQBxTLWIUJ0Kq7KjiSe1iEqib1YmBDPHwwGR_18nQ37-dHx4M2J4bSAP1lLoVxBHuK09t4UCDlaM0lcVxumIFhpCziY2jkqLVlxNZcCZb3efSQJVzhtCcD6HwZs8wvLdhj7TxBdVZyyU00XkikfSZYJ4rlWrubG4XTUVKiWU06nNk7os-XUJiVzNJwyLlDTe9S0HrWdR4eNR55JA2WqBWzhxs8qPodk3exlaayUPYbiwqwXvrxr1BwK4SXQs2NQ4XJAT7c1jk7QLo99SjFBEjp4pumFS5Qe10TN2SNr9apmpHQA6QfeNuAMoz4uAnO_9eCASEV3mnAuuHnMhQgnBt3sj4IUzlsGTyfICjzP4ZQmfmuyM6HbvDBzBjp8vnqqy1A4WXgdMiTFurIyjHBxyRoiPajmVRwbJqyHMFv7hIZ4-1zBRYOtfbWtGVzNuIUa6_wTpmUSBLgtZBqPJcszF717tXWHuNIxdbSXpBAqWQFlmGd5pPzVFe5lospmdadJ4QkX2-VDLVTbr9ChVsI_St_-Ad3_fXM" id="27" name="Picture"/>
            <a:graphic>
              <a:graphicData uri="http://schemas.openxmlformats.org/drawingml/2006/picture">
                <pic:pic>
                  <pic:nvPicPr>
                    <pic:cNvPr descr="C:/Users/15919/Desktop/论文草稿/temp/manuscript_figures_jdprmm0e/figure_000005.png" id="28" name="Picture"/>
                    <pic:cNvPicPr>
                      <a:picLocks noChangeArrowheads="1" noChangeAspect="1"/>
                    </pic:cNvPicPr>
                  </pic:nvPicPr>
                  <pic:blipFill>
                    <a:blip r:embed="rId26"/>
                    <a:stretch>
                      <a:fillRect/>
                    </a:stretch>
                  </pic:blipFill>
                  <pic:spPr bwMode="auto">
                    <a:xfrm>
                      <a:off x="0" y="0"/>
                      <a:ext cx="5733415" cy="2915483"/>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5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179 test PDB entries with successful predictions within an attempt budget of</w:t>
      </w:r>
      <w:r>
        <w:rPr>
          <w:rFonts w:ascii="Times New Roman" w:hAnsi="Times New Roman"/>
          <w:sz w:val="24"/>
        </w:rPr>
        <w:t xml:space="preserve"> </w:t>
      </w:r>
      <m:oMath>
        <m:r>
          <m:t>K</m:t>
        </m:r>
      </m:oMath>
      <w:r>
        <w:rPr>
          <w:rFonts w:ascii="Times New Roman" w:hAnsi="Times New Roman"/>
          <w:sz w:val="24"/>
        </w:rPr>
        <w:t xml:space="preserve">, for</w:t>
      </w:r>
      <w:r>
        <w:rPr>
          <w:rFonts w:ascii="Times New Roman" w:hAnsi="Times New Roman"/>
          <w:sz w:val="24"/>
        </w:rPr>
        <w:t xml:space="preserve"> </w:t>
      </w:r>
      <m:oMath>
        <m:r>
          <m:t>K</m:t>
        </m:r>
        <m:r>
          <m:rPr>
            <m:sty m:val="p"/>
          </m:rPr>
          <m:t>=</m:t>
        </m:r>
        <m:r>
          <m:t>1</m:t>
        </m:r>
      </m:oMath>
      <w:r>
        <w:rPr>
          <w:rFonts w:ascii="Times New Roman" w:hAnsi="Times New Roman"/>
          <w:sz w:val="24"/>
        </w:rPr>
        <w:t xml:space="preserve">–</w:t>
      </w:r>
      <m:oMath>
        <m:r>
          <m:t>10</m:t>
        </m:r>
      </m:oMath>
      <w:r>
        <w:rPr>
          <w:rFonts w:ascii="Times New Roman" w:hAnsi="Times New Roman"/>
          <w:sz w:val="24"/>
        </w:rPr>
        <w:t xml:space="preserve">.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w:t>
      </w:r>
    </w:p>
    <w:p>
      <w:pPr>
        <w:pStyle w:val="CaptionedFigure"/>
        <w:keepNext/>
        <w:spacing w:line="480" w:lineRule="auto"/>
        <w:ind w:firstLine="0"/>
        <w:jc w:val="center"/>
      </w:pPr>
      <w:r>
        <w:rPr>
          <w:rFonts w:ascii="Times New Roman" w:hAnsi="Times New Roman"/>
          <w:sz w:val="24"/>
        </w:rPr>
        <w:drawing>
          <wp:inline>
            <wp:extent cx="5733415" cy="5023421"/>
            <wp:effectExtent b="0" l="0" r="0" t="0"/>
            <wp:docPr descr="Fig. 6 | End-to-end modelling of single-residue organic small molecules with no missing atoms. The evaluation includes 77 PDB entries containing these small molecules. Find and Match denote LigandSeek-Find and LigandSeek-Match, respectively, within the LigandSeek framework. a, Find curves require correct region detection, whereas Find+Match curves require both correct region detection and correct ligand identity matching. b,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 K; the vertical axis shows the percentage of PDB entries with successful predictions within that budget. GT and CA2 denote deposited and CryoAtom2-reconstructed receptor structures, respectively." title="MDPPTFIG_eJydUsuO0zAU_ZUoa6ZO08mgiYZKqFPYDKhCYmep8jhOY-qXbPeBgDViwQrEBsSaFR_ASPA1TOczuI7Tx2hYICJFPr73-Nx7j_0qNcQ3aZmkm49Xvz__RON8vLn6cP31S88Yv07vJallToslqwJpVGL83DHrMO4Xp_1TjM-Zm3ttML75_uP609ub9-82335hHNUwviuniGRBiuXsyEkixJHhhgmuWMhKYucLE_LF_cHguF-siywfHOf912eG0xL-ZC2FciV5gNPGe1Mi5GjDJHE9bZiCZK2tJB62doYqS1ZczaRAeZadIEm4wmmnAFr_owHH_MKynYz9JxFd15yyc00XkikflSwTxHOtXMONw-mwnVAtJ5xObNzQp8uJTSrmaKgyKlHrPWqtR53z6NB45Jk0MKZawBFu_LTmM2jWTV9UxkqZMRQD0yx8Jz2jZjAIr0B90AcULgfwZDvj8Azt-ti3FBskwcELTecuUXrUEDVjD63Vq4aRyoFIq7dNOMOoj0HQ3B89KBBV0R0TLgU3j7gQoWLA7fkISOm8ZZ42AdbAeQZV2vytzY6EbuuFnTPg8OXqia7C4GThdeiQlOvayrDCxSVryGQwzcu4tpoQD2m29gkN-e65AosGWvdqOzKw2nUraqzzj5mWSQDAttBpLEuWFy5y92jLDnmlY-toD0kpVLICldMiL6LKX1nhXsaqaqM7TEpPuNiGD7FQnV_BoQ7CP0zf_AHhGX2r" id="30" name="Picture"/>
            <a:graphic>
              <a:graphicData uri="http://schemas.openxmlformats.org/drawingml/2006/picture">
                <pic:pic>
                  <pic:nvPicPr>
                    <pic:cNvPr descr="C:/Users/15919/Desktop/论文草稿/temp/manuscript_figures_jdprmm0e/figure_000006.png" id="31" name="Picture"/>
                    <pic:cNvPicPr>
                      <a:picLocks noChangeArrowheads="1" noChangeAspect="1"/>
                    </pic:cNvPicPr>
                  </pic:nvPicPr>
                  <pic:blipFill>
                    <a:blip r:embed="rId29"/>
                    <a:stretch>
                      <a:fillRect/>
                    </a:stretch>
                  </pic:blipFill>
                  <pic:spPr bwMode="auto">
                    <a:xfrm>
                      <a:off x="0" y="0"/>
                      <a:ext cx="5733415" cy="5023421"/>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6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The evaluation includes 77 PDB entries containing these small molecules. Find and Match denote LigandSeek-Find and LigandSeek-Match, respectively, within the LigandSeek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curves require correct region detection, whereas Find+Match curves require both correct region detection and correct ligand identity matching.</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w:t>
      </w:r>
      <w:r>
        <w:rPr>
          <w:rFonts w:ascii="Times New Roman" w:hAnsi="Times New Roman"/>
          <w:sz w:val="24"/>
        </w:rPr>
        <w:t xml:space="preserve"> </w:t>
      </w:r>
      <m:oMath>
        <m:r>
          <m:t>K</m:t>
        </m:r>
      </m:oMath>
      <w:r>
        <w:rPr>
          <w:rFonts w:ascii="Times New Roman" w:hAnsi="Times New Roman"/>
          <w:sz w:val="24"/>
        </w:rPr>
        <w:t xml:space="preserve">; the vertical axis shows the percentage of PDB entries with successful predictions within that budget. GT and CA2 denote deposited and CryoAtom2-reconstructed receptor structures, respectively.</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32">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33">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34">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35">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36">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37">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38">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39">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40">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41">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42">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43">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44">
        <w:r>
          <w:rPr>
            <w:rStyle w:val="Hyperlink"/>
          </w:rPr>
          <w:t xml:space="preserve">10.1021/acs.jmedchem.3c01134</w:t>
        </w:r>
      </w:hyperlink>
      <w:r>
        <w:rPr>
          <w:rFonts w:ascii="Times New Roman" w:hAnsi="Times New Roman"/>
          <w:sz w:val="24"/>
        </w:rPr>
        <w:t xml:space="preserve">.</w:t>
      </w:r>
    </w:p>
    <w:bookmarkEnd w:id="45"/>
    <w:bookmarkEnd w:id="46"/>
    <w:bookmarkEnd w:id="47"/>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ra0FANzkDSc">
    <w:name w:val="MDFIGREF_eJyrrk7LTC9KTbMqLklMTzXUzU3MzNMtzqwoSMxLzalJra0FANzkDSc"/>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41" Type="http://schemas.openxmlformats.org/officeDocument/2006/relationships/hyperlink" Target="https://doi.org/10.1016/j.cell.2026.01.003" TargetMode="External"/><Relationship Id="rId43" Type="http://schemas.openxmlformats.org/officeDocument/2006/relationships/hyperlink" Target="https://doi.org/10.1016/j.str.2020.04.018" TargetMode="External"/><Relationship Id="rId39" Type="http://schemas.openxmlformats.org/officeDocument/2006/relationships/hyperlink" Target="https://doi.org/10.1016/j.str.2025.07.002" TargetMode="External"/><Relationship Id="rId33" Type="http://schemas.openxmlformats.org/officeDocument/2006/relationships/hyperlink" Target="https://doi.org/10.1016/j.tibs.2014.10.005" TargetMode="External"/><Relationship Id="rId44" Type="http://schemas.openxmlformats.org/officeDocument/2006/relationships/hyperlink" Target="https://doi.org/10.1021/acs.jmedchem.3c01134" TargetMode="External"/><Relationship Id="rId32" Type="http://schemas.openxmlformats.org/officeDocument/2006/relationships/hyperlink" Target="https://doi.org/10.1038/d41586-020-00341-9" TargetMode="External"/><Relationship Id="rId42" Type="http://schemas.openxmlformats.org/officeDocument/2006/relationships/hyperlink" Target="https://doi.org/10.1038/s41467-023-36732-5" TargetMode="External"/><Relationship Id="rId34" Type="http://schemas.openxmlformats.org/officeDocument/2006/relationships/hyperlink" Target="https://doi.org/10.1038/s41586-024-07215-4" TargetMode="External"/><Relationship Id="rId36" Type="http://schemas.openxmlformats.org/officeDocument/2006/relationships/hyperlink" Target="https://doi.org/10.1038/s41594-025-01723-1" TargetMode="External"/><Relationship Id="rId37" Type="http://schemas.openxmlformats.org/officeDocument/2006/relationships/hyperlink" Target="https://doi.org/10.1126/science.aat4346" TargetMode="External"/><Relationship Id="rId38" Type="http://schemas.openxmlformats.org/officeDocument/2006/relationships/hyperlink" Target="https://doi.org/10.64898/2026.06.01.729423" TargetMode="External"/><Relationship Id="rId35" Type="http://schemas.openxmlformats.org/officeDocument/2006/relationships/hyperlink" Target="https://doi.org/10.65215/LTSpreprints.2026.04.14.000185" TargetMode="External"/><Relationship Id="rId40"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doi.org/10.1016/j.cell.2026.01.003" TargetMode="External"/><Relationship Id="rId43" Type="http://schemas.openxmlformats.org/officeDocument/2006/relationships/hyperlink" Target="https://doi.org/10.1016/j.str.2020.04.018" TargetMode="External"/><Relationship Id="rId39" Type="http://schemas.openxmlformats.org/officeDocument/2006/relationships/hyperlink" Target="https://doi.org/10.1016/j.str.2025.07.002" TargetMode="External"/><Relationship Id="rId33" Type="http://schemas.openxmlformats.org/officeDocument/2006/relationships/hyperlink" Target="https://doi.org/10.1016/j.tibs.2014.10.005" TargetMode="External"/><Relationship Id="rId44" Type="http://schemas.openxmlformats.org/officeDocument/2006/relationships/hyperlink" Target="https://doi.org/10.1021/acs.jmedchem.3c01134" TargetMode="External"/><Relationship Id="rId32" Type="http://schemas.openxmlformats.org/officeDocument/2006/relationships/hyperlink" Target="https://doi.org/10.1038/d41586-020-00341-9" TargetMode="External"/><Relationship Id="rId42" Type="http://schemas.openxmlformats.org/officeDocument/2006/relationships/hyperlink" Target="https://doi.org/10.1038/s41467-023-36732-5" TargetMode="External"/><Relationship Id="rId34" Type="http://schemas.openxmlformats.org/officeDocument/2006/relationships/hyperlink" Target="https://doi.org/10.1038/s41586-024-07215-4" TargetMode="External"/><Relationship Id="rId36" Type="http://schemas.openxmlformats.org/officeDocument/2006/relationships/hyperlink" Target="https://doi.org/10.1038/s41594-025-01723-1" TargetMode="External"/><Relationship Id="rId37" Type="http://schemas.openxmlformats.org/officeDocument/2006/relationships/hyperlink" Target="https://doi.org/10.1126/science.aat4346" TargetMode="External"/><Relationship Id="rId38" Type="http://schemas.openxmlformats.org/officeDocument/2006/relationships/hyperlink" Target="https://doi.org/10.64898/2026.06.01.729423" TargetMode="External"/><Relationship Id="rId35" Type="http://schemas.openxmlformats.org/officeDocument/2006/relationships/hyperlink" Target="https://doi.org/10.65215/LTSpreprints.2026.04.14.000185" TargetMode="External"/><Relationship Id="rId40"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2026-10-06T10:04:06Z</dcterms:created>
  <dcterms:modified xsi:type="dcterms:W3CDTF">2026-10-06T10:04:06Z</dcterms:modified>
</cp:coreProperties>
</file>

<file path=docProps/custom.xml><?xml version="1.0" encoding="utf-8"?>
<Properties xmlns="http://schemas.openxmlformats.org/officeDocument/2006/custom-properties" xmlns:vt="http://schemas.openxmlformats.org/officeDocument/2006/docPropsVTypes"/>
</file>