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upplementary-information"/>
    <w:p>
      <w:pPr>
        <w:pStyle w:val="Heading1"/>
        <w:keepNext/>
        <w:spacing w:line="480" w:lineRule="auto"/>
        <w:ind w:firstLine="0"/>
      </w:pPr>
      <w:r>
        <w:rPr>
          <w:rFonts w:ascii="Times New Roman" w:hAnsi="Times New Roman"/>
          <w:sz w:val="24"/>
        </w:rPr>
        <w:t xml:space="preserve">Supplementary Information</w:t>
      </w:r>
    </w:p>
    <w:bookmarkStart w:id="12" w:name="Xc2290110b7f4c0597479abdf7dc370b81e4e2da"/>
    <w:p>
      <w:pPr>
        <w:pStyle w:val="Heading2"/>
        <w:keepNext/>
        <w:spacing w:line="480" w:lineRule="auto"/>
        <w:ind w:firstLine="0"/>
      </w:pPr>
      <w:r>
        <w:rPr>
          <w:rFonts w:ascii="Times New Roman" w:hAnsi="Times New Roman"/>
          <w:sz w:val="24"/>
        </w:rPr>
        <w:t xml:space="preserve">Stage 1: Comparison of LigandSeek2-Find with LigandSeek</w:t>
      </w:r>
    </w:p>
    <w:p>
      <w:pPr>
        <w:pStyle w:val="FirstParagraph"/>
        <w:spacing w:line="480" w:lineRule="auto" w:after="120"/>
        <w:ind w:firstLine="480"/>
      </w:pPr>
      <w:r>
        <w:rPr>
          <w:rFonts w:ascii="Times New Roman" w:hAnsi="Times New Roman"/>
          <w:sz w:val="24"/>
        </w:rPr>
        <w:t xml:space="preserve">Our first-generation model, LigandSeek, localised ligands in cryo-electron microscopy (cryo-EM) density maps without the Match and Build stages for identity matching and pose reconstruction. We compared its strongest version (LigandSeek-PV) with LigandSeek2-Find on the same full test set and small-molecule test subset. The evaluation definitions and presentation followed those used for the comparison with Emap2lig-Find.</w:t>
      </w:r>
    </w:p>
    <w:p>
      <w:pPr>
        <w:pStyle w:val="BodyText"/>
        <w:spacing w:line="480" w:lineRule="auto" w:after="120"/>
        <w:ind w:firstLine="480"/>
      </w:pPr>
      <w:r>
        <w:rPr>
          <w:rFonts w:ascii="Times New Roman" w:hAnsi="Times New Roman"/>
          <w:sz w:val="24"/>
        </w:rPr>
        <w:t xml:space="preserve">On the full test set, LigandSeek2-Find outperformed LigandSeek across all three detection metrics</w:t>
      </w:r>
      <w:r>
        <w:rPr>
          <w:rFonts w:ascii="Times New Roman" w:hAnsi="Times New Roman"/>
          <w:sz w:val="24"/>
        </w:rPr>
        <w:t xml:space="preserve"> </w:t>
      </w:r>
      <w:r>
        <w:rPr>
          <w:rFonts w:ascii="Times New Roman" w:hAnsi="Times New Roman"/>
          <w:sz w:val="24"/>
        </w:rPr>
        <w:t xml:space="preserve">(</w:t>
      </w:r>
      <w:r>
        <w:rPr>
          <w:rStyle w:val="MDFIGREF_eJyrrk7LTC9KTbPKyUxPzEspTk3NNtItK9ZFcA1rEmtrATN3D08"/>
          <w:rFonts w:ascii="Times New Roman" w:hAnsi="Times New Roman"/>
          <w:sz w:val="24"/>
        </w:rPr>
        <w:t xml:space="preserve">Fig. 1a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These comprised semantic Dice and one-to-one PRAUC at coverage thresholds of 0.3 and 0.5. When using the deposited receptors, one-to-one</w:t>
      </w:r>
      <w:r>
        <w:rPr>
          <w:rFonts w:ascii="Times New Roman" w:hAnsi="Times New Roman"/>
          <w:sz w:val="24"/>
        </w:rPr>
        <w:t xml:space="preserve"> </w:t>
      </w:r>
      <m:oMath>
        <m:sSub>
          <m:e>
            <m:r>
              <m:rPr>
                <m:sty m:val="p"/>
              </m:rPr>
              <m:t>P</m:t>
            </m:r>
            <m:r>
              <m:rPr>
                <m:sty m:val="p"/>
              </m:rPr>
              <m:t>R</m:t>
            </m:r>
            <m:r>
              <m:rPr>
                <m:sty m:val="p"/>
              </m:rPr>
              <m:t>A</m:t>
            </m:r>
            <m:r>
              <m:rPr>
                <m:sty m:val="p"/>
              </m:rPr>
              <m:t>U</m:t>
            </m:r>
            <m:r>
              <m:rPr>
                <m:sty m:val="p"/>
              </m:rPr>
              <m:t>C</m:t>
            </m:r>
          </m:e>
          <m:sub>
            <m:r>
              <m:t>0.3</m:t>
            </m:r>
          </m:sub>
        </m:sSub>
      </m:oMath>
      <w:r>
        <w:rPr>
          <w:rFonts w:ascii="Times New Roman" w:hAnsi="Times New Roman"/>
          <w:sz w:val="24"/>
        </w:rPr>
        <w:t xml:space="preserve"> </w:t>
      </w:r>
      <w:r>
        <w:rPr>
          <w:rFonts w:ascii="Times New Roman" w:hAnsi="Times New Roman"/>
          <w:sz w:val="24"/>
        </w:rPr>
        <w:t xml:space="preserve">was 0.517 for LigandSeek and 0.663 for LigandSeek2-Find. When using CryoAtom2-reconstructed (CA2) receptors, it increased from 0.440 to 0.541. Paired comparisons using CA2 receptors showed higher values for LigandSeek2-Find in 79 PDBs, equal values in 69, and higher values for LigandSeek in 31</w:t>
      </w:r>
      <w:r>
        <w:rPr>
          <w:rFonts w:ascii="Times New Roman" w:hAnsi="Times New Roman"/>
          <w:sz w:val="24"/>
        </w:rPr>
        <w:t xml:space="preserve"> </w:t>
      </w:r>
      <w:r>
        <w:rPr>
          <w:rFonts w:ascii="Times New Roman" w:hAnsi="Times New Roman"/>
          <w:sz w:val="24"/>
        </w:rPr>
        <w:t xml:space="preserve">(</w:t>
      </w:r>
      <w:r>
        <w:rPr>
          <w:rStyle w:val="MDFIGREF_eJyrrk7LTC9KTbPKyUxPzEspTk3NNtItK9ZFcA1rkmtrATN9D1E"/>
          <w:rFonts w:ascii="Times New Roman" w:hAnsi="Times New Roman"/>
          <w:sz w:val="24"/>
        </w:rPr>
        <w:t xml:space="preserve">Fig. 1c</w:t>
      </w:r>
      <w:r>
        <w:rPr>
          <w:rFonts w:ascii="Times New Roman" w:hAnsi="Times New Roman"/>
          <w:sz w:val="24"/>
        </w:rPr>
        <w:t xml:space="preserve">).</w:t>
      </w:r>
    </w:p>
    <w:p>
      <w:pPr>
        <w:pStyle w:val="BodyText"/>
        <w:spacing w:line="480" w:lineRule="auto" w:after="120"/>
        <w:ind w:firstLine="480"/>
      </w:pPr>
      <w:r>
        <w:rPr>
          <w:rFonts w:ascii="Times New Roman" w:hAnsi="Times New Roman"/>
          <w:sz w:val="24"/>
        </w:rPr>
        <w:t xml:space="preserve">LigandSeek2-Find also showed an overall advantage in the small-molecule test subset. For deposited receptors, one-to-one</w:t>
      </w:r>
      <w:r>
        <w:rPr>
          <w:rFonts w:ascii="Times New Roman" w:hAnsi="Times New Roman"/>
          <w:sz w:val="24"/>
        </w:rPr>
        <w:t xml:space="preserve"> </w:t>
      </w:r>
      <m:oMath>
        <m:sSub>
          <m:e>
            <m:r>
              <m:rPr>
                <m:sty m:val="p"/>
              </m:rPr>
              <m:t>P</m:t>
            </m:r>
            <m:r>
              <m:rPr>
                <m:sty m:val="p"/>
              </m:rPr>
              <m:t>R</m:t>
            </m:r>
            <m:r>
              <m:rPr>
                <m:sty m:val="p"/>
              </m:rPr>
              <m:t>A</m:t>
            </m:r>
            <m:r>
              <m:rPr>
                <m:sty m:val="p"/>
              </m:rPr>
              <m:t>U</m:t>
            </m:r>
            <m:r>
              <m:rPr>
                <m:sty m:val="p"/>
              </m:rPr>
              <m:t>C</m:t>
            </m:r>
          </m:e>
          <m:sub>
            <m:r>
              <m:t>0.3</m:t>
            </m:r>
          </m:sub>
        </m:sSub>
      </m:oMath>
      <w:r>
        <w:rPr>
          <w:rFonts w:ascii="Times New Roman" w:hAnsi="Times New Roman"/>
          <w:sz w:val="24"/>
        </w:rPr>
        <w:t xml:space="preserve"> </w:t>
      </w:r>
      <w:r>
        <w:rPr>
          <w:rFonts w:ascii="Times New Roman" w:hAnsi="Times New Roman"/>
          <w:sz w:val="24"/>
        </w:rPr>
        <w:t xml:space="preserve">increased from 0.621 to 0.701. For CA2 receptors, one-to-one</w:t>
      </w:r>
      <w:r>
        <w:rPr>
          <w:rFonts w:ascii="Times New Roman" w:hAnsi="Times New Roman"/>
          <w:sz w:val="24"/>
        </w:rPr>
        <w:t xml:space="preserve"> </w:t>
      </w:r>
      <m:oMath>
        <m:sSub>
          <m:e>
            <m:r>
              <m:rPr>
                <m:sty m:val="p"/>
              </m:rPr>
              <m:t>P</m:t>
            </m:r>
            <m:r>
              <m:rPr>
                <m:sty m:val="p"/>
              </m:rPr>
              <m:t>R</m:t>
            </m:r>
            <m:r>
              <m:rPr>
                <m:sty m:val="p"/>
              </m:rPr>
              <m:t>A</m:t>
            </m:r>
            <m:r>
              <m:rPr>
                <m:sty m:val="p"/>
              </m:rPr>
              <m:t>U</m:t>
            </m:r>
            <m:r>
              <m:rPr>
                <m:sty m:val="p"/>
              </m:rPr>
              <m:t>C</m:t>
            </m:r>
          </m:e>
          <m:sub>
            <m:r>
              <m:t>0.3</m:t>
            </m:r>
          </m:sub>
        </m:sSub>
      </m:oMath>
      <w:r>
        <w:rPr>
          <w:rFonts w:ascii="Times New Roman" w:hAnsi="Times New Roman"/>
          <w:sz w:val="24"/>
        </w:rPr>
        <w:t xml:space="preserve"> </w:t>
      </w:r>
      <w:r>
        <w:rPr>
          <w:rFonts w:ascii="Times New Roman" w:hAnsi="Times New Roman"/>
          <w:sz w:val="24"/>
        </w:rPr>
        <w:t xml:space="preserve">increased from 0.568 to 0.573</w:t>
      </w:r>
      <w:r>
        <w:rPr>
          <w:rFonts w:ascii="Times New Roman" w:hAnsi="Times New Roman"/>
          <w:sz w:val="24"/>
        </w:rPr>
        <w:t xml:space="preserve"> </w:t>
      </w:r>
      <w:r>
        <w:rPr>
          <w:rFonts w:ascii="Times New Roman" w:hAnsi="Times New Roman"/>
          <w:sz w:val="24"/>
        </w:rPr>
        <w:t xml:space="preserve">(</w:t>
      </w:r>
      <w:r>
        <w:rPr>
          <w:rStyle w:val="MDFIGREF_eJyrrk7LTC9KTbPKyUxPzEspTk3NNtItK9ZFcA1rkmprATN6D1A"/>
          <w:rFonts w:ascii="Times New Roman" w:hAnsi="Times New Roman"/>
          <w:sz w:val="24"/>
        </w:rPr>
        <w:t xml:space="preserve">Fig. 1b</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 paired CA2 comparisons, LigandSeek2-Find performed better than, as well as, or worse than LigandSeek in 27, 46 and 21 PDBs, respectively</w:t>
      </w:r>
      <w:r>
        <w:rPr>
          <w:rFonts w:ascii="Times New Roman" w:hAnsi="Times New Roman"/>
          <w:sz w:val="24"/>
        </w:rPr>
        <w:t xml:space="preserve"> </w:t>
      </w:r>
      <w:r>
        <w:rPr>
          <w:rFonts w:ascii="Times New Roman" w:hAnsi="Times New Roman"/>
          <w:sz w:val="24"/>
        </w:rPr>
        <w:t xml:space="preserve">(</w:t>
      </w:r>
      <w:r>
        <w:rPr>
          <w:rStyle w:val="MDFIGREF_eJyrrk7LTC9KTbPKyUxPzEspTk3NNtItK9ZFcA1rUmprATOAD1I"/>
          <w:rFonts w:ascii="Times New Roman" w:hAnsi="Times New Roman"/>
          <w:sz w:val="24"/>
        </w:rPr>
        <w:t xml:space="preserve">Fig. 1d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Per-PDB precision and recall distributions are shown in</w:t>
      </w:r>
      <w:r>
        <w:rPr>
          <w:rFonts w:ascii="Times New Roman" w:hAnsi="Times New Roman"/>
          <w:sz w:val="24"/>
        </w:rPr>
        <w:t xml:space="preserve"> </w:t>
      </w:r>
      <w:r>
        <w:rPr>
          <w:rStyle w:val="MDFIGREF_eJyrrk7LTC9KTbPKyUxPzEspTk3NNtItK9ZFcA1rUnXSamsBUhcP5Q"/>
          <w:rFonts w:ascii="Times New Roman" w:hAnsi="Times New Roman"/>
          <w:sz w:val="24"/>
        </w:rPr>
        <w:t xml:space="preserve">Fig. 1e, f</w:t>
      </w:r>
      <w:r>
        <w:rPr>
          <w:rFonts w:ascii="Times New Roman" w:hAnsi="Times New Roman"/>
          <w:sz w:val="24"/>
        </w:rPr>
        <w:t xml:space="preserve">.</w:t>
      </w:r>
    </w:p>
    <w:p>
      <w:pPr>
        <w:pStyle w:val="BodyText"/>
        <w:spacing w:line="480" w:lineRule="auto" w:after="120"/>
        <w:ind w:firstLine="480"/>
      </w:pPr>
      <w:r>
        <w:rPr>
          <w:rFonts w:ascii="Times New Roman" w:hAnsi="Times New Roman"/>
          <w:sz w:val="24"/>
        </w:rPr>
        <w:t xml:space="preserve">LigandSeek2-Find showed a much larger average advantage over LigandSeek across all ligands than within the small-molecule category alone. We attribute this difference mainly to the change in foreground block sampling during training. LigandSeek sampled ligands in a way resembling weighting by heavy-atom count. LigandSeek2-Find sampled all ligand instances within each PDB equally, regardless of heavy-atom count. Across all preprocessed data, small molecules contained 38.49 heavy atoms on average, compared with 17.02 across all ligand instances. The first-generation model therefore placed greater emphasis on small molecules during training.</w:t>
      </w:r>
    </w:p>
    <w:p>
      <w:pPr>
        <w:pStyle w:val="CaptionedFigure"/>
        <w:keepNext/>
        <w:spacing w:line="240" w:lineRule="auto" w:before="0" w:after="0"/>
        <w:ind w:firstLine="0"/>
        <w:jc w:val="center"/>
      </w:pPr>
      <w:r>
        <w:rPr>
          <w:rFonts w:ascii="Times New Roman" w:hAnsi="Times New Roman"/>
          <w:sz w:val="24"/>
        </w:rPr>
        <w:drawing>
          <wp:inline>
            <wp:extent cx="5120640" cy="5927466"/>
            <wp:effectExtent b="0" l="0" r="0" t="0"/>
            <wp:docPr descr="Fig. 1 | Ligand-region detection by LigandSeek2-Find and LigandSeek. LigandSeek2-Find and the first-generation LigandSeek are compared using deposited (GT) or CryoAtom2-reconstructed (CA2) receptor structures. The left column shows all ligands (179 PDB entries, 2,502 instances); the right shows only small molecules (94 PDB entries, 821 instances)." title="MDPPTFIG_eJztWF-PGzUQ_yqjSEitlGQ36SVH0lLpyPUqpKNE1_aJRSfH62Td27WN7SSXUp4RD7whXvgCPPEBQIJPA-3HYMbe_DmuiFNRkVL1pNzOeMa_Gf_77ay_ahjmi8YQGi-___WPH39LTuWMqfyxEBfd84U736qdtjH-stGEhhVOlwuRU6_RMMueOmFdlnV6g84gy46Fu_DaZNmrn3_584dvXn337cuffs-yCJ9lN8BXrBKEXQabI9fWwrW2aoe8culMyVbnS5nHAfTafanIwpnxUqvzitmLuUHT5417y6GBy6pUbrj8KGsU3pthkjheiIq5tjZCoXGqbcU8qnaWLLXNjdVcOCfVrCqTbpr2k4pJlTXuE9rYhsdjvyoFLIcLViLuJxWbiVEMT37J2oN8L4Qwj8SlD81bJcqnUgm3sdTacugM4xgfA5TYhBG6B2nWqNWzeUlNbO51Hax2p55S5eg2ldb509g1rZ3QEjOLQ4j_avlEK--wH3NcSuzzRFbCwSOxhDNdMRVCF0fKvdYWUCMEgU2CPgniKI4tPDHN55sZ6x6sU38eu8dEPC1WGA5lbnDHCbsQ6HoiZ23owAuIG6dlxQznGnLhBadZh8kKdrZY64TmAbWdxjbFiavwdifgPwwT9iDH106zLwSETdeaCSUsC2uy9QRmBXBdGXzmMKezhWtntJMe9VsPn9wGbWFkV_rI66qLy8u1ct7OebCPjrq3AduE8egW2-eYURueYNxSTD2Cl_NKgSv00gErS6hpA251DgcwPv4YhPJWCteEbrOXdkEiPlN40G_fDdlbOSt83V-rcgWuIphKl4LjgUOgwcFVnA-7nR2Uq9uLztl9IqX3DPSOMBDbg6PZ3IMc_zeKeyu7YLIHM9yEsbAtoqpjyQU4rtEWWFor0fK6hQ8Ynx09HQHzyH1oLXSJVKmnkLbvBM-03WvDA2uRbifMusCLMOh9gITnMQwrHSBpBeKsBFMwtbqCTtpM0xQmWnvkaGaQsh2rDJEnQu9w53uufLe5ku_DKdmDHPebK_M9mOEmciQWlr4uTqXDspPI6lqRu5S-2C1oYw37TxXrulbFCvUakhGWOMzBRHjk0mYdmk2w5kRKRU5zApkaDgdJf5Dc6ewSZyDd3eqWuLp7mBz0EyxGyfi3qrVJHGzoG2khytUe8O7Ge02E7zn4zXa22IfTtwc57jcHT_dghpvw2bYuxXYuHd0eELWhQnSGZSrbFqrrOvXGFPyA8QKMxtIVW0NgGneogmtqXd0FojlYFtIL4NLysi6ZfSH5RayBkQ4kZ2iPVW8uWUwylMRfzpn1EtnOMjUT_067XyDvbi4qG71ON-0fpJe9QffwoN9_cc9IPsRfzcrsRqycW7a8Rsc1AmK9CQZ2o4uWDYy9EYieTvHD41jzeYWTG5GsKMOlkCukcbQ_aIRqMZacdgcp_NFibCEXjlOU0TAJ98tJuF5O6tvlZPdyOfGiMjhMNccu0vjzqZzRrdC5fCalffZ8kMSG85T-Om2jZjgQmSN6p4MS3TejPF6PEZdmk8c2pZggoxk81fzCgdKjgtb4CL-OloVguSNAwlsbwsrHRsTcdt0JEFGTa5MwKaU5kWVJEUkO_aPAhri3hecFiVP0OcMowX5F2TglV_FIc_gmg8nyU53vvg7Z8HJqK3riwsFlfAHCavMiDO1kptczJ3u9XdGLk1u9a2vn-PG0BTX4Yn0o8POQBPSmciuGZYtTF3230tqb7ErH1JOtyIYlnlJEGfS6vYjyWi9alwfh9b0js6Fnslw378qlqufLmc264O9-4-u_AHedljY" id="10" name="Picture"/>
            <a:graphic>
              <a:graphicData uri="http://schemas.openxmlformats.org/drawingml/2006/picture">
                <pic:pic>
                  <pic:nvPicPr>
                    <pic:cNvPr descr="C:/Users/15919/Desktop/论文草稿/temp/manuscript_figures_ijiirjz9/figure_000001.png" id="11" name="Picture"/>
                    <pic:cNvPicPr>
                      <a:picLocks noChangeArrowheads="1" noChangeAspect="1"/>
                    </pic:cNvPicPr>
                  </pic:nvPicPr>
                  <pic:blipFill>
                    <a:blip r:embed="rId9"/>
                    <a:stretch>
                      <a:fillRect/>
                    </a:stretch>
                  </pic:blipFill>
                  <pic:spPr bwMode="auto">
                    <a:xfrm>
                      <a:off x="0" y="0"/>
                      <a:ext cx="5120640" cy="5927466"/>
                    </a:xfrm>
                    <a:prstGeom prst="rect">
                      <a:avLst/>
                    </a:prstGeom>
                    <a:noFill/>
                    <a:ln w="9525">
                      <a:noFill/>
                      <a:headEnd/>
                      <a:tailEnd/>
                    </a:ln>
                  </pic:spPr>
                </pic:pic>
              </a:graphicData>
            </a:graphic>
          </wp:inline>
        </w:drawing>
      </w:r>
    </w:p>
    <w:p>
      <w:pPr>
        <w:pStyle w:val="ImageCaption"/>
        <w:keepNext/>
        <w:keepLines/>
        <w:spacing w:line="240" w:lineRule="auto"/>
        <w:ind w:firstLine="0"/>
      </w:pPr>
      <w:r>
        <w:rPr>
          <w:rFonts w:ascii="Times New Roman" w:hAnsi="Times New Roman"/>
          <w:b/>
          <w:bCs/>
          <w:sz w:val="24"/>
        </w:rPr>
        <w:t xml:space="preserve">Fig. 1 | Ligand-region detection by LigandSeek2-Find and LigandSeek.</w:t>
      </w:r>
      <w:r>
        <w:rPr>
          <w:rFonts w:ascii="Times New Roman" w:hAnsi="Times New Roman"/>
          <w:sz w:val="24"/>
        </w:rPr>
        <w:t xml:space="preserve"> </w:t>
      </w:r>
      <w:r>
        <w:rPr>
          <w:rFonts w:ascii="Times New Roman" w:hAnsi="Times New Roman"/>
          <w:sz w:val="24"/>
        </w:rPr>
        <w:t xml:space="preserve">LigandSeek2-Find and the first-generation LigandSeek are compared using deposited (GT) or CryoAtom2-reconstructed (CA2) receptor structures. The left column shows all ligands (179 PDB entries, 2,502 instances); the right shows only small molecules (94 PDB entries, 821 instances).</w:t>
      </w:r>
    </w:p>
    <w:p>
      <w:pPr>
        <w:pStyle w:val="ImageCaption"/>
        <w:keepNext/>
        <w:keepLines/>
        <w:spacing w:line="240" w:lineRule="auto"/>
        <w:ind w:firstLine="0"/>
      </w:pPr>
      <w:r>
        <w:rPr>
          <w:rFonts w:ascii="Times New Roman" w:hAnsi="Times New Roman"/>
          <w:b/>
          <w:bCs/>
          <w:sz w:val="24"/>
        </w:rPr>
        <w:t xml:space="preserve">a</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Per-PDB Dice scores and one-to-one PRAUC at thresholds of 0.3 and 0.5. Error bars show 95% intervals for the mean from 10,000 bootstrap resamples of PDB entries.</w:t>
      </w:r>
    </w:p>
    <w:p>
      <w:pPr>
        <w:pStyle w:val="ImageCaption"/>
        <w:keepNext/>
        <w:keepLines/>
        <w:spacing w:line="240" w:lineRule="auto"/>
        <w:ind w:firstLine="0"/>
      </w:pPr>
      <w:r>
        <w:rPr>
          <w:rFonts w:ascii="Times New Roman" w:hAnsi="Times New Roman"/>
          <w:b/>
          <w:bCs/>
          <w:sz w:val="24"/>
        </w:rPr>
        <w:t xml:space="preserve">c</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Direct comparisons of LigandSeek2-Find with LigandSeek using CryoAtom2-reconstructed receptors. LigandSeek2-Find performs better, comparably or worse on 79/69/31 PDB entries for all ligands and 27/46/21 for small molecules, respectively.</w:t>
      </w:r>
    </w:p>
    <w:p>
      <w:pPr>
        <w:pStyle w:val="ImageCaption"/>
        <w:keepNext w:val="0"/>
        <w:keepLines/>
        <w:spacing w:line="240" w:lineRule="auto"/>
        <w:ind w:firstLine="0"/>
      </w:pPr>
      <w:r>
        <w:rPr>
          <w:rFonts w:ascii="Times New Roman" w:hAnsi="Times New Roman"/>
          <w:b/>
          <w:bCs/>
          <w:sz w:val="24"/>
        </w:rPr>
        <w:t xml:space="preserve">e</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f</w:t>
      </w:r>
      <w:r>
        <w:rPr>
          <w:rFonts w:ascii="Times New Roman" w:hAnsi="Times New Roman"/>
          <w:sz w:val="24"/>
        </w:rPr>
        <w:t xml:space="preserve">, One-to-one precision and recall at a threshold of 0.3 using CryoAtom2-reconstructed receptors. Each point represents one PDB entry; open white circles and thick bars indicate the median and interquartile range, respectively.</w:t>
      </w:r>
    </w:p>
    <w:p>
      <w:pPr>
        <w:pStyle w:val="TableCaption"/>
        <w:keepNext/>
        <w:spacing w:line="480" w:lineRule="auto"/>
        <w:ind w:firstLine="0"/>
        <w:pageBreakBefore/>
      </w:pPr>
      <w:r>
        <w:rPr>
          <w:rFonts w:ascii="Times New Roman" w:hAnsi="Times New Roman"/>
          <w:b/>
          <w:i w:val="0"/>
          <w:sz w:val="24"/>
        </w:rPr>
        <w:t xml:space="preserve">Table 3 | Stage 1 detection performance of two LigandSeek generations on the full test set and small-molecule test subset.</w:t>
      </w:r>
    </w:p>
    <w:tbl>
      <w:tblPr>
        <w:tblW w:type="pct" w:w="5000"/>
        <w:tblLayout w:type="fixed"/>
        <w:tblCaption w:val="Table 3 | Stage 1 detection performance of two LigandSeek generations on the full test set and small-molecule test subset."/>
        <w:tblDescription w:val="MDBOOKTABS_{&quot;headers&quot;:2,&quot;groups&quot;:[2,5],&quot;widths&quot;:[0.28,0.12,0.12,0.12,0.12,0.12,0.12],&quot;pagination&quot;:&quot;rows&quot;}"/>
        <w:tblBorders>
          <w:top w:val="single" w:sz="6" w:color="000000"/>
          <w:bottom w:val="single" w:sz="6" w:color="000000"/>
          <w:left w:val="nil" w:sz="6" w:color="000000"/>
          <w:right w:val="nil" w:sz="6" w:color="000000"/>
          <w:insideH w:val="nil" w:sz="6" w:color="000000"/>
          <w:insideV w:val="nil" w:sz="6" w:color="000000"/>
        </w:tblBorders>
      </w:tblPr>
      <w:tblGrid>
        <w:gridCol w:w="2528"/>
        <w:gridCol w:w="1083"/>
        <w:gridCol w:w="1083"/>
        <w:gridCol w:w="1083"/>
        <w:gridCol w:w="1083"/>
        <w:gridCol w:w="1083"/>
        <w:gridCol w:w="1083"/>
      </w:tblGrid>
      <w:tr>
        <w:trPr>
          <w:tblHeader w:val="on"/>
          <w:cantSplit/>
        </w:trPr>
        <w:tc>
          <w:tcPr>
            <w:tcW w:type="dxa" w:w="2528"/>
            <w:vMerge w:val="restart"/>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b w:val="0"/>
                <w:sz w:val="20"/>
              </w:rPr>
              <w:t xml:space="preserve">Model</w:t>
            </w:r>
          </w:p>
        </w:tc>
        <w:tc>
          <w:tcPr>
            <w:tcW w:type="dxa" w:w="3250"/>
            <w:gridSpan w:val="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CA2 receptors</w:t>
            </w:r>
          </w:p>
        </w:tc>
        <w:tc>
          <w:tcPr>
            <w:tcW w:type="dxa" w:w="3250"/>
            <w:gridSpan w:val="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Deposited receptors</w:t>
            </w:r>
          </w:p>
        </w:tc>
      </w:tr>
      <w:tr>
        <w:trPr>
          <w:tblHeader w:val="on"/>
          <w:cantSplit/>
        </w:trPr>
        <w:tc>
          <w:tcPr>
            <w:tcW w:type="dxa" w:w="2528"/>
            <w:gridSpan w:val="1"/>
            <w:vMerge w:val="continue"/>
            <w:vAlign w:val="center"/>
            <w:noWrap/>
            <w:tcMar>
              <w:top w:w="30" w:type="dxa"/>
              <w:bottom w:w="30" w:type="dxa"/>
              <w:left w:w="45" w:type="dxa"/>
              <w:right w:w="45" w:type="dxa"/>
            </w:tcMar>
            <w:tcBorders>
              <w:bottom w:val="single" w:sz="4" w:color="000000"/>
            </w:tcBorders>
          </w:tcPr>
          <w:p>
            <w:pPr>
              <w:keepNext w:val="0"/>
              <w:keepLines w:val="0"/>
              <w:pageBreakBefore w:val="0"/>
              <w:spacing w:line="240" w:lineRule="auto" w:before="0" w:after="0"/>
              <w:ind w:firstLine="0"/>
              <w:jc w:val="left"/>
            </w:pP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r>
      <w:tr>
        <w:trPr>
          <w:cantSplit/>
        </w:trPr>
        <w:tc>
          <w:tcPr>
            <w:tcW w:type="dxa" w:w="9029"/>
            <w:gridSpan w:val="7"/>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i/>
                <w:iCs/>
                <w:sz w:val="20"/>
              </w:rPr>
              <w:t xml:space="preserve">All ligands</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LigandSeek</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0.355</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0.440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0.261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0.419</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0.517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0.315</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LigandSeek2-Find</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0.477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0.541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0.447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0.584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0.663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0.558</w:t>
            </w:r>
          </w:p>
        </w:tc>
      </w:tr>
      <w:tr>
        <w:trPr>
          <w:cantSplit/>
        </w:trPr>
        <w:tc>
          <w:tcPr>
            <w:tcW w:type="dxa" w:w="9029"/>
            <w:gridSpan w:val="7"/>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before="0" w:after="0"/>
              <w:ind w:firstLine="0"/>
              <w:jc w:val="left"/>
            </w:pPr>
            <w:r>
              <w:rPr>
                <w:rFonts w:ascii="Times New Roman" w:hAnsi="Times New Roman"/>
                <w:i/>
                <w:iCs/>
                <w:sz w:val="20"/>
              </w:rPr>
              <w:t xml:space="preserve">Small molecules</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LigandSeek</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0.460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0.568</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0.511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0.621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0.539</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LigandSeek2-Find</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0.482</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0.573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0.499</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0.576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0.701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0.605</w:t>
            </w:r>
          </w:p>
        </w:tc>
      </w:tr>
    </w:tbl>
    <w:p>
      <w:pPr>
        <w:pStyle w:val="MDTableNote"/>
        <w:spacing w:line="240" w:lineRule="auto" w:before="80" w:after="120"/>
        <w:keepNext w:val="0"/>
        <w:keepLines/>
        <w:pageBreakBefore w:val="0"/>
        <w:ind w:firstLine="0"/>
      </w:pPr>
      <w:r>
        <w:rPr>
          <w:rFonts w:ascii="Times New Roman" w:hAnsi="Times New Roman"/>
          <w:sz w:val="18"/>
        </w:rPr>
        <w:t xml:space="preserve">Dice denotes semantic Dice; PRAUC denotes one-to-one PRAUC, with subscripts indicating bidirectional coverage thresholds between predicted and ground-truth regions. CA2 denotes CryoAtom2-reconstructed receptors; deposited receptors correspond to GT. Bold values indicate the higher score in each column within each ligand group.</w:t>
      </w:r>
    </w:p>
    <w:bookmarkEnd w:id="12"/>
    <w:bookmarkStart w:id="13" w:name="stage-1-ablation-of-ligandseek2-find"/>
    <w:p>
      <w:pPr>
        <w:pStyle w:val="Heading2"/>
        <w:keepNext/>
        <w:spacing w:line="480" w:lineRule="auto"/>
        <w:ind w:firstLine="0"/>
      </w:pPr>
      <w:r>
        <w:rPr>
          <w:rFonts w:ascii="Times New Roman" w:hAnsi="Times New Roman"/>
          <w:sz w:val="24"/>
        </w:rPr>
        <w:t xml:space="preserve">Stage 1: Ablation of LigandSeek2-Find</w:t>
      </w:r>
    </w:p>
    <w:p>
      <w:pPr>
        <w:pStyle w:val="FirstParagraph"/>
        <w:spacing w:line="480" w:lineRule="auto" w:after="120"/>
        <w:ind w:firstLine="480"/>
      </w:pPr>
      <w:r>
        <w:rPr>
          <w:rFonts w:ascii="Times New Roman" w:hAnsi="Times New Roman"/>
          <w:sz w:val="24"/>
        </w:rPr>
        <w:t xml:space="preserve">As shown in Table 4, we compared six model variants on the same full test set to assess the contributions of individual designs to ligand detection. Starting with a 3D U-Net receiving experimental density alone(Density only), we added difference density(+ Difference density), a multi-view density bank(+ Density bank) and receptor-atom features(+ Receptor features). We then introduced centroid-aware positional encoding in the receptor embedding head(+ Centroid encoding), followed by the final LigandSeek2-Find model. The final model used receptor-atom binding probabilities predicted by the point-cloud branch for Gaussian candidate scoring, while other models used conventional inference without Gaussian candidate scoring.</w:t>
      </w:r>
    </w:p>
    <w:p>
      <w:pPr>
        <w:pStyle w:val="BodyText"/>
        <w:spacing w:line="480" w:lineRule="auto" w:after="120"/>
        <w:ind w:firstLine="480"/>
      </w:pPr>
      <w:r>
        <w:rPr>
          <w:rFonts w:ascii="Times New Roman" w:hAnsi="Times New Roman"/>
          <w:sz w:val="24"/>
        </w:rPr>
        <w:t xml:space="preserve">According to Table 4, adding difference density improved all metrics under both GT and CA2 conditions. Moreover, the multi-view density bank further improved overall detection ability. It is noteworthy that when constructing multi-view density bank, the deterministic transformations of the same experimental and simulated receptor density do not add any additional information, but highlight ligand signals across contrasts and spatial scales while suppressing dominant receptor density.</w:t>
      </w:r>
    </w:p>
    <w:p>
      <w:pPr>
        <w:pStyle w:val="BodyText"/>
        <w:spacing w:line="480" w:lineRule="auto" w:after="120"/>
        <w:ind w:firstLine="480"/>
      </w:pPr>
      <w:r>
        <w:rPr>
          <w:rFonts w:ascii="Times New Roman" w:hAnsi="Times New Roman"/>
          <w:sz w:val="24"/>
        </w:rPr>
        <w:t xml:space="preserve">Futhermore, we can observe that injecting the receptor information explicitly, adding centroid-aware positional encoding in the receptor embedding head, and introducing Gaussian scoring during inference also generally raise model performance to varying degrees. We refer to the model with all components as LigandSeek2-Find, which has the best overall performance.</w:t>
      </w:r>
    </w:p>
    <w:p>
      <w:pPr>
        <w:pStyle w:val="TableCaption"/>
        <w:keepNext/>
        <w:spacing w:line="480" w:lineRule="auto"/>
        <w:ind w:firstLine="0"/>
        <w:pageBreakBefore/>
      </w:pPr>
      <w:r>
        <w:rPr>
          <w:rFonts w:ascii="Times New Roman" w:hAnsi="Times New Roman"/>
          <w:b/>
          <w:i w:val="0"/>
          <w:sz w:val="24"/>
        </w:rPr>
        <w:t xml:space="preserve">Table 4 | Internal ablation of LigandSeek2-Find on the full test set.</w:t>
      </w:r>
    </w:p>
    <w:tbl>
      <w:tblPr>
        <w:tblW w:type="pct" w:w="5000"/>
        <w:tblLayout w:type="fixed"/>
        <w:tblCaption w:val="Table 4 | Internal ablation of LigandSeek2-Find on the full test set."/>
        <w:tblDescription w:val="MDBOOKTABS_{&quot;headers&quot;:2,&quot;groups&quot;:[],&quot;widths&quot;:[0.28,0.12,0.12,0.12,0.12,0.12,0.12],&quot;pagination&quot;:&quot;rows&quot;}"/>
        <w:tblBorders>
          <w:top w:val="single" w:sz="6" w:color="000000"/>
          <w:bottom w:val="single" w:sz="6" w:color="000000"/>
          <w:left w:val="nil" w:sz="6" w:color="000000"/>
          <w:right w:val="nil" w:sz="6" w:color="000000"/>
          <w:insideH w:val="nil" w:sz="6" w:color="000000"/>
          <w:insideV w:val="nil" w:sz="6" w:color="000000"/>
        </w:tblBorders>
      </w:tblPr>
      <w:tblGrid>
        <w:gridCol w:w="2528"/>
        <w:gridCol w:w="1083"/>
        <w:gridCol w:w="1083"/>
        <w:gridCol w:w="1083"/>
        <w:gridCol w:w="1083"/>
        <w:gridCol w:w="1083"/>
        <w:gridCol w:w="1083"/>
      </w:tblGrid>
      <w:tr>
        <w:trPr>
          <w:tblHeader w:val="on"/>
          <w:cantSplit/>
        </w:trPr>
        <w:tc>
          <w:tcPr>
            <w:tcW w:type="dxa" w:w="2528"/>
            <w:vMerge w:val="restart"/>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b w:val="0"/>
                <w:sz w:val="20"/>
              </w:rPr>
              <w:t xml:space="preserve">Model</w:t>
            </w:r>
          </w:p>
        </w:tc>
        <w:tc>
          <w:tcPr>
            <w:tcW w:type="dxa" w:w="3250"/>
            <w:gridSpan w:val="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CA2 receptors</w:t>
            </w:r>
          </w:p>
        </w:tc>
        <w:tc>
          <w:tcPr>
            <w:tcW w:type="dxa" w:w="3250"/>
            <w:gridSpan w:val="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Deposited receptors</w:t>
            </w:r>
          </w:p>
        </w:tc>
      </w:tr>
      <w:tr>
        <w:trPr>
          <w:tblHeader w:val="on"/>
          <w:cantSplit/>
        </w:trPr>
        <w:tc>
          <w:tcPr>
            <w:tcW w:type="dxa" w:w="2528"/>
            <w:gridSpan w:val="1"/>
            <w:vMerge w:val="continue"/>
            <w:vAlign w:val="center"/>
            <w:noWrap/>
            <w:tcMar>
              <w:top w:w="30" w:type="dxa"/>
              <w:bottom w:w="30" w:type="dxa"/>
              <w:left w:w="45" w:type="dxa"/>
              <w:right w:w="45" w:type="dxa"/>
            </w:tcMar>
            <w:tcBorders>
              <w:bottom w:val="single" w:sz="4" w:color="000000"/>
            </w:tcBorders>
          </w:tcPr>
          <w:p>
            <w:pPr>
              <w:keepNext w:val="0"/>
              <w:keepLines w:val="0"/>
              <w:pageBreakBefore w:val="0"/>
              <w:spacing w:line="240" w:lineRule="auto" w:before="0" w:after="0"/>
              <w:ind w:firstLine="0"/>
              <w:jc w:val="left"/>
            </w:pP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Density only</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0.394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0.446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0.342</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0.394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0.446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0.342</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 Difference density</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0.434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0.501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0.403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0.569</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0.452</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 Density bank</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0.453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0.508</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0.427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0.585</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0.643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0.561</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 Receptor features</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0.520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0.437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0.570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0.631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0.554</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 Centroid encoding</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0.536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0.444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0.633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0.539</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LigandSeek2-Find</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0.477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0.541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0.447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0.584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0.663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0.558</w:t>
            </w:r>
          </w:p>
        </w:tc>
      </w:tr>
    </w:tbl>
    <w:p>
      <w:pPr>
        <w:pStyle w:val="MDTableNote"/>
        <w:spacing w:line="240" w:lineRule="auto" w:before="80" w:after="120"/>
        <w:keepNext w:val="0"/>
        <w:keepLines/>
        <w:pageBreakBefore w:val="0"/>
        <w:ind w:firstLine="0"/>
      </w:pPr>
      <w:r>
        <w:rPr>
          <w:rFonts w:ascii="Times New Roman" w:hAnsi="Times New Roman"/>
          <w:sz w:val="18"/>
        </w:rPr>
        <w:t xml:space="preserve">Dice denotes semantic Dice; PRAUC denotes one-to-one PRAUC, with subscripts indicating bidirectional coverage thresholds between predicted and ground-truth regions. CA2 denotes CryoAtom2-reconstructed receptors; deposited receptors correspond to GT. Bold and underlined values indicate the highest and second-highest scores in each column, respectively.</w:t>
      </w:r>
    </w:p>
    <w:bookmarkEnd w:id="13"/>
    <w:bookmarkStart w:id="23" w:name="stage-3-end-to-end-top-k-success"/>
    <w:p>
      <w:pPr>
        <w:pStyle w:val="Heading2"/>
        <w:keepNext/>
        <w:spacing w:line="480" w:lineRule="auto"/>
        <w:ind w:firstLine="0"/>
      </w:pPr>
      <w:r>
        <w:rPr>
          <w:rFonts w:ascii="Times New Roman" w:hAnsi="Times New Roman"/>
          <w:sz w:val="24"/>
        </w:rPr>
        <w:t xml:space="preserve">Stage 3: End-to-end top-k success</w:t>
      </w:r>
    </w:p>
    <w:bookmarkStart w:id="14" w:name="evaluation-protocol-top-k-success"/>
    <w:p>
      <w:pPr>
        <w:pStyle w:val="Heading3"/>
        <w:keepNext/>
        <w:spacing w:line="480" w:lineRule="auto"/>
        <w:ind w:firstLine="0"/>
      </w:pPr>
      <w:r>
        <w:rPr>
          <w:rFonts w:ascii="Times New Roman" w:hAnsi="Times New Roman"/>
          <w:sz w:val="24"/>
        </w:rPr>
        <w:t xml:space="preserve">Evaluation protocol (top-k success)</w:t>
      </w:r>
    </w:p>
    <w:p>
      <w:pPr>
        <w:pStyle w:val="FirstParagraph"/>
        <w:spacing w:line="480" w:lineRule="auto" w:after="120"/>
        <w:ind w:firstLine="480"/>
      </w:pPr>
      <w:r>
        <w:rPr>
          <w:rFonts w:ascii="Times New Roman" w:hAnsi="Times New Roman"/>
          <w:sz w:val="24"/>
        </w:rPr>
        <w:t xml:space="preserve">Top-k success measures whether an end-to-end pipeline successfully processes at least one ligand instance in a complex within a specified attempt budget.</w:t>
      </w:r>
    </w:p>
    <w:p>
      <w:pPr>
        <w:pStyle w:val="BodyText"/>
        <w:spacing w:line="480" w:lineRule="auto" w:after="120"/>
        <w:ind w:firstLine="480"/>
      </w:pPr>
      <w:r>
        <w:rPr>
          <w:rFonts w:ascii="Times New Roman" w:hAnsi="Times New Roman"/>
          <w:sz w:val="24"/>
        </w:rPr>
        <w:t xml:space="preserve">Find ranks candidate ligand regions by descending mean probability, yielding Rank 1, Rank 2 and subsequent candidates. For each PDB entry, the pipeline examines these candidates in order for up to</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attempts. A PDB entry is classified as successful if any attempt within this budget succeeds.</w:t>
      </w:r>
    </w:p>
    <w:p>
      <w:pPr>
        <w:pStyle w:val="BodyText"/>
        <w:spacing w:line="480" w:lineRule="auto" w:after="120"/>
        <w:ind w:firstLine="480"/>
      </w:pPr>
      <w:r>
        <w:rPr>
          <w:rFonts w:ascii="Times New Roman" w:hAnsi="Times New Roman"/>
          <w:sz w:val="24"/>
        </w:rPr>
        <w:t xml:space="preserve">Top-k success evaluates two basic end-to-end capabilities of our pipeline. These comprise detection and identity matching across all ligand categories, and detection, identity matching and modelling of single-residue organic small molecules with no missing atoms. Attempt-accounting rules are the same as those in the main text. The all-ligand test set contains 179 PDBs and 2,502 ligand instances; the small-molecule subset contains 77 PDBs and 446 instances. Each task was also evaluated with deposited receptors (GT) and CryoAtom2-reconstructed receptors (CA2).</w:t>
      </w:r>
    </w:p>
    <w:bookmarkEnd w:id="14"/>
    <w:bookmarkStart w:id="18" w:name="X5f64bd45b404ca02f1e597fd6c2fd1f17bc94df"/>
    <w:p>
      <w:pPr>
        <w:pStyle w:val="Heading3"/>
        <w:keepNext/>
        <w:spacing w:line="480" w:lineRule="auto"/>
        <w:ind w:firstLine="0"/>
      </w:pPr>
      <w:r>
        <w:rPr>
          <w:rFonts w:ascii="Times New Roman" w:hAnsi="Times New Roman"/>
          <w:sz w:val="24"/>
        </w:rPr>
        <w:t xml:space="preserve">End-to-end region detection and identity matching across ligand categories</w:t>
      </w:r>
    </w:p>
    <w:p>
      <w:pPr>
        <w:pStyle w:val="CaptionedFigure"/>
        <w:keepNext/>
        <w:spacing w:line="240" w:lineRule="auto" w:before="0" w:after="0"/>
        <w:ind w:firstLine="0"/>
        <w:jc w:val="center"/>
      </w:pPr>
      <w:r>
        <w:rPr>
          <w:rFonts w:ascii="Times New Roman" w:hAnsi="Times New Roman"/>
          <w:sz w:val="24"/>
        </w:rPr>
        <w:drawing>
          <wp:inline>
            <wp:extent cx="5733415" cy="3061262"/>
            <wp:effectExtent b="0" l="0" r="0" t="0"/>
            <wp:docPr descr="Fig. 2 | End-to-end ligand-region detection and identity matching. The curves show the percentage of the 179 test PDB entries with successful predictions within an attempt budget of K=1–10. Find+Match curves require end-to-end correct region detection and ligand identity matching, whereas Find and Emap2lig-Find curves require only correct region detection. Find and Match denote LigandSeek-Find and LigandSeek-Match, respectively. GT denotes deposited receptor structures, and CA2 denotes CryoAtom2-reconstructed receptor structures." title="MDPPTFIG_eJzVVs1uJDUQfhWrr2SmZzp_mlY2UpgkK0SyGmXDiUaR466Z9qa7bWz3_IRF4oY4cFrEBcSZEw_ASvAuSGz2MaiyeyYTkpVWu0JiI01cLn_-qlwuV9dXkeauiFIW3fzw8u-f_oiPkqObly9e_fJzV2s3jzZYZMCqcgo5gYZpln1mwdgs628P-oMsOwR75ZTOste__f7qx29ff__dza9_Zllgy7L7dDWvgKgggQ4vy85Y1nmn4k4UtCq4dlLVFxU3V41G3OfR3izVbF6VtU1nj7KocE6ncWxFARW3XaWhxsWxMsiBUzOJZ8rk2igB1sp6UpVx0uvtxBWXdRbtE9vI-OGpW5TAZumUl8j7ScUnMAzmCRcvEYS9AtAnsgbr9WuzWWo1F2gGeUpUIVGy1cuidnrWlKTijVMtZwunnXhwhI2lse4kbO21IFwJDgRPw79WPla1s7iPWyEl7jmXFVj2BGbsTFW89qaLg9o-uOZZAwWRXfr5pReH4Wx-RDevV4FJtpauX4ftwRFHd-KPQ55rzBIwU0DosZx0WcKesyO8WKc6gMcs5YTjzMAEo8tycCAozgyVTOZQO-kWzCcBxqZLVlyw9Z8e_z0OyT4AH88LYKJB2TJbqBlzONdgBIYbU52psdf0dwfMgXVsdPgxwyUjET-TrmC2EfSGxk3JkDWX_srCmqSrY9w5qLRjl00-AYeEH0BQ7l5clapTrH9teaneqryo8VgKOFSiqTBcy-LiCvKjCqRu_9O9uPJmWk34N_KDpVxv3dfee68L4FFL8OghArfff1_ev7558Qbm3h193Ibm_3qPXXaMVfKjU6oZyyw38GUjDWAWrwqPUMZgrWEPVp5Qle4XoA02K8AAt96Ghx5VXCeI73jNv-ypuly80VL3liQ4i9aUA3bijT8FuOqsAGs6j91ANquJZwrlossen7e7LY5aWekgR4gA7ZRh1plGuAa3bHi24UGygg_NQh04VSVYgwW-Yg99ePPd8ktfof3oC_w0rz7J0fbu5uZWf3u-2dvpJzvJ8z0tRYq_9hnxt3pGueGze5_nlgG53oUDt9EJVjTmnd-zgZL7aldIbSkx6YT1dCQFpSVNxJPpyGB4rSArwzT2bVHsu6K4bYri9Z4oplqJx6wb3CK1uxjLCYX7Qj6T0jy7HsRBcdGjv6Sr6wkeRObI3t9FifomlEfLM-LVrPy4dSk4yCmCJ0pcWVarYcHrCRwYozCreW6JkPiWCz7BghI5b7euGQis8b0gXJZSH8uyJIsk-_1B4Fh6DGAOkzhGzBla8et3JitQfJePZhbbH3Y5O1X5eg_F0_nYVDTixbF56JrYYtU9eT0tw9wxQettuiJKEKzN2haMKD8uSTV2Y49BVYwERNObDmb59MQG7K20RNN6rYLr8a3I07Jm1LQOtpPtwPIgiu7lyPd8azJPHZflUr0ul3UbL6tX94K__ejrfwD2TBm5" id="16" name="Picture"/>
            <a:graphic>
              <a:graphicData uri="http://schemas.openxmlformats.org/drawingml/2006/picture">
                <pic:pic>
                  <pic:nvPicPr>
                    <pic:cNvPr descr="C:/Users/15919/Desktop/论文草稿/temp/manuscript_figures_ijiirjz9/figure_000002.png" id="17" name="Picture"/>
                    <pic:cNvPicPr>
                      <a:picLocks noChangeArrowheads="1" noChangeAspect="1"/>
                    </pic:cNvPicPr>
                  </pic:nvPicPr>
                  <pic:blipFill>
                    <a:blip r:embed="rId15"/>
                    <a:stretch>
                      <a:fillRect/>
                    </a:stretch>
                  </pic:blipFill>
                  <pic:spPr bwMode="auto">
                    <a:xfrm>
                      <a:off x="0" y="0"/>
                      <a:ext cx="5733415" cy="3061262"/>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2 | End-to-end ligand-region detection and identity matching.</w:t>
      </w:r>
      <w:r>
        <w:rPr>
          <w:rFonts w:ascii="Times New Roman" w:hAnsi="Times New Roman"/>
          <w:sz w:val="24"/>
        </w:rPr>
        <w:t xml:space="preserve"> </w:t>
      </w:r>
      <w:r>
        <w:rPr>
          <w:rFonts w:ascii="Times New Roman" w:hAnsi="Times New Roman"/>
          <w:sz w:val="24"/>
        </w:rPr>
        <w:t xml:space="preserve">The curves show the percentage of the 179 test PDB entries with successful predictions within an attempt budget of</w:t>
      </w:r>
      <w:r>
        <w:rPr>
          <w:rFonts w:ascii="Times New Roman" w:hAnsi="Times New Roman"/>
          <w:sz w:val="24"/>
        </w:rPr>
        <w:t xml:space="preserve"> </w:t>
      </w:r>
      <m:oMath>
        <m:r>
          <m:t>K</m:t>
        </m:r>
        <m:r>
          <m:rPr>
            <m:sty m:val="p"/>
          </m:rPr>
          <m:t>=</m:t>
        </m:r>
        <m:r>
          <m:t>1</m:t>
        </m:r>
        <m:r>
          <m:rPr>
            <m:sty m:val="p"/>
          </m:rPr>
          <m:t>–</m:t>
        </m:r>
        <m:r>
          <m:t>10</m:t>
        </m:r>
      </m:oMath>
      <w:r>
        <w:rPr>
          <w:rFonts w:ascii="Times New Roman" w:hAnsi="Times New Roman"/>
          <w:sz w:val="24"/>
        </w:rPr>
        <w:t xml:space="preserve">. Find+Match curves require end-to-end correct region detection and ligand identity matching, whereas Find and Emap2lig-Find curves require only correct region detection. Find and Match denote LigandSeek-Find and LigandSeek-Match, respectively. GT denotes deposited receptor structures, and CA2 denotes CryoAtom2-reconstructed receptor structures.</w:t>
      </w:r>
    </w:p>
    <w:p>
      <w:pPr>
        <w:pStyle w:val="BodyText"/>
        <w:spacing w:line="480" w:lineRule="auto" w:after="120"/>
        <w:ind w:firstLine="480"/>
      </w:pPr>
      <w:r>
        <w:rPr>
          <w:rFonts w:ascii="Times New Roman" w:hAnsi="Times New Roman"/>
          <w:sz w:val="24"/>
        </w:rPr>
        <w:t xml:space="preserve">We first evaluated end-to-end ligand-region detection and identity matching in 179 independent test PDB entries</w:t>
      </w:r>
      <w:r>
        <w:rPr>
          <w:rFonts w:ascii="Times New Roman" w:hAnsi="Times New Roman"/>
          <w:sz w:val="24"/>
        </w:rPr>
        <w:t xml:space="preserve"> </w:t>
      </w:r>
      <w:r>
        <w:rPr>
          <w:rFonts w:ascii="Times New Roman" w:hAnsi="Times New Roman"/>
          <w:sz w:val="24"/>
        </w:rPr>
        <w:t xml:space="preserve">(</w:t>
      </w:r>
      <w:r>
        <w:rPr>
          <w:rStyle w:val="MDFIGREF_eJyrrk7LTC9KTbNKNUrVTczJ0U3LzEvRzU0sSc6orQUApM0LCA"/>
          <w:rFonts w:ascii="Times New Roman" w:hAnsi="Times New Roman"/>
          <w:sz w:val="24"/>
        </w:rPr>
        <w:t xml:space="preserve">Fig. 2</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These entries contained coexisting ligand categories, including small molecules, ions and sugars. Under the strictest single-attempt condition (</w:t>
      </w:r>
      <m:oMath>
        <m:r>
          <m:t>K</m:t>
        </m:r>
        <m:r>
          <m:rPr>
            <m:sty m:val="p"/>
          </m:rPr>
          <m:t>=</m:t>
        </m:r>
        <m:r>
          <m:t>1</m:t>
        </m:r>
      </m:oMath>
      <w:r>
        <w:rPr>
          <w:rFonts w:ascii="Times New Roman" w:hAnsi="Times New Roman"/>
          <w:sz w:val="24"/>
        </w:rPr>
        <w:t xml:space="preserve">), end-to-end region detection and identity matching succeeded in 120 entries (67.0%) with CryoAtom2-reconstructed receptors (CA2), while region detection alone succeeded in 134 entries (74.9%). With deposited receptors (GT), the corresponding counts were 142 (79.3%) for joint success and 148 (82.7%) for region detection alone. As the attempt budget increased to 10, end-to-end success rates rapidly plateaued at 87.7% with CA2 receptors and 92.2% with GT receptors. By comparison, Emap2lig-Find detected ligand regions but could not identify their chemical identities. It detected regions in only 71 entries (39.7%) at</w:t>
      </w:r>
      <w:r>
        <w:rPr>
          <w:rFonts w:ascii="Times New Roman" w:hAnsi="Times New Roman"/>
          <w:sz w:val="24"/>
        </w:rPr>
        <w:t xml:space="preserve"> </w:t>
      </w:r>
      <m:oMath>
        <m:r>
          <m:t>K</m:t>
        </m:r>
        <m:r>
          <m:rPr>
            <m:sty m:val="p"/>
          </m:rPr>
          <m:t>=</m:t>
        </m:r>
        <m:r>
          <m:t>1</m:t>
        </m:r>
      </m:oMath>
      <w:r>
        <w:rPr>
          <w:rFonts w:ascii="Times New Roman" w:hAnsi="Times New Roman"/>
          <w:sz w:val="24"/>
        </w:rPr>
        <w:t xml:space="preserve"> </w:t>
      </w:r>
      <w:r>
        <w:rPr>
          <w:rFonts w:ascii="Times New Roman" w:hAnsi="Times New Roman"/>
          <w:sz w:val="24"/>
        </w:rPr>
        <w:t xml:space="preserve">and 93 entries (52.0%) within</w:t>
      </w:r>
      <w:r>
        <w:rPr>
          <w:rFonts w:ascii="Times New Roman" w:hAnsi="Times New Roman"/>
          <w:sz w:val="24"/>
        </w:rPr>
        <w:t xml:space="preserve"> </w:t>
      </w:r>
      <m:oMath>
        <m:r>
          <m:t>K</m:t>
        </m:r>
        <m:r>
          <m:rPr>
            <m:sty m:val="p"/>
          </m:rPr>
          <m:t>≤</m:t>
        </m:r>
        <m:r>
          <m:t>10</m:t>
        </m:r>
      </m:oMath>
      <w:r>
        <w:rPr>
          <w:rFonts w:ascii="Times New Roman" w:hAnsi="Times New Roman"/>
          <w:sz w:val="24"/>
        </w:rPr>
        <w:t xml:space="preserve">.</w:t>
      </w:r>
    </w:p>
    <w:bookmarkEnd w:id="18"/>
    <w:bookmarkStart w:id="22" w:name="X6e1b63a4e35e6bf9431f623eff6c1e348a6971c"/>
    <w:p>
      <w:pPr>
        <w:pStyle w:val="Heading3"/>
        <w:keepNext/>
        <w:spacing w:line="480" w:lineRule="auto"/>
        <w:ind w:firstLine="0"/>
      </w:pPr>
      <w:r>
        <w:rPr>
          <w:rFonts w:ascii="Times New Roman" w:hAnsi="Times New Roman"/>
          <w:sz w:val="24"/>
        </w:rPr>
        <w:t xml:space="preserve">End-to-end reconstruction of all-atom small-molecule poses</w:t>
      </w:r>
    </w:p>
    <w:p>
      <w:pPr>
        <w:pStyle w:val="CaptionedFigure"/>
        <w:keepNext/>
        <w:spacing w:line="240" w:lineRule="auto" w:before="0" w:after="0"/>
        <w:ind w:firstLine="0"/>
        <w:jc w:val="center"/>
      </w:pPr>
      <w:r>
        <w:rPr>
          <w:rFonts w:ascii="Times New Roman" w:hAnsi="Times New Roman"/>
          <w:sz w:val="24"/>
        </w:rPr>
        <w:drawing>
          <wp:inline>
            <wp:extent cx="5733415" cy="3498320"/>
            <wp:effectExtent b="0" l="0" r="0" t="0"/>
            <wp:docPr descr="Fig. 3 | End-to-end modelling of single-residue organic small molecules with no missing atoms. Curves show the percentage of the 77 test PDB entries with successful predictions within an attempt budget of K = 1–10. Find and Match denote LigandSeek-Find and LigandSeek-Match, respectively. GT and CA2 denote deposited and CryoAtom2-reconstructed receptor structures, respectively. a, Find+Match curves require end-to-end correct region detection and ligand identity matching, whereas Find and Emap2lig-Find curves require only correct region detection. b, c, Success rates for end-to-end pose reconstruction with PocketXMol-tuned using deposited (GT, b) and CryoAtom2-reconstructed (CA2, c) receptor structures across charged attempts K. Success requires RMSD below 2 Å or 3 Å. Solid lines denote top-1 poses selected by model score; dashed lines denote best-of-50 poses." title="MDPPTFIG_eJztWM1uGzcQfhVCpwSVtLJs17WaGHBlOyhqB4KdAgW6hUFxR1rG3CVLciUrTYFegqKHnlL00qLnnvoADdAe8iYFmuQxOkOuZDlxiiBB0Aio4RV_ZvhxODOcIflVw3CfN3qs8fSHR3__9Eey391_-ujhk19-bhvjzxtN1rDgtJpARkz9Xpp-6sC6NF3b3F7bTtM9cGdemzR99tvvT3789tn33z399c80jWhp-iJcyQsgKOhCyxVcqZaRBpQsgaiCGy91eVpwe1YZ5Pu8cWPaM-y8UKXrTW-mjdx700sSJ3IouGtrAyUSR9oW3GPTjpOptpmxWoBzshwXKul2Ou8nBZdl2tghtIENxYmfKWDT3oQrxP244GPox-mJL5lzEO8ZgDlEEV3oX2pNe85wgdMgDq0BgbobnbRRN48rRV288rrGrNlppCwzZBtJ6_xhHNqpmZASBYiSxp-6fqBL73Acd0JKHHNHFuDYbZiyY13wMkyd75buSlpAjRAENgztYaj249pCiWLeWyimuzEX_V4cHgXxZJOwHJLcoJeAnQCyHshxm62z-2y_zFpetwCXWegMlCI16REjqyho4QiZVcDQZLyUggVnQE4FArWGS5Q-Z6VmhQx2ZNzrwrVJAh_leKuqeQMFsBWQsV9h6ZjL9ZT5HJgBK6D0uAXIQtSztcU8OM8Gex8xpFg5N4mrBG2tUaUYAmZS0I6JNFkyjv_eQ2E8G1bZGDzirYA-Ltus6OkjDIt11CleKero0UgK2NOiKlBd85jjc5KjiKB-55MbSRGmqXvizyAUzs9YUYtvgvShLzIPaoCbVwH4nbU3xf3rm4cvQe5c6k9q1byrdmyzAwqrHD8UU-Qsg1J7YIcSg0x2AnDWWjAs9QXeJkMcA-jPE1CzNrt1J7D1d7tzlAyMdtJDHN-3M72LQamLoUzgFvC2EkTDFhivLYs9FaI-B71yG2LVchBfAQ03g6u-F91UxHhs4ctKWsCAu0idQlt0KI-kMcZZdEEPIeIGF1TBhZlE__SS9jmBYbJssmkOFri72A77BTdd5I_-_9x8ulSzl870v7u-bXcdroCGmysg42p7gVgBDTfZSTz-McvxeMjwBLQcrDA9AlvKhhRHwqFxoMUZ-M-OtGr5qsQkWYUz_UVCvXbrTpMNr_9rYr2GqbjJxPWrMizjwmoUS-TcjilBx0OoWwGd_idnz3f_ILdwtJijHDs-OtljQ1B4Zemyxw_w4ojXzMcPkFMrSbkQb-Tzk5rXprUW3BEvOYBXSvKf4SxeRJnDVAcfsoy7HJ4bOMQ7T0uPWpudOPpy8qM7-U7jiyZrLB4oGptb6-sba5vn6xvbH6x3O_dvGCl6-NUW5K9kwczy6QuPFTUCYr0OBg6jnbGAsa_tShYUD5e8XBpHZqQVlpOBFGREaojbk4FFFTpBs_R7SXgkSsIbUVI_ESXLL0QJ7U5cZlnhEGn86UiOaRufyrtS2rv3tpPYcdqhv_W2Kce4EJmRJ61hjV6RsD6YrxFNs5DjQqQoICcNHmIAcqzU_ZyXY9i1VuMJiWcOQQLenBBO6bETMS-GLk0QUZMXlDBU0hxIpWhGqofxscLxxmUBz2ZUHSHPMc4S6JcaC6bkMh61nEEND6dH6MBLL0q8dz6yBZVoOHYe35DYbPGWFPqJDOeeCaLX7opcgthqr62ZkSuUc1Bjnb8FumBUQW46H8Zp-eTQRd6L2pyb6KWOoicXVd5TmA0QZXuzuxlRruQiu-yHF7ClOu95LtW8e7muylpfzizsgt9O4-t_AP1PJ_U" id="20" name="Picture"/>
            <a:graphic>
              <a:graphicData uri="http://schemas.openxmlformats.org/drawingml/2006/picture">
                <pic:pic>
                  <pic:nvPicPr>
                    <pic:cNvPr descr="C:/Users/15919/Desktop/论文草稿/temp/manuscript_figures_ijiirjz9/figure_000003.png" id="21" name="Picture"/>
                    <pic:cNvPicPr>
                      <a:picLocks noChangeArrowheads="1" noChangeAspect="1"/>
                    </pic:cNvPicPr>
                  </pic:nvPicPr>
                  <pic:blipFill>
                    <a:blip r:embed="rId19"/>
                    <a:stretch>
                      <a:fillRect/>
                    </a:stretch>
                  </pic:blipFill>
                  <pic:spPr bwMode="auto">
                    <a:xfrm>
                      <a:off x="0" y="0"/>
                      <a:ext cx="5733415" cy="3498320"/>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3 | End-to-end modelling of single-residue organic small molecules with no missing atoms.</w:t>
      </w:r>
      <w:r>
        <w:rPr>
          <w:rFonts w:ascii="Times New Roman" w:hAnsi="Times New Roman"/>
          <w:sz w:val="24"/>
        </w:rPr>
        <w:t xml:space="preserve"> </w:t>
      </w:r>
      <w:r>
        <w:rPr>
          <w:rFonts w:ascii="Times New Roman" w:hAnsi="Times New Roman"/>
          <w:sz w:val="24"/>
        </w:rPr>
        <w:t xml:space="preserve">Curves show the percentage of the 77 test PDB entries with successful predictions within an attempt budget of</w:t>
      </w:r>
      <w:r>
        <w:rPr>
          <w:rFonts w:ascii="Times New Roman" w:hAnsi="Times New Roman"/>
          <w:sz w:val="24"/>
        </w:rPr>
        <w:t xml:space="preserve"> </w:t>
      </w:r>
      <m:oMath>
        <m:r>
          <m:t>K</m:t>
        </m:r>
        <m:r>
          <m:rPr>
            <m:sty m:val="p"/>
          </m:rPr>
          <m:t>=</m:t>
        </m:r>
        <m:r>
          <m:t>1</m:t>
        </m:r>
        <m:r>
          <m:rPr>
            <m:sty m:val="p"/>
          </m:rPr>
          <m:t>–</m:t>
        </m:r>
        <m:r>
          <m:t>10</m:t>
        </m:r>
      </m:oMath>
      <w:r>
        <w:rPr>
          <w:rFonts w:ascii="Times New Roman" w:hAnsi="Times New Roman"/>
          <w:sz w:val="24"/>
        </w:rPr>
        <w:t xml:space="preserve">. Find and Match denote LigandSeek-Find and LigandSeek-Match, respectively. GT and CA2 denote deposited and CryoAtom2-reconstructed receptor structures, respectively.</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 Find+Match curves require end-to-end correct region detection and ligand identity matching, whereas Find and Emap2lig-Find curves require only correct region detection.</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Success rates for end-to-end pose reconstruction with PocketXMol-tuned using deposited (GT, b) and CryoAtom2-reconstructed (CA2, c) receptor structures across charged attempts</w:t>
      </w:r>
      <w:r>
        <w:rPr>
          <w:rFonts w:ascii="Times New Roman" w:hAnsi="Times New Roman"/>
          <w:sz w:val="24"/>
        </w:rPr>
        <w:t xml:space="preserve"> </w:t>
      </w:r>
      <m:oMath>
        <m:r>
          <m:t>K</m:t>
        </m:r>
      </m:oMath>
      <w:r>
        <w:rPr>
          <w:rFonts w:ascii="Times New Roman" w:hAnsi="Times New Roman"/>
          <w:sz w:val="24"/>
        </w:rPr>
        <w:t xml:space="preserve">. Success requires RMSD below 2 Å or 3 Å. Solid lines denote top-1 poses selected by model score; dashed lines denote best-of-50 poses.</w:t>
      </w:r>
    </w:p>
    <w:p>
      <w:pPr>
        <w:pStyle w:val="BodyText"/>
        <w:spacing w:line="480" w:lineRule="auto" w:after="120"/>
        <w:ind w:firstLine="480"/>
      </w:pPr>
      <w:r>
        <w:rPr>
          <w:rFonts w:ascii="Times New Roman" w:hAnsi="Times New Roman"/>
          <w:sz w:val="24"/>
        </w:rPr>
        <w:t xml:space="preserve">We evaluated the full end-to-end reconstruction pipeline (detection, matching, and pose reconstruction) for single-residue organic small molecules with no missing atoms across 77 PDB entries which contain at least one of them</w:t>
      </w:r>
      <w:r>
        <w:rPr>
          <w:rFonts w:ascii="Times New Roman" w:hAnsi="Times New Roman"/>
          <w:sz w:val="24"/>
        </w:rPr>
        <w:t xml:space="preserve"> </w:t>
      </w:r>
      <w:r>
        <w:rPr>
          <w:rFonts w:ascii="Times New Roman" w:hAnsi="Times New Roman"/>
          <w:sz w:val="24"/>
        </w:rPr>
        <w:t xml:space="preserve">(</w:t>
      </w:r>
      <w:r>
        <w:rPr>
          <w:rStyle w:val="MDFIGREF_eJyrrk7LTC9KTbNKNUrVLc5NzMnRLcgsSM3JzEutSdJJrq0FANjnDNA"/>
          <w:rFonts w:ascii="Times New Roman" w:hAnsi="Times New Roman"/>
          <w:sz w:val="24"/>
        </w:rPr>
        <w:t xml:space="preserve">Fig. 3b, c</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 all evaluations, PocketXMol-tuned used the centroid of the ligand region predicted by Find to define the binding site and pocket, without relying on ground-truth ligand coordinates. We tested the pipeline using both deposited receptors</w:t>
      </w:r>
      <w:r>
        <w:rPr>
          <w:rFonts w:ascii="Times New Roman" w:hAnsi="Times New Roman"/>
          <w:sz w:val="24"/>
        </w:rPr>
        <w:t xml:space="preserve"> </w:t>
      </w:r>
      <w:r>
        <w:rPr>
          <w:rFonts w:ascii="Times New Roman" w:hAnsi="Times New Roman"/>
          <w:sz w:val="24"/>
        </w:rPr>
        <w:t xml:space="preserve">(</w:t>
      </w:r>
      <w:r>
        <w:rPr>
          <w:rStyle w:val="MDFIGREF_eJyrrk7LTC9KTbNKNUrVLc5NzMnRLcgsSM3JzEutSaqtBQDAgAxB"/>
          <w:rFonts w:ascii="Times New Roman" w:hAnsi="Times New Roman"/>
          <w:sz w:val="24"/>
        </w:rPr>
        <w:t xml:space="preserve">Fig. 3b</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CryoAtom2-reconstructed receptors</w:t>
      </w:r>
      <w:r>
        <w:rPr>
          <w:rFonts w:ascii="Times New Roman" w:hAnsi="Times New Roman"/>
          <w:sz w:val="24"/>
        </w:rPr>
        <w:t xml:space="preserve"> </w:t>
      </w:r>
      <w:r>
        <w:rPr>
          <w:rFonts w:ascii="Times New Roman" w:hAnsi="Times New Roman"/>
          <w:sz w:val="24"/>
        </w:rPr>
        <w:t xml:space="preserve">(</w:t>
      </w:r>
      <w:r>
        <w:rPr>
          <w:rStyle w:val="MDFIGREF_eJyrrk7LTC9KTbNKNUrVLc5NzMnRLcgsSM3JzEutSa6tBQDAgwxC"/>
          <w:rFonts w:ascii="Times New Roman" w:hAnsi="Times New Roman"/>
          <w:sz w:val="24"/>
        </w:rPr>
        <w:t xml:space="preserve">Fig. 3c</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where in the latter, no deposited structural information was used at any stage of the pipeline.</w:t>
      </w:r>
    </w:p>
    <w:p>
      <w:pPr>
        <w:pStyle w:val="BodyText"/>
        <w:spacing w:line="480" w:lineRule="auto" w:after="120"/>
        <w:ind w:firstLine="480"/>
      </w:pPr>
      <w:r>
        <w:rPr>
          <w:rFonts w:ascii="Times New Roman" w:hAnsi="Times New Roman"/>
          <w:sz w:val="24"/>
        </w:rPr>
        <w:t xml:space="preserve">The strictest evaluation allowed one attempt (</w:t>
      </w:r>
      <m:oMath>
        <m:r>
          <m:t>K</m:t>
        </m:r>
        <m:r>
          <m:rPr>
            <m:sty m:val="p"/>
          </m:rPr>
          <m:t>=</m:t>
        </m:r>
        <m:r>
          <m:t>1</m:t>
        </m:r>
      </m:oMath>
      <w:r>
        <w:rPr>
          <w:rFonts w:ascii="Times New Roman" w:hAnsi="Times New Roman"/>
          <w:sz w:val="24"/>
        </w:rPr>
        <w:t xml:space="preserve">), selected only the top-1 pose and required RMSD &lt; 2 Å. Under this criterion, 34/77 entries (44.2%) succeeded with CryoAtom2-reconstructed receptors, compared with 44/77 (57.1%) with deposited receptors. At RMSD &lt; 3 Å, the corresponding counts were 41/77 (53.2%) and 50/77 (64.9%). Allowing up to 10 charged attempts (</w:t>
      </w:r>
      <m:oMath>
        <m:r>
          <m:t>K</m:t>
        </m:r>
        <m:r>
          <m:rPr>
            <m:sty m:val="p"/>
          </m:rPr>
          <m:t>≤</m:t>
        </m:r>
        <m:r>
          <m:t>10</m:t>
        </m:r>
      </m:oMath>
      <w:r>
        <w:rPr>
          <w:rFonts w:ascii="Times New Roman" w:hAnsi="Times New Roman"/>
          <w:sz w:val="24"/>
        </w:rPr>
        <w:t xml:space="preserve">) increased top-1 success with CryoAtom2-reconstructed receptors to 46/77 entries (59.7%) at RMSD &lt; 2 Å and 52/77 (67.5%) at RMSD &lt; 3 Å. With deposited receptors, 51/77 entries (66.2%) and 55/77 (71.4%) achieved success at RMSD &lt; 2 Å and &lt; 3 Å, respectively.</w:t>
      </w:r>
    </w:p>
    <w:p>
      <w:pPr>
        <w:pStyle w:val="BodyText"/>
        <w:spacing w:line="480" w:lineRule="auto" w:after="120"/>
        <w:ind w:firstLine="480"/>
      </w:pPr>
      <w:r>
        <w:rPr>
          <w:rFonts w:ascii="Times New Roman" w:hAnsi="Times New Roman"/>
          <w:sz w:val="24"/>
        </w:rPr>
        <w:t xml:space="preserve">For best-of-50 poses within</w:t>
      </w:r>
      <w:r>
        <w:rPr>
          <w:rFonts w:ascii="Times New Roman" w:hAnsi="Times New Roman"/>
          <w:sz w:val="24"/>
        </w:rPr>
        <w:t xml:space="preserve"> </w:t>
      </w:r>
      <m:oMath>
        <m:r>
          <m:t>K</m:t>
        </m:r>
        <m:r>
          <m:rPr>
            <m:sty m:val="p"/>
          </m:rPr>
          <m:t>≤</m:t>
        </m:r>
        <m:r>
          <m:t>10</m:t>
        </m:r>
      </m:oMath>
      <w:r>
        <w:rPr>
          <w:rFonts w:ascii="Times New Roman" w:hAnsi="Times New Roman"/>
          <w:sz w:val="24"/>
        </w:rPr>
        <w:t xml:space="preserve">, success at RMSD &lt; 2 Å reached 67.5% and 75.3% with CryoAtom2-reconstructed and deposited receptors, respectively. At RMSD &lt; 3 Å, the corresponding success rates were 75.3% and 76.6%.</w:t>
      </w:r>
    </w:p>
    <w:p>
      <w:pPr>
        <w:pStyle w:val="BodyText"/>
        <w:spacing w:line="480" w:lineRule="auto" w:after="120"/>
        <w:ind w:firstLine="480"/>
      </w:pPr>
      <w:r>
        <w:rPr>
          <w:rStyle w:val="MDFIGREF_eJyrrk7LTC9KTbNKNUrVLc5NzMnRLcgsSM3JzEutSaytBQDAfQxA"/>
          <w:rFonts w:ascii="Times New Roman" w:hAnsi="Times New Roman"/>
          <w:sz w:val="24"/>
        </w:rPr>
        <w:t xml:space="preserve">Fig. 3a</w:t>
      </w:r>
      <w:r>
        <w:rPr>
          <w:rFonts w:ascii="Times New Roman" w:hAnsi="Times New Roman"/>
          <w:sz w:val="24"/>
        </w:rPr>
        <w:t xml:space="preserve"> </w:t>
      </w:r>
      <w:r>
        <w:rPr>
          <w:rFonts w:ascii="Times New Roman" w:hAnsi="Times New Roman"/>
          <w:sz w:val="24"/>
        </w:rPr>
        <w:t xml:space="preserve">further separates the success rates of individual pipeline stages. Within the first 10 charged attempts (</w:t>
      </w:r>
      <m:oMath>
        <m:r>
          <m:t>K</m:t>
        </m:r>
        <m:r>
          <m:rPr>
            <m:sty m:val="p"/>
          </m:rPr>
          <m:t>≤</m:t>
        </m:r>
        <m:r>
          <m:t>10</m:t>
        </m:r>
      </m:oMath>
      <w:r>
        <w:rPr>
          <w:rFonts w:ascii="Times New Roman" w:hAnsi="Times New Roman"/>
          <w:sz w:val="24"/>
        </w:rPr>
        <w:t xml:space="preserve">), Find alone succeeded in 88.3% and 89.6% of entries with CryoAtom2-reconstructed and deposited receptors, respectively. Both exceeded Emap2lig-Find’s success rate of 70.1% in this subset. Requiring both Find and Match to succeed yielded rates of 81.8% and 83.1%, respectively.</w:t>
      </w:r>
    </w:p>
    <w:bookmarkEnd w:id="22"/>
    <w:bookmarkEnd w:id="23"/>
    <w:bookmarkStart w:id="27" w:name="X9c1e71af165d87e9c7616a17e64efc2f5522419"/>
    <w:p>
      <w:pPr>
        <w:pStyle w:val="Heading2"/>
        <w:keepNext/>
        <w:spacing w:line="480" w:lineRule="auto"/>
        <w:ind w:firstLine="0"/>
      </w:pPr>
      <w:r>
        <w:rPr>
          <w:rFonts w:ascii="Times New Roman" w:hAnsi="Times New Roman"/>
          <w:sz w:val="24"/>
        </w:rPr>
        <w:t xml:space="preserve">Find–Build comparison with correct ligand identities</w:t>
      </w:r>
    </w:p>
    <w:p>
      <w:pPr>
        <w:pStyle w:val="FirstParagraph"/>
        <w:spacing w:line="480" w:lineRule="auto" w:after="120"/>
        <w:ind w:firstLine="480"/>
      </w:pPr>
      <w:r>
        <w:rPr>
          <w:rFonts w:ascii="Times New Roman" w:hAnsi="Times New Roman"/>
          <w:sz w:val="24"/>
        </w:rPr>
        <w:t xml:space="preserve">Full completion curves and per-PDB distributions for the Find–Build comparison with correct ligand identities are shown in</w:t>
      </w:r>
      <w:r>
        <w:rPr>
          <w:rFonts w:ascii="Times New Roman" w:hAnsi="Times New Roman"/>
          <w:sz w:val="24"/>
        </w:rPr>
        <w:t xml:space="preserve"> </w:t>
      </w:r>
      <w:r>
        <w:rPr>
          <w:rStyle w:val="MDFIGREF_eJyrrk7LTC9KTbMqLi0o0E3LzEvRTc4vKkpNLtHNTSxJztBNKs3MSamtBQBErw_K"/>
          <w:rFonts w:ascii="Times New Roman" w:hAnsi="Times New Roman"/>
          <w:sz w:val="24"/>
        </w:rPr>
        <w:t xml:space="preserve">Fig. 4</w:t>
      </w:r>
      <w:r>
        <w:rPr>
          <w:rFonts w:ascii="Times New Roman" w:hAnsi="Times New Roman"/>
          <w:sz w:val="24"/>
        </w:rPr>
        <w:t xml:space="preserve">.</w:t>
      </w:r>
    </w:p>
    <w:p>
      <w:pPr>
        <w:pStyle w:val="CaptionedFigure"/>
        <w:keepNext/>
        <w:spacing w:line="240" w:lineRule="auto" w:before="0" w:after="0"/>
        <w:ind w:firstLine="0"/>
        <w:jc w:val="center"/>
      </w:pPr>
      <w:r>
        <w:rPr>
          <w:rFonts w:ascii="Times New Roman" w:hAnsi="Times New Roman"/>
          <w:sz w:val="24"/>
        </w:rPr>
        <w:drawing>
          <wp:inline>
            <wp:extent cx="5029200" cy="6218691"/>
            <wp:effectExtent b="0" l="0" r="0" t="0"/>
            <wp:docPr descr="Fig. 4 | Find–Build completion of single-residue organic small molecules with no missing atoms, assuming correct ligand identities. Every panel contains the same 77 PDBs and 446 instances. a–d, Emap2lig. e–h, LigandSeek with CryoAtom2 receptors. i–l, LigandSeek with deposited receptors. Within each group, top and bottom rows show top-1 and best-of-50 poses; left and right columns require heavy-atom RMSD strictly &lt;2\,\mathrm{Å} and &lt;3\,\mathrm{Å}. Every blob corresponding to an eligible small molecule receives the correct SMILES. LigandSeek uses single-pass PocketXMol-tuned centre docking, whereas Emap2lig uses its native guiding blob. Background blobs are charged, and out-of-scope foreground blobs are skipped. Undetected and failed instances remain in the denominator. For N target instances per PDB, relative budget \rho allows \lfloor\rho N\rfloor charged attempts. Completion is the number of distinct successful instances divided by N. Green lines and circles show the PDB-equal mean, and blue lines and diamonds show the median. Grey points and violins show PDB distributions at 50\%, 100\%, 200\% and 300\% budgets." title="MDPPTFIG_eJztWs1uGzcQfpWBgPYkaW3VdmolMZD4JwhgG4bdoAWqwqC4Iy0jLsmQXMlKUyA9FEX6c0rRS4uee-oDNEB76AP0HQI0yWN0uFzJcuwCaZIGESoD8nI5Mx9nOEPOiOKnNcN8VmtD7el3j_764bdku7X99NHDJz_92DTGn9TqULPotBxiGpg2253OLYfWdTrLq-vL653OFrqB16bTefbLr0--__LZtw-e_vx7pxPROp3zcIrlGKBcYUyjJ1Ta4Npa5L6RM8-zRrcQMg2MqXBGsvHxSKRRw9XmqlCBwpnxQqvjnNlBYYj0ce3KqG3gJJfKtUdXO7XMe9NOEsczzJlraoOKiD1taQx6tf1kpG1qrObonFD9XCatpaW1JGdCdWobAe3Alo8jP5YIo_aQScK9mbM-bsbhA18y4Qi8A0Szjyd-yr1UsUwIE6ZdodBNKdXbqO0M46QLiUvqIvnWCiFUr4eFDF2s8LpCrdiDJM0isfWEdX43ik6GJkrUMpoT_1XtHa28IznmuBAk84HI0cE-juBQ50yVQ2fXlLuQVqJGiADWLd-7ZXMz2lY-Sc270_lorUxUvxvFoyI-OK40J2huKN7QDpFYd0S_CStwD3bIjMf3H14PoQFc50Zi8ADoHgTvSWyQkEgLBHItU4KDy5mUkGuJnCaOrBQ-A6UhF6W_gXmduzow54o8vFcxCFKQfAoiReWFF-iaQVEf1f1PZ_AV5gnmQMftIdoxGKZQ0mQrTwvNgc8QHO0HcOkSHGxddxDmfmVlDYjomaLF2QRGjk_rsJ0z05IhIJA6sjrslp46QhxE527asb5GXm0BORKN15aEBfHK87wpGu2Ex3SW90OiCAXIeAZ9qwtTB9rYSpW62hMyWD1y4DI9CoTGciSh8w3da6wuAWGiuwwSe74kWdHPPBkri5xstXinEBYhQzYcN0L8weHe0RY4bwX3cjwHPjwbZ3lb71HuqHbd_IV2Xd3rCY5bmhc5LbDJnuuzoEceQUsl8rbzY8grPU2pZtlXPisWv_Gu9JdDh4_dUwy_0bq4-_H9BxcR_s2Yf3xxBiGppmE-fPZ26kiLZQ60nKPof28R_dFnTYh5pyt1N-Z4Z7RKQ8b3mjZpQEopoksV3tmCocwLYogxRU2Kg6O9m7vbR83ZdFLQlj-pQQxVE3Cg-QD9R3taNnyhKMNwcjVt-yn1E1sdRhlaZG6a0CKEoNlSzNOQ0C9EqWDQuQnXGR-EbBRSDXVQiiQwnjHbR8qKIc3ookxAjlPEAYUbnmN3A2EMpk24pVL0ZAmpFSR7TEhqTpMtWR0KYOoozaYaSFNxRKnKNmFH28UanSyk_blaBPOQAnwIaD8TigZtKAnrFJMyrotukRLLHNjyhoLwz88XUfi6CxEpqcSfA0Xfulrk8TdfXVxzPBel_7CFvtSIXy_i_zXrWNUVwLzH3FCkwObpYYuIxZAq8i7tzboHqXBeKKqLXMHDOVqvkDMbeCqGIiWs7uKb7ZzWDU24YREVhOPHeDTDheXhNC2egVAwUIZu4J2CUeWMTMV6tCsLnJFJBcup5J4RypH6VIk-BqNFMDZwDoWW4VSoZCTkMsCs6BYh_IhlkfungbS69Krb5ztzFYr1hesnrl9eWvj-rdPxDfm-9X_z_TwUTYvTy9mTx0WEvn06xpOT537KpP9mo_ZJHWrTn9Frq0utdfLryVpr-f219eV7V4zgbfpUccJeKE5Sy0bnflKvEAjrZTBIzBcWpzD2pQM2niZROZkJ48IsBgvV8EDwMIfhhe8PDyyk6HgYZbOdlPcdkvK6Q1LddkhmLzsk4bsSmakKEhHGH_dEn5R1x-K2EPb23fUkdhwvhb-VplF9MkSkwZFr1AoXIqh9MLGRXDPV41SlqCALM7ir-cCB0psZU328Zq0eZchSRyDLAW9CcAa5j52EeSo6M0BETc5NQlcKsyOkDCOGdikfG4xWrEXPs9DsEc8hjVLSz7xMmZKzeOHNGZrh7mhPp7NXGlj7pGfz8CTHwcnV8hIDjK9OLjOU_YEcrljwQK_Clbh4YKuitmIu71skp6DGOn8DdQ6hQdzhRD8Oy4a7LvKetibcga50VD05bbK2VBAumqyvtlYjyoVcwS_b5RWMmTZreybkpHu2LVU1X85M_UKfjdpnfwP0lCm1" id="25" name="Picture"/>
            <a:graphic>
              <a:graphicData uri="http://schemas.openxmlformats.org/drawingml/2006/picture">
                <pic:pic>
                  <pic:nvPicPr>
                    <pic:cNvPr descr="C:/Users/15919/Desktop/论文草稿/temp/manuscript_figures_ijiirjz9/figure_000004.png" id="26" name="Picture"/>
                    <pic:cNvPicPr>
                      <a:picLocks noChangeArrowheads="1" noChangeAspect="1"/>
                    </pic:cNvPicPr>
                  </pic:nvPicPr>
                  <pic:blipFill>
                    <a:blip r:embed="rId24"/>
                    <a:stretch>
                      <a:fillRect/>
                    </a:stretch>
                  </pic:blipFill>
                  <pic:spPr bwMode="auto">
                    <a:xfrm>
                      <a:off x="0" y="0"/>
                      <a:ext cx="5029200" cy="6218691"/>
                    </a:xfrm>
                    <a:prstGeom prst="rect">
                      <a:avLst/>
                    </a:prstGeom>
                    <a:noFill/>
                    <a:ln w="9525">
                      <a:noFill/>
                      <a:headEnd/>
                      <a:tailEnd/>
                    </a:ln>
                  </pic:spPr>
                </pic:pic>
              </a:graphicData>
            </a:graphic>
          </wp:inline>
        </w:drawing>
      </w:r>
    </w:p>
    <w:p>
      <w:pPr>
        <w:pStyle w:val="ImageCaption"/>
        <w:keepNext w:val="0"/>
        <w:keepLines/>
        <w:spacing w:line="240" w:lineRule="auto"/>
        <w:ind w:firstLine="0"/>
      </w:pPr>
      <w:r>
        <w:rPr>
          <w:rFonts w:ascii="Times New Roman" w:hAnsi="Times New Roman"/>
          <w:b/>
          <w:bCs/>
          <w:sz w:val="24"/>
        </w:rPr>
        <w:t xml:space="preserve">Fig. 4 | Find–Build completion of single-residue organic small molecules with no missing atoms, assuming correct ligand identities.</w:t>
      </w:r>
      <w:r>
        <w:rPr>
          <w:rFonts w:ascii="Times New Roman" w:hAnsi="Times New Roman"/>
          <w:sz w:val="24"/>
        </w:rPr>
        <w:t xml:space="preserve"> </w:t>
      </w:r>
      <w:r>
        <w:rPr>
          <w:rFonts w:ascii="Times New Roman" w:hAnsi="Times New Roman"/>
          <w:sz w:val="24"/>
        </w:rPr>
        <w:t xml:space="preserve">Every panel contains the same 77 PDBs and 446 instances. a–d, Emap2lig. e–h, LigandSeek with CryoAtom2 receptors. i–l, LigandSeek with deposited receptors. Within each group, top and bottom rows show top-1 and best-of-50 poses; left and right columns require heavy-atom RMSD strictly</w:t>
      </w:r>
      <w:r>
        <w:rPr>
          <w:rFonts w:ascii="Times New Roman" w:hAnsi="Times New Roman"/>
          <w:sz w:val="24"/>
        </w:rPr>
        <w:t xml:space="preserve"> </w:t>
      </w:r>
      <m:oMath>
        <m:r>
          <m:rPr>
            <m:sty m:val="p"/>
          </m:rPr>
          <m:t>&lt;</m:t>
        </m:r>
        <m:r>
          <m:t>2</m:t>
        </m:r>
        <m:r>
          <m:t> </m:t>
        </m:r>
        <m:r>
          <m:rPr>
            <m:sty m:val="p"/>
          </m:rPr>
          <m:t>Å</m:t>
        </m:r>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r>
          <m:rPr>
            <m:sty m:val="p"/>
          </m:rPr>
          <m:t>&lt;</m:t>
        </m:r>
        <m:r>
          <m:t>3</m:t>
        </m:r>
        <m:r>
          <m:t> </m:t>
        </m:r>
        <m:r>
          <m:rPr>
            <m:sty m:val="p"/>
          </m:rPr>
          <m:t>Å</m:t>
        </m:r>
      </m:oMath>
      <w:r>
        <w:rPr>
          <w:rFonts w:ascii="Times New Roman" w:hAnsi="Times New Roman"/>
          <w:sz w:val="24"/>
        </w:rPr>
        <w:t xml:space="preserve">. Every blob corresponding to an eligible small molecule receives the correct SMILES. LigandSeek uses single-pass PocketXMol-tuned centre docking, whereas Emap2lig uses its native guiding blob. Background blobs are charged, and out-of-scope foreground blobs are skipped. Undetected and failed instances remain in the denominator. For</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target instances per PDB, relative budget</w:t>
      </w:r>
      <w:r>
        <w:rPr>
          <w:rFonts w:ascii="Times New Roman" w:hAnsi="Times New Roman"/>
          <w:sz w:val="24"/>
        </w:rPr>
        <w:t xml:space="preserve"> </w:t>
      </w:r>
      <m:oMath>
        <m:r>
          <m:t>ρ</m:t>
        </m:r>
      </m:oMath>
      <w:r>
        <w:rPr>
          <w:rFonts w:ascii="Times New Roman" w:hAnsi="Times New Roman"/>
          <w:sz w:val="24"/>
        </w:rPr>
        <w:t xml:space="preserve"> </w:t>
      </w:r>
      <w:r>
        <w:rPr>
          <w:rFonts w:ascii="Times New Roman" w:hAnsi="Times New Roman"/>
          <w:sz w:val="24"/>
        </w:rPr>
        <w:t xml:space="preserve">allows</w:t>
      </w:r>
      <w:r>
        <w:rPr>
          <w:rFonts w:ascii="Times New Roman" w:hAnsi="Times New Roman"/>
          <w:sz w:val="24"/>
        </w:rPr>
        <w:t xml:space="preserve"> </w:t>
      </w:r>
      <m:oMath>
        <m:r>
          <m:rPr>
            <m:sty m:val="p"/>
          </m:rPr>
          <m:t>⌊</m:t>
        </m:r>
        <m:r>
          <m:t>ρ</m:t>
        </m:r>
        <m:r>
          <m:t>N</m:t>
        </m:r>
        <m:r>
          <m:rPr>
            <m:sty m:val="p"/>
          </m:rPr>
          <m:t>⌋</m:t>
        </m:r>
      </m:oMath>
      <w:r>
        <w:rPr>
          <w:rFonts w:ascii="Times New Roman" w:hAnsi="Times New Roman"/>
          <w:sz w:val="24"/>
        </w:rPr>
        <w:t xml:space="preserve"> </w:t>
      </w:r>
      <w:r>
        <w:rPr>
          <w:rFonts w:ascii="Times New Roman" w:hAnsi="Times New Roman"/>
          <w:sz w:val="24"/>
        </w:rPr>
        <w:t xml:space="preserve">charged attempts. Completion is the number of distinct successful instances divided by</w:t>
      </w:r>
      <w:r>
        <w:rPr>
          <w:rFonts w:ascii="Times New Roman" w:hAnsi="Times New Roman"/>
          <w:sz w:val="24"/>
        </w:rPr>
        <w:t xml:space="preserve"> </w:t>
      </w:r>
      <m:oMath>
        <m:r>
          <m:t>N</m:t>
        </m:r>
      </m:oMath>
      <w:r>
        <w:rPr>
          <w:rFonts w:ascii="Times New Roman" w:hAnsi="Times New Roman"/>
          <w:sz w:val="24"/>
        </w:rPr>
        <w:t xml:space="preserve">. Green lines and circles show the PDB-equal mean, and blue lines and diamonds show the median. Grey points and violins show PDB distributions at</w:t>
      </w:r>
      <w:r>
        <w:rPr>
          <w:rFonts w:ascii="Times New Roman" w:hAnsi="Times New Roman"/>
          <w:sz w:val="24"/>
        </w:rPr>
        <w:t xml:space="preserve"> </w:t>
      </w:r>
      <m:oMath>
        <m:r>
          <m:t>50</m:t>
        </m:r>
        <m:r>
          <m:rPr>
            <m:sty m:val="p"/>
          </m:rPr>
          <m:t>%</m:t>
        </m:r>
      </m:oMath>
      <w:r>
        <w:rPr>
          <w:rFonts w:ascii="Times New Roman" w:hAnsi="Times New Roman"/>
          <w:sz w:val="24"/>
        </w:rPr>
        <w:t xml:space="preserve">,</w:t>
      </w:r>
      <w:r>
        <w:rPr>
          <w:rFonts w:ascii="Times New Roman" w:hAnsi="Times New Roman"/>
          <w:sz w:val="24"/>
        </w:rPr>
        <w:t xml:space="preserve"> </w:t>
      </w:r>
      <m:oMath>
        <m:r>
          <m:t>100</m:t>
        </m:r>
        <m:r>
          <m:rPr>
            <m:sty m:val="p"/>
          </m:rPr>
          <m:t>%</m:t>
        </m:r>
      </m:oMath>
      <w:r>
        <w:rPr>
          <w:rFonts w:ascii="Times New Roman" w:hAnsi="Times New Roman"/>
          <w:sz w:val="24"/>
        </w:rPr>
        <w:t xml:space="preserve">,</w:t>
      </w:r>
      <w:r>
        <w:rPr>
          <w:rFonts w:ascii="Times New Roman" w:hAnsi="Times New Roman"/>
          <w:sz w:val="24"/>
        </w:rPr>
        <w:t xml:space="preserve"> </w:t>
      </w:r>
      <m:oMath>
        <m:r>
          <m:t>200</m:t>
        </m:r>
        <m:r>
          <m:rPr>
            <m:sty m:val="p"/>
          </m:rPr>
          <m:t>%</m:t>
        </m:r>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r>
          <m:t>300</m:t>
        </m:r>
        <m:r>
          <m:rPr>
            <m:sty m:val="p"/>
          </m:rPr>
          <m:t>%</m:t>
        </m:r>
      </m:oMath>
      <w:r>
        <w:rPr>
          <w:rFonts w:ascii="Times New Roman" w:hAnsi="Times New Roman"/>
          <w:sz w:val="24"/>
        </w:rPr>
        <w:t xml:space="preserve"> </w:t>
      </w:r>
      <w:r>
        <w:rPr>
          <w:rFonts w:ascii="Times New Roman" w:hAnsi="Times New Roman"/>
          <w:sz w:val="24"/>
        </w:rPr>
        <w:t xml:space="preserve">budgets.</w:t>
      </w:r>
    </w:p>
    <w:bookmarkEnd w:id="27"/>
    <w:bookmarkEnd w:id="28"/>
    <w:sectPr>
      <w:footnotePr>
        <w:numRestart w:val="eachSect"/>
      </w:footnotePr>
      <w:pgSz w:w="11909" w:h="16834"/>
      <w:pgMar w:top="1440" w:bottom="1440" w:left="1440" w:right="1440"/>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120"/>
    </w:pPr>
    <w:rPr>
      <w:rFonts w:ascii="Times New Roman" w:hAnsi="Times New Roman"/>
      <w:color w:val="000000"/>
      <w:sz w:val="24"/>
    </w:rPr>
  </w:style>
  <w:style w:styleId="BodyText" w:type="paragraph">
    <w:name w:val="Body Text"/>
    <w:basedOn w:val="Normal"/>
    <w:link w:val="BodyTextChar"/>
    <w:qFormat/>
    <w:pPr>
      <w:spacing w:after="120" w:before="0" w:line="480" w:lineRule="auto"/>
    </w:pPr>
    <w:rPr>
      <w:rFonts w:ascii="Times New Roman" w:hAnsi="Times New Roman"/>
      <w:color w:val="000000"/>
      <w:sz w:val="24"/>
    </w:rPr>
  </w:style>
  <w:style w:customStyle="1" w:styleId="FirstParagraph" w:type="paragraph">
    <w:name w:val="First Paragraph"/>
    <w:basedOn w:val="BodyText"/>
    <w:next w:val="BodyText"/>
    <w:qFormat/>
    <w:pPr>
      <w:spacing w:line="480" w:lineRule="auto" w:before="0" w:after="120"/>
    </w:pPr>
    <w:rPr>
      <w:rFonts w:ascii="Times New Roman" w:hAnsi="Times New Roman"/>
      <w:color w:val="000000"/>
      <w:sz w:val="24"/>
    </w:rPr>
  </w:style>
  <w:style w:customStyle="1" w:styleId="Compact" w:type="paragraph">
    <w:name w:val="Compact"/>
    <w:basedOn w:val="BodyText"/>
    <w:qFormat/>
    <w:pPr>
      <w:spacing w:after="120" w:before="0" w:line="480" w:lineRule="auto"/>
    </w:pPr>
    <w:rPr>
      <w:rFonts w:ascii="Times New Roman" w:hAnsi="Times New Roman"/>
      <w:color w:val="000000"/>
      <w:sz w:val="24"/>
    </w:rPr>
  </w:style>
  <w:style w:styleId="Title" w:type="paragraph">
    <w:name w:val="Title"/>
    <w:basedOn w:val="Normal"/>
    <w:next w:val="BodyText"/>
    <w:link w:val="TitleChar"/>
    <w:uiPriority w:val="10"/>
    <w:qFormat/>
    <w:rsid w:val="00A10FD9"/>
    <w:pPr>
      <w:spacing w:after="120" w:line="480" w:lineRule="auto" w:before="0"/>
      <w:contextualSpacing/>
      <w:jc w:val="center"/>
    </w:pPr>
    <w:rPr>
      <w:rFonts w:asciiTheme="majorHAnsi" w:cstheme="majorBidi" w:eastAsiaTheme="majorEastAsia" w:hAnsiTheme="majorHAnsi" w:ascii="Times New Roman" w:hAnsi="Times New Roman"/>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before="0" w:after="120"/>
    </w:pPr>
    <w:rPr>
      <w:rFonts w:cstheme="majorBidi" w:eastAsiaTheme="majorEastAsia" w:ascii="Times New Roman" w:hAnsi="Times New Roman"/>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480" w:lineRule="auto" w:before="0" w:after="120"/>
    </w:pPr>
    <w:rPr>
      <w:rFonts w:ascii="Times New Roman" w:hAnsi="Times New Roman"/>
      <w:color w:val="000000"/>
      <w:sz w:val="24"/>
      <w:szCs w:val="24"/>
    </w:rPr>
  </w:style>
  <w:style w:styleId="Date" w:type="paragraph">
    <w:name w:val="Date"/>
    <w:basedOn w:val="Title"/>
    <w:next w:val="BodyText"/>
    <w:qFormat/>
    <w:pPr>
      <w:keepNext/>
      <w:keepLines/>
      <w:spacing w:line="480" w:lineRule="auto" w:before="0" w:after="120"/>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120" w:before="0" w:line="480" w:lineRule="auto"/>
      <w:jc w:val="center"/>
    </w:pPr>
    <w:rPr>
      <w:rFonts w:ascii="Times New Roman" w:hAnsi="Times New Roman"/>
      <w:b/>
      <w:color w:val="000000"/>
      <w:sz w:val="24"/>
      <w:szCs w:val="20"/>
    </w:rPr>
  </w:style>
  <w:style w:customStyle="1" w:styleId="Abstract" w:type="paragraph">
    <w:name w:val="Abstract"/>
    <w:basedOn w:val="Normal"/>
    <w:next w:val="BodyText"/>
    <w:qFormat/>
    <w:pPr>
      <w:keepNext/>
      <w:keepLines/>
      <w:spacing w:after="120" w:before="0" w:line="480" w:lineRule="auto"/>
    </w:pPr>
    <w:rPr>
      <w:rFonts w:ascii="Times New Roman" w:hAnsi="Times New Roman"/>
      <w:color w:val="000000"/>
      <w:sz w:val="24"/>
      <w:szCs w:val="20"/>
    </w:rPr>
  </w:style>
  <w:style w:styleId="Bibliography" w:type="paragraph">
    <w:name w:val="Bibliography"/>
    <w:basedOn w:val="Normal"/>
    <w:next w:val="Bibliography"/>
    <w:qFormat/>
    <w:pPr>
      <w:spacing w:line="480" w:lineRule="auto" w:before="0" w:after="120"/>
    </w:pPr>
    <w:rPr>
      <w:rFonts w:ascii="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heme="majorHAnsi" w:cstheme="majorBidi" w:eastAsiaTheme="majorEastAsia" w:hAnsiTheme="majorHAnsi" w:ascii="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outlineLvl w:val="1"/>
    </w:pPr>
    <w:rPr>
      <w:rFonts w:asciiTheme="majorHAnsi" w:cstheme="majorBidi" w:eastAsiaTheme="majorEastAsia" w:hAnsiTheme="majorHAnsi" w:ascii="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80" w:line="480" w:lineRule="auto"/>
      <w:outlineLvl w:val="2"/>
    </w:pPr>
    <w:rPr>
      <w:rFonts w:cstheme="majorBidi" w:eastAsiaTheme="majorEastAsia" w:ascii="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180" w:line="480" w:lineRule="auto"/>
      <w:outlineLvl w:val="3"/>
    </w:pPr>
    <w:rPr>
      <w:rFonts w:cstheme="majorBidi" w:eastAsiaTheme="majorEastAsia" w:ascii="Times New Roman" w:hAnsi="Times New Roman"/>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180" w:line="480" w:lineRule="auto"/>
      <w:outlineLvl w:val="4"/>
    </w:pPr>
    <w:rPr>
      <w:rFonts w:cstheme="majorBidi" w:eastAsiaTheme="majorEastAsia" w:ascii="Times New Roman" w:hAnsi="Times New Roman"/>
      <w:b w:val="0"/>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120" w:before="180" w:line="480" w:lineRule="auto"/>
      <w:outlineLvl w:val="5"/>
    </w:pPr>
    <w:rPr>
      <w:rFonts w:cstheme="majorBidi" w:eastAsiaTheme="majorEastAsia" w:ascii="Times New Roman" w:hAnsi="Times New Roman"/>
      <w:b w:val="0"/>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120" w:before="0" w:line="480" w:lineRule="auto"/>
      <w:outlineLvl w:val="6"/>
    </w:pPr>
    <w:rPr>
      <w:rFonts w:cstheme="majorBidi" w:eastAsiaTheme="majorEastAsia" w:ascii="Times New Roman" w:hAnsi="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120" w:line="480" w:lineRule="auto" w:before="0"/>
      <w:outlineLvl w:val="7"/>
    </w:pPr>
    <w:rPr>
      <w:rFonts w:cstheme="majorBidi" w:eastAsiaTheme="majorEastAsia" w:ascii="Times New Roman" w:hAnsi="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120" w:line="480" w:lineRule="auto" w:before="0"/>
      <w:outlineLvl w:val="8"/>
    </w:pPr>
    <w:rPr>
      <w:rFonts w:cstheme="majorBidi" w:eastAsiaTheme="majorEastAsia" w:ascii="Times New Roman" w:hAnsi="Times New Roman"/>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480" w:lineRule="auto"/>
      <w:ind w:firstLine="0" w:left="480" w:right="480"/>
    </w:pPr>
    <w:rPr>
      <w:rFonts w:ascii="Times New Roman" w:hAnsi="Times New Roman"/>
      <w:color w:val="000000"/>
      <w:sz w:val="24"/>
    </w:rPr>
  </w:style>
  <w:style w:styleId="FootnoteText" w:type="paragraph">
    <w:name w:val="Footnote Text"/>
    <w:basedOn w:val="Normal"/>
    <w:next w:val="FootnoteText"/>
    <w:uiPriority w:val="9"/>
    <w:unhideWhenUsed/>
    <w:qFormat/>
    <w:pPr>
      <w:spacing w:line="480" w:lineRule="auto" w:before="0" w:after="120"/>
    </w:pPr>
    <w:rPr>
      <w:rFonts w:ascii="Times New Roman" w:hAnsi="Times New Roman"/>
      <w:color w:val="000000"/>
      <w:sz w:val="24"/>
    </w:rPr>
  </w:style>
  <w:style w:styleId="FootnoteBlockText" w:type="paragraph">
    <w:name w:val="Footnote Block Text"/>
    <w:basedOn w:val="FootnoteText"/>
    <w:next w:val="FootnoteText"/>
    <w:uiPriority w:val="9"/>
    <w:unhideWhenUsed/>
    <w:qFormat/>
    <w:pPr>
      <w:spacing w:after="120" w:before="0" w:line="480" w:lineRule="auto"/>
      <w:ind w:firstLine="0" w:left="480" w:right="480"/>
    </w:pPr>
    <w:rPr>
      <w:rFonts w:ascii="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480" w:lineRule="auto" w:before="0"/>
    </w:pPr>
    <w:rPr>
      <w:rFonts w:ascii="Times New Roman" w:hAnsi="Times New Roman"/>
      <w:b/>
      <w:color w:val="000000"/>
      <w:sz w:val="24"/>
    </w:rPr>
  </w:style>
  <w:style w:customStyle="1" w:styleId="Definition" w:type="paragraph">
    <w:name w:val="Definition"/>
    <w:basedOn w:val="Normal"/>
    <w:pPr>
      <w:spacing w:line="480" w:lineRule="auto" w:before="0" w:after="120"/>
    </w:pPr>
    <w:rPr>
      <w:rFonts w:ascii="Times New Roman" w:hAnsi="Times New Roman"/>
      <w:color w:val="000000"/>
      <w:sz w:val="24"/>
    </w:rPr>
  </w:style>
  <w:style w:styleId="Caption" w:type="paragraph">
    <w:name w:val="Caption"/>
    <w:basedOn w:val="Normal"/>
    <w:link w:val="BodyTextChar"/>
    <w:pPr>
      <w:spacing w:after="120" w:before="0" w:line="480" w:lineRule="auto"/>
    </w:pPr>
    <w:rPr>
      <w:rFonts w:ascii="Times New Roman" w:hAnsi="Times New Roman"/>
      <w:i/>
      <w:color w:val="000000"/>
      <w:sz w:val="24"/>
    </w:rPr>
  </w:style>
  <w:style w:customStyle="1" w:styleId="TableCaption" w:type="paragraph">
    <w:name w:val="Table Caption"/>
    <w:basedOn w:val="Caption"/>
    <w:pPr>
      <w:keepNext/>
      <w:spacing w:line="480" w:lineRule="auto" w:before="0" w:after="120"/>
    </w:pPr>
    <w:rPr>
      <w:rFonts w:ascii="Times New Roman" w:hAnsi="Times New Roman"/>
      <w:color w:val="000000"/>
      <w:sz w:val="24"/>
    </w:rPr>
  </w:style>
  <w:style w:customStyle="1" w:styleId="ImageCaption" w:type="paragraph">
    <w:name w:val="Image Caption"/>
    <w:basedOn w:val="Caption"/>
    <w:pPr>
      <w:spacing w:line="480" w:lineRule="auto" w:before="0" w:after="120"/>
    </w:pPr>
    <w:rPr>
      <w:rFonts w:ascii="Times New Roman" w:hAnsi="Times New Roman"/>
      <w:i w:val="0"/>
      <w:color w:val="000000"/>
      <w:sz w:val="24"/>
    </w:rPr>
  </w:style>
  <w:style w:customStyle="1" w:styleId="Figure" w:type="paragraph">
    <w:name w:val="Figure"/>
    <w:basedOn w:val="Normal"/>
    <w:pPr>
      <w:spacing w:line="480" w:lineRule="auto" w:before="0" w:after="120"/>
    </w:pPr>
    <w:rPr>
      <w:rFonts w:ascii="Times New Roman" w:hAnsi="Times New Roman"/>
      <w:color w:val="000000"/>
      <w:sz w:val="24"/>
    </w:rPr>
  </w:style>
  <w:style w:customStyle="1" w:styleId="CaptionedFigure" w:type="paragraph">
    <w:name w:val="Captioned Figure"/>
    <w:basedOn w:val="Figure"/>
    <w:pPr>
      <w:keepNext/>
      <w:spacing w:line="480" w:lineRule="auto" w:before="0" w:after="120"/>
    </w:pPr>
    <w:rPr>
      <w:rFonts w:ascii="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480" w:lineRule="auto" w:after="120"/>
      <w:outlineLvl w:val="9"/>
    </w:pPr>
    <w:rPr>
      <w:rFonts w:asciiTheme="majorHAnsi" w:cstheme="majorBidi" w:eastAsiaTheme="majorEastAsia" w:hAnsiTheme="majorHAnsi" w:ascii="Times New Roman" w:hAnsi="Times New Roman"/>
      <w:b w:val="0"/>
      <w:bCs w:val="0"/>
      <w:color w:val="000000"/>
      <w:sz w:val="24"/>
    </w:rPr>
  </w:style>
  <w:style w:type="paragraph" w:customStyle="1" w:styleId="MDTableNote">
    <w:name w:val="MDTableNote"/>
    <w:basedOn w:val="BodyText"/>
    <w:qFormat/>
    <w:pPr>
      <w:spacing w:line="480" w:lineRule="auto" w:before="0" w:after="120"/>
    </w:pPr>
    <w:rPr>
      <w:rFonts w:ascii="Times New Roman" w:hAnsi="Times New Roman"/>
      <w:color w:val="000000"/>
      <w:sz w:val="24"/>
    </w:rPr>
  </w:style>
  <w:style w:type="character" w:customStyle="1" w:styleId="MDFIGREF_eJyrrk7LTC9KTbMqLi0o0E3LzEvRTc4vKkpNLtHNTSxJztBNKs3MSamtBQBErw_K">
    <w:name w:val="MDFIGREF_eJyrrk7LTC9KTbMqLi0o0E3LzEvRTc4vKkpNLtHNTSxJztBNKs3MSamtBQBErw_K"/>
    <w:basedOn w:val="BodyTextChar"/>
  </w:style>
  <w:style w:type="character" w:customStyle="1" w:styleId="MDFIGREF_eJyrrk7LTC9KTbNKNUrVLc5NzMnRLcgsSM3JzEutSa6tBQDAgwxC">
    <w:name w:val="MDFIGREF_eJyrrk7LTC9KTbNKNUrVLc5NzMnRLcgsSM3JzEutSa6tBQDAgwxC"/>
    <w:basedOn w:val="BodyTextChar"/>
  </w:style>
  <w:style w:type="character" w:customStyle="1" w:styleId="MDFIGREF_eJyrrk7LTC9KTbNKNUrVLc5NzMnRLcgsSM3JzEutSaqtBQDAgAxB">
    <w:name w:val="MDFIGREF_eJyrrk7LTC9KTbNKNUrVLc5NzMnRLcgsSM3JzEutSaqtBQDAgAxB"/>
    <w:basedOn w:val="BodyTextChar"/>
  </w:style>
  <w:style w:type="character" w:customStyle="1" w:styleId="MDFIGREF_eJyrrk7LTC9KTbNKNUrVLc5NzMnRLcgsSM3JzEutSaytBQDAfQxA">
    <w:name w:val="MDFIGREF_eJyrrk7LTC9KTbNKNUrVLc5NzMnRLcgsSM3JzEutSaytBQDAfQxA"/>
    <w:basedOn w:val="BodyTextChar"/>
  </w:style>
  <w:style w:type="character" w:customStyle="1" w:styleId="MDFIGREF_eJyrrk7LTC9KTbNKNUrVLc5NzMnRLcgsSM3JzEutSdJJrq0FANjnDNA">
    <w:name w:val="MDFIGREF_eJyrrk7LTC9KTbNKNUrVLc5NzMnRLcgsSM3JzEutSdJJrq0FANjnDNA"/>
    <w:basedOn w:val="BodyTextChar"/>
  </w:style>
  <w:style w:type="character" w:customStyle="1" w:styleId="MDFIGREF_eJyrrk7LTC9KTbNKNUrVTczJ0U3LzEvRzU0sSc6orQUApM0LCA">
    <w:name w:val="MDFIGREF_eJyrrk7LTC9KTbNKNUrVTczJ0U3LzEvRzU0sSc6orQUApM0LCA"/>
    <w:basedOn w:val="BodyTextChar"/>
  </w:style>
  <w:style w:type="character" w:customStyle="1" w:styleId="MDFIGREF_eJyrrk7LTC9KTbPKyUxPzEspTk3NNtItK9ZFcA1rEmtrATN3D08">
    <w:name w:val="MDFIGREF_eJyrrk7LTC9KTbPKyUxPzEspTk3NNtItK9ZFcA1rEmtrATN3D08"/>
    <w:basedOn w:val="BodyTextChar"/>
  </w:style>
  <w:style w:type="character" w:customStyle="1" w:styleId="MDFIGREF_eJyrrk7LTC9KTbPKyUxPzEspTk3NNtItK9ZFcA1rkmprATN6D1A">
    <w:name w:val="MDFIGREF_eJyrrk7LTC9KTbPKyUxPzEspTk3NNtItK9ZFcA1rkmprATN6D1A"/>
    <w:basedOn w:val="BodyTextChar"/>
  </w:style>
  <w:style w:type="character" w:customStyle="1" w:styleId="MDFIGREF_eJyrrk7LTC9KTbPKyUxPzEspTk3NNtItK9ZFcA1rkmtrATN9D1E">
    <w:name w:val="MDFIGREF_eJyrrk7LTC9KTbPKyUxPzEspTk3NNtItK9ZFcA1rkmtrATN9D1E"/>
    <w:basedOn w:val="BodyTextChar"/>
  </w:style>
  <w:style w:type="character" w:customStyle="1" w:styleId="MDFIGREF_eJyrrk7LTC9KTbPKyUxPzEspTk3NNtItK9ZFcA1rUmprATOAD1I">
    <w:name w:val="MDFIGREF_eJyrrk7LTC9KTbPKyUxPzEspTk3NNtItK9ZFcA1rUmprATOAD1I"/>
    <w:basedOn w:val="BodyTextChar"/>
  </w:style>
  <w:style w:type="character" w:customStyle="1" w:styleId="MDFIGREF_eJyrrk7LTC9KTbPKyUxPzEspTk3NNtItK9ZFcA1rUnXSamsBUhcP5Q">
    <w:name w:val="MDFIGREF_eJyrrk7LTC9KTbPKyUxPzEspTk3NNtItK9ZFcA1rUnXSamsBUhcP5Q"/>
    <w:basedOn w:val="BodyTextChar"/>
  </w:style>
  <w:style w:type="paragraph" w:customStyle="1" w:styleId="SourceCode">
    <w:name w:val="Source Code"/>
    <w:basedOn w:val="Normal"/>
    <w:link w:val="VerbatimChar"/>
    <w:pPr>
      <w:wordWrap w:val="off"/>
      <w:spacing w:line="480" w:lineRule="auto" w:before="0" w:after="120"/>
    </w:pPr>
    <w:rPr>
      <w:rFonts w:ascii="Times New Roman" w:hAnsi="Times New Roman"/>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5" Type="http://schemas.openxmlformats.org/officeDocument/2006/relationships/image" Target="media/rId15.png"/><Relationship Id="rId19" Type="http://schemas.openxmlformats.org/officeDocument/2006/relationships/image" Target="media/rId19.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2026-10-23T03:38:46Z</dcterms:created>
  <dcterms:modified xsi:type="dcterms:W3CDTF">2026-10-23T03:38:46Z</dcterms:modified>
</cp:coreProperties>
</file>

<file path=docProps/custom.xml><?xml version="1.0" encoding="utf-8"?>
<Properties xmlns="http://schemas.openxmlformats.org/officeDocument/2006/custom-properties" xmlns:vt="http://schemas.openxmlformats.org/officeDocument/2006/docPropsVTypes"/>
</file>