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overview"/>
    <w:p>
      <w:pPr>
        <w:pStyle w:val="1"/>
        <w:keepNext/>
        <w:ind w:firstLine="0"/>
      </w:pPr>
      <w:r>
        <w:t xml:space="preserve">Overview</w:t>
      </w:r>
    </w:p>
    <w:p>
      <w:pPr>
        <w:pStyle w:val="FirstParagraph"/>
        <w:spacing w:line="360" w:lineRule="auto" w:after="120"/>
        <w:ind w:firstLine="420"/>
      </w:pPr>
      <w:r>
        <w:rPr>
          <w:rFonts w:hint="eastAsia"/>
        </w:rPr>
        <w:t xml:space="preserve">接下来我们对模型的总体流程进行概述。模型以真实的或模拟的蛋白核酸受体、3维冷冻电镜密度图作为原始输入。</w:t>
      </w:r>
    </w:p>
    <w:p>
      <w:pPr>
        <w:pStyle w:val="BodyText"/>
        <w:spacing w:line="360" w:lineRule="auto" w:after="120"/>
        <w:ind w:firstLine="420"/>
      </w:pPr>
      <w:r>
        <w:rPr>
          <w:rFonts w:hint="eastAsia"/>
        </w:rPr>
        <w:t xml:space="preserve">将蛋白核酸受体表示为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r>
          <m:t>n</m:t>
        </m:r>
      </m:oMath>
      <w:r>
        <w:t xml:space="preserve"> </w:t>
      </w:r>
      <w:r>
        <w:rPr>
          <w:rFonts w:hint="eastAsia"/>
        </w:rPr>
        <w:t xml:space="preserve">为受体的原子数目，</w:t>
      </w:r>
      <w:r>
        <w:t xml:space="preserve"> </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表示第</w:t>
      </w:r>
      <w:r>
        <w:t xml:space="preserve"> </w:t>
      </w:r>
      <m:oMath>
        <m:r>
          <m:t>i</m:t>
        </m:r>
      </m:oMath>
      <w:r>
        <w:t xml:space="preserve"> </w:t>
      </w:r>
      <w:r>
        <w:rPr>
          <w:rFonts w:hint="eastAsia"/>
        </w:rPr>
        <w:t xml:space="preserve">个受体原子的空间位置，</w:t>
      </w:r>
      <w:r>
        <w:t xml:space="preserve"> </w:t>
      </w:r>
      <m:oMath>
        <m:sSub>
          <m:e>
            <m:r>
              <m:t>a</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个原子的身份表征(如元素类型、所属氨基酸或核苷酸的类型等),</w:t>
      </w:r>
      <w:r>
        <w:t xml:space="preserve"> </w:t>
      </w:r>
      <w:r>
        <w:rPr>
          <w:rFonts w:hint="eastAsia"/>
        </w:rPr>
        <w:t xml:space="preserve">在本项目中,</w:t>
      </w:r>
      <w:r>
        <w:t xml:space="preserve"> </w:t>
      </w:r>
      <w:r>
        <w:rPr>
          <w:rFonts w:hint="eastAsia"/>
        </w:rPr>
        <w:t xml:space="preserve">它们统一用50维的特征向量来表示(见</w:t>
      </w:r>
      <w:r>
        <w:t xml:space="preserve"> Method)。</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表示体素化的三维冷冻电镜密度图。</w:t>
      </w:r>
    </w:p>
    <w:p>
      <w:pPr>
        <w:pStyle w:val="BodyText"/>
        <w:spacing w:line="360" w:lineRule="auto" w:after="120"/>
        <w:ind w:firstLine="420"/>
      </w:pPr>
      <w:r>
        <w:rPr>
          <w:rFonts w:hint="eastAsia"/>
        </w:rPr>
        <w:t xml:space="preserve">我们的模型通过三阶段,</w:t>
      </w:r>
      <w:r>
        <w:t xml:space="preserve"> </w:t>
      </w:r>
      <w:r>
        <w:rPr>
          <w:rFonts w:hint="eastAsia"/>
        </w:rPr>
        <w:t xml:space="preserve">即Find、Match、Build</w:t>
      </w:r>
      <w:r>
        <w:t xml:space="preserve"> </w:t>
      </w:r>
      <w:r>
        <w:rPr>
          <w:rFonts w:hint="eastAsia"/>
        </w:rPr>
        <w:t xml:space="preserve">来完成配体构象的端到端重建。</w:t>
      </w:r>
    </w:p>
    <w:p>
      <w:pPr>
        <w:pStyle w:val="Compact"/>
        <w:numPr>
          <w:ilvl w:val="0"/>
          <w:numId w:val="1001"/>
        </w:numPr>
        <w:spacing w:line="360" w:lineRule="auto" w:after="120"/>
        <w:ind w:firstLine="420"/>
      </w:pPr>
      <w:r>
        <w:rPr>
          <w:rFonts w:hint="eastAsia"/>
        </w:rPr>
        <w:t xml:space="preserve">Find提取受体信息和实验密度信息,</w:t>
      </w:r>
      <w:r>
        <w:t xml:space="preserve"> </w:t>
      </w:r>
      <w:r>
        <w:rPr>
          <w:rFonts w:hint="eastAsia"/>
        </w:rPr>
        <w:t xml:space="preserve">预测</w:t>
      </w:r>
      <w:r>
        <w:t xml:space="preserve"> ligand </w:t>
      </w:r>
      <w:r>
        <w:rPr>
          <w:rFonts w:hint="eastAsia"/>
        </w:rPr>
        <w:t xml:space="preserve">area(配体的大致区域)。</w:t>
      </w:r>
      <w:r>
        <w:t xml:space="preserve"> </w:t>
      </w:r>
      <w:r>
        <w:rPr>
          <w:rFonts w:hint="eastAsia"/>
        </w:rPr>
        <w:t xml:space="preserve">它产生一系列blob：</w:t>
      </w:r>
    </w:p>
    <w:p>
      <w:pPr>
        <w:pStyle w:val="Compact"/>
        <w:keepLines/>
        <w:spacing w:line="240" w:lineRule="auto" w:before="180" w:after="220"/>
        <w:ind w:firstLine="0"/>
        <w:jc w:val="center"/>
      </w:pPr>
      <m:oMathPara>
        <m:oMathParaPr>
          <m:jc m:val="center"/>
        </m:oMathParaPr>
        <m:oMath>
          <m:r>
            <m:rPr>
              <m:sty m:val="p"/>
            </m:rPr>
            <m:t>Find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其中</w:t>
      </w:r>
      <w:r>
        <w:t xml:space="preserve"> </w:t>
      </w:r>
      <m:oMath>
        <m:sSub>
          <m:e>
            <m:r>
              <m:t>B</m:t>
            </m:r>
          </m:e>
          <m:sub>
            <m:r>
              <m:t>j</m:t>
            </m:r>
          </m:sub>
        </m:sSub>
      </m:oMath>
      <w:r>
        <w:t xml:space="preserve"> </w:t>
      </w:r>
      <w:r>
        <w:rPr>
          <w:rFonts w:hint="eastAsia"/>
        </w:rPr>
        <w:t xml:space="preserve">是3维体素网格中的27-连通区域。</w:t>
      </w:r>
    </w:p>
    <w:p>
      <w:pPr>
        <w:numPr>
          <w:ilvl w:val="0"/>
          <w:numId w:val="1002"/>
        </w:numPr>
        <w:spacing w:line="360" w:lineRule="auto" w:after="120"/>
        <w:ind w:firstLine="420"/>
      </w:pPr>
      <w:r>
        <w:rPr>
          <w:rFonts w:hint="eastAsia"/>
        </w:rPr>
        <w:t xml:space="preserve">Match为Find阶段预测出来的blob与用户提供的配体身份(也就是SMILES)进行匹配。Matcher</w:t>
      </w:r>
      <w:r>
        <w:t xml:space="preserve"> </w:t>
      </w:r>
      <w:r>
        <w:rPr>
          <w:rFonts w:hint="eastAsia"/>
        </w:rPr>
        <w:t xml:space="preserve">的输入是:</w:t>
      </w:r>
      <w:r>
        <w:t xml:space="preserve"> </w:t>
      </w:r>
      <w:r>
        <w:rPr>
          <w:rFonts w:hint="eastAsia"/>
        </w:rPr>
        <w:t xml:space="preserve">Find阶段预测得到的可能为假阳性的blobs</w:t>
      </w:r>
      <w:r>
        <w:t xml:space="preserve"> </w:t>
      </w:r>
      <m:oMath>
        <m:r>
          <m:rPr>
            <m:sty m:val="p"/>
          </m:rPr>
          <m:t>{</m:t>
        </m:r>
        <m:sSub>
          <m:e>
            <m:r>
              <m:t>B</m:t>
            </m:r>
          </m:e>
          <m:sub>
            <m:r>
              <m:t>j</m:t>
            </m:r>
          </m:sub>
        </m:sSub>
        <m:sSub>
          <m:e>
            <m:r>
              <m:rPr>
                <m:sty m:val="p"/>
              </m:rPr>
              <m:t>}</m:t>
            </m:r>
          </m:e>
          <m:sub>
            <m:r>
              <m:t>j</m:t>
            </m:r>
          </m:sub>
        </m:sSub>
      </m:oMath>
      <w:r>
        <w:rPr>
          <w:rFonts w:hint="eastAsia"/>
        </w:rPr>
        <w:t xml:space="preserve">、Find阶段输出的多种辅助信息</w:t>
      </w:r>
      <w:r>
        <w:t xml:space="preserve"> </w:t>
      </w:r>
      <w:r>
        <w:rPr>
          <w:rFonts w:hint="eastAsia"/>
        </w:rPr>
        <w:t xml:space="preserve">AUX(见</w:t>
      </w:r>
      <w:r>
        <w:t xml:space="preserve"> </w:t>
      </w:r>
      <w:r>
        <w:rPr>
          <w:rFonts w:hint="eastAsia"/>
        </w:rPr>
        <w:t xml:space="preserve">Method)，以及用户提供的”这个PDB中存在的配体身份”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(其中K为这个PDB中含有的配体身份数目)。</w:t>
      </w:r>
      <w:r>
        <w:t xml:space="preserve"> Matcher </w:t>
      </w:r>
      <w:r>
        <w:rPr>
          <w:rFonts w:hint="eastAsia"/>
        </w:rPr>
        <w:t xml:space="preserve">将会对所有blob判断它是否为Find预测的假阳性blob,</w:t>
      </w:r>
      <w:r>
        <w:t xml:space="preserve"> </w:t>
      </w:r>
      <w:r>
        <w:rPr>
          <w:rFonts w:hint="eastAsia"/>
        </w:rPr>
        <w:t xml:space="preserve">以及如果不是假阳性，这个blob内的配体是何种配体身份:</w:t>
      </w:r>
    </w:p>
    <w:p>
      <w:pPr>
        <w:pStyle w:val="BodyText"/>
        <w:keepLines/>
        <w:spacing w:line="240" w:lineRule="auto" w:before="180" w:after="220"/>
        <w:ind w:firstLine="0"/>
        <w:jc w:val="center"/>
      </w:pPr>
      <m:oMathPara>
        <m:oMathParaPr>
          <m:jc m:val="center"/>
        </m:oMathParaPr>
        <m:oMath>
          <m:r>
            <m:rPr>
              <m:sty m:val="bi"/>
            </m:rPr>
            <m:t>M</m:t>
          </m:r>
          <m:r>
            <m:rPr>
              <m:sty m:val="bi"/>
            </m:rPr>
            <m:t>a</m:t>
          </m:r>
          <m:r>
            <m:rPr>
              <m:sty m:val="bi"/>
            </m:rPr>
            <m:t>t</m:t>
          </m:r>
          <m:r>
            <m:rPr>
              <m:sty m:val="bi"/>
            </m:rPr>
            <m:t>c</m:t>
          </m:r>
          <m:r>
            <m:rPr>
              <m:sty m:val="bi"/>
            </m:rPr>
            <m:t>h</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t>
          </m:r>
          <m:r>
            <m:t>U</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e>
                    <m:r>
                      <m:rPr>
                        <m:sty m:val="p"/>
                      </m:rPr>
                      <m:t>(</m:t>
                    </m:r>
                    <m:r>
                      <m:t>1</m:t>
                    </m:r>
                    <m:r>
                      <m:rPr>
                        <m:sty m:val="p"/>
                      </m:rPr>
                      <m:t>,</m:t>
                    </m:r>
                    <m:sSub>
                      <m:e>
                        <m:r>
                          <m:t>S</m:t>
                        </m:r>
                      </m:e>
                      <m:sub>
                        <m:r>
                          <m:t>k</m:t>
                        </m:r>
                      </m:sub>
                    </m:sSub>
                    <m:r>
                      <m:rPr>
                        <m:sty m:val="p"/>
                      </m:rPr>
                      <m:t>)</m:t>
                    </m:r>
                    <m:r>
                      <m:rPr>
                        <m:sty m:val="p"/>
                      </m:rPr>
                      <m:t>,</m:t>
                    </m:r>
                    <m:r>
                      <m:rPr>
                        <m:nor/>
                        <m:sty m:val="p"/>
                      </m:rPr>
                      <m:t> if </m:t>
                    </m:r>
                    <m:sSub>
                      <m:e>
                        <m:r>
                          <m:t>B</m:t>
                        </m:r>
                      </m:e>
                      <m:sub>
                        <m:r>
                          <m:t>j</m:t>
                        </m:r>
                      </m:sub>
                    </m:sSub>
                    <m:r>
                      <m:t>不</m:t>
                    </m:r>
                    <m:r>
                      <m:t>是</m:t>
                    </m:r>
                    <m:r>
                      <m:t>假</m:t>
                    </m:r>
                    <m:r>
                      <m:t>阳</m:t>
                    </m:r>
                    <m:r>
                      <m:t>性</m:t>
                    </m:r>
                    <m:r>
                      <m:t>且</m:t>
                    </m:r>
                    <m:r>
                      <m:t>它</m:t>
                    </m:r>
                    <m:r>
                      <m:t>对</m:t>
                    </m:r>
                    <m:r>
                      <m:t>应</m:t>
                    </m:r>
                    <m:r>
                      <m:t>第</m:t>
                    </m:r>
                    <m:r>
                      <m:t>k</m:t>
                    </m:r>
                    <m:r>
                      <m:t>个</m:t>
                    </m:r>
                    <m:r>
                      <m:t>配</m:t>
                    </m:r>
                    <m:r>
                      <m:t>体</m:t>
                    </m:r>
                    <m:r>
                      <m:t>身</m:t>
                    </m:r>
                    <m:r>
                      <m:t>份</m:t>
                    </m:r>
                    <m:sSub>
                      <m:e>
                        <m:r>
                          <m:t>S</m:t>
                        </m:r>
                      </m:e>
                      <m:sub>
                        <m:r>
                          <m:t>k</m:t>
                        </m:r>
                      </m:sub>
                    </m:sSub>
                  </m:e>
                </m:mr>
                <m:mr>
                  <m:e/>
                  <m:e>
                    <m:r>
                      <m:rPr>
                        <m:sty m:val="p"/>
                      </m:rPr>
                      <m:t>(</m:t>
                    </m:r>
                    <m:r>
                      <m:t>0</m:t>
                    </m:r>
                    <m:r>
                      <m:rPr>
                        <m:sty m:val="p"/>
                      </m:rPr>
                      <m:t>,</m:t>
                    </m:r>
                    <m:r>
                      <m:rPr>
                        <m:sty m:val="p"/>
                      </m:rPr>
                      <m:t>∅</m:t>
                    </m:r>
                    <m:r>
                      <m:rPr>
                        <m:sty m:val="p"/>
                      </m:rPr>
                      <m:t>)</m:t>
                    </m:r>
                    <m:r>
                      <m:rPr>
                        <m:sty m:val="p"/>
                      </m:rPr>
                      <m:t>,</m:t>
                    </m:r>
                    <m:r>
                      <m:rPr>
                        <m:nor/>
                        <m:sty m:val="p"/>
                      </m:rPr>
                      <m:t> if </m:t>
                    </m:r>
                    <m:sSub>
                      <m:e>
                        <m:r>
                          <m:t>B</m:t>
                        </m:r>
                      </m:e>
                      <m:sub>
                        <m:r>
                          <m:t>j</m:t>
                        </m:r>
                      </m:sub>
                    </m:sSub>
                    <m:r>
                      <m:t>是</m:t>
                    </m:r>
                    <m:r>
                      <m:t>假</m:t>
                    </m:r>
                    <m:r>
                      <m:t>阳</m:t>
                    </m:r>
                    <m:r>
                      <m:t>性</m:t>
                    </m:r>
                  </m:e>
                </m:mr>
              </m:m>
            </m:e>
          </m:d>
        </m:oMath>
      </m:oMathPara>
    </w:p>
    <w:p>
      <w:pPr>
        <w:numPr>
          <w:ilvl w:val="0"/>
          <w:numId w:val="1002"/>
        </w:numPr>
        <w:spacing w:line="360" w:lineRule="auto" w:after="120"/>
        <w:ind w:firstLine="420"/>
      </w:pPr>
      <w:r>
        <w:rPr>
          <w:rFonts w:hint="eastAsia"/>
        </w:rPr>
        <w:t xml:space="preserve">在Find阶段找到配体区域(ligand</w:t>
      </w:r>
      <w:r>
        <w:t xml:space="preserve"> </w:t>
      </w:r>
      <w:r>
        <w:rPr>
          <w:rFonts w:hint="eastAsia"/>
        </w:rPr>
        <w:t xml:space="preserve">area)，且Match阶段将这个配体区域与特定的配体身份(SMILES)进行匹配后，就可以使用下游分子对接工具确定配体的三维构象了。我们提供了当前常用的分子对接工具作为可选的接口，供用户按需选择。同时，我们通过对</w:t>
      </w:r>
      <w:r>
        <w:t xml:space="preserve"> PocketXmol </w:t>
      </w:r>
      <w:r>
        <w:rPr>
          <w:rFonts w:hint="eastAsia"/>
        </w:rPr>
        <w:t xml:space="preserve">的网络架构做最小修改，使得它能在利用受体信息的同时能构额外利用密度信息作为对接的额外指导，之后加载官方权重进行微调。微调后的</w:t>
      </w:r>
      <w:r>
        <w:t xml:space="preserve"> PocketXmol </w:t>
      </w:r>
      <w:r>
        <w:rPr>
          <w:rFonts w:hint="eastAsia"/>
        </w:rPr>
        <w:t xml:space="preserve">将作为</w:t>
      </w:r>
      <w:r>
        <w:t xml:space="preserve"> Build </w:t>
      </w:r>
      <w:r>
        <w:rPr>
          <w:rFonts w:hint="eastAsia"/>
        </w:rPr>
        <w:t xml:space="preserve">的默认模型。</w:t>
      </w:r>
    </w:p>
    <w:p>
      <w:pPr>
        <w:numPr>
          <w:ilvl w:val="0"/>
          <w:numId w:val="1000"/>
        </w:numPr>
        <w:spacing w:line="360" w:lineRule="auto" w:after="120"/>
        <w:ind w:firstLine="420"/>
      </w:pPr>
      <w:r>
        <w:t xml:space="preserve">Builder </w:t>
      </w:r>
      <w:r>
        <w:rPr>
          <w:rFonts w:hint="eastAsia"/>
        </w:rPr>
        <w:t xml:space="preserve">接受指定的初始结合位点</w:t>
      </w:r>
      <w:r>
        <w:t xml:space="preserve"> </w:t>
      </w:r>
      <m:oMath>
        <m:r>
          <m:t>p</m:t>
        </m:r>
        <m:r>
          <m:rPr>
            <m:sty m:val="p"/>
          </m:rPr>
          <m:t>∈</m:t>
        </m:r>
        <m:sSup>
          <m:e>
            <m:r>
              <m:t>R</m:t>
            </m:r>
          </m:e>
          <m:sup>
            <m:r>
              <m:t>3</m:t>
            </m:r>
          </m:sup>
        </m:sSup>
      </m:oMath>
      <w:r>
        <w:t xml:space="preserve">, </w:t>
      </w:r>
      <w:r>
        <w:rPr>
          <w:rFonts w:hint="eastAsia"/>
        </w:rPr>
        <w:t xml:space="preserve">要进行对接的小分子身份(SMILES),</w:t>
      </w:r>
      <w:r>
        <w:t xml:space="preserve"> </w:t>
      </w:r>
      <w:r>
        <w:rPr>
          <w:rFonts w:hint="eastAsia"/>
        </w:rPr>
        <w:t xml:space="preserve">周围的口袋环境</w:t>
      </w:r>
      <w:r>
        <w:t xml:space="preserve"> P, </w:t>
      </w:r>
      <w:r>
        <w:rPr>
          <w:rFonts w:hint="eastAsia"/>
        </w:rPr>
        <w:t xml:space="preserve">以及可选的引导密度信息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为小分子产生全原子坐标。</w:t>
      </w:r>
    </w:p>
    <w:bookmarkEnd w:id="33"/>
    <w:bookmarkStart w:id="56" w:name="method"/>
    <w:p>
      <w:pPr>
        <w:pStyle w:val="1"/>
        <w:keepNext/>
        <w:ind w:firstLine="0"/>
      </w:pPr>
      <w:r>
        <w:t xml:space="preserve">Method</w:t>
      </w:r>
    </w:p>
    <w:bookmarkStart w:id="34"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我们从EMDB数据库下载冷冻电镜密度图，同时从</w:t>
      </w:r>
      <w:r>
        <w:t xml:space="preserve"> RSCB </w:t>
      </w:r>
      <w:r>
        <w:rPr>
          <w:rFonts w:hint="eastAsia"/>
        </w:rPr>
        <w:t xml:space="preserve">数据库下载密度图对应的PDB结构。我们对样本选取分辨率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set。其中，测试集都是在2026年1月1日之后的样本，其余三个集合都是这个日期之前的样本。</w:t>
      </w:r>
    </w:p>
    <w:p>
      <w:pPr>
        <w:pStyle w:val="BodyText"/>
        <w:spacing w:line="360" w:lineRule="auto" w:after="120"/>
        <w:ind w:firstLine="420"/>
      </w:pPr>
      <w:r>
        <w:rPr>
          <w:rFonts w:hint="eastAsia"/>
        </w:rPr>
        <w:t xml:space="preserve">我们使用</w:t>
      </w:r>
      <w:r>
        <w:t xml:space="preserve"> MMseqs2 </w:t>
      </w:r>
      <w:r>
        <w:rPr>
          <w:rFonts w:hint="eastAsia"/>
        </w:rPr>
        <w:t xml:space="preserve">定义的序列冗余关系进一步定义两个蛋白核酸复合物的冗余关系：若两条蛋白(或核酸)序列比对结果的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w:t>
      </w:r>
    </w:p>
    <w:p>
      <w:pPr>
        <w:pStyle w:val="BodyText"/>
        <w:spacing w:line="360" w:lineRule="auto" w:after="120"/>
        <w:ind w:firstLine="420"/>
      </w:pPr>
      <w:r>
        <w:rPr>
          <w:rFonts w:hint="eastAsia"/>
        </w:rPr>
        <w:t xml:space="preserve">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判为冗余。最终测试集中的每个样本与训练集、验证集或校准集中的任一样本都不冗余，且测试集内部任意两个样本也不冗余。</w:t>
      </w:r>
    </w:p>
    <w:p>
      <w:pPr>
        <w:pStyle w:val="BodyText"/>
        <w:spacing w:line="360" w:lineRule="auto" w:after="120"/>
        <w:ind w:firstLine="420"/>
      </w:pPr>
      <w:r>
        <w:rPr>
          <w:rFonts w:hint="eastAsia"/>
        </w:rPr>
        <w:t xml:space="preserve">对于我们的每个模型，训练集用于产生模型训练所需的元数据(比如Find的box密度切块)，验证集用于训练时最优checkpoint的选择，校准集用于训练完成后相关概率阈值或打分阈值的选定，测试集只用于最终的测试。经过质量过滤和处理后，这四个集合分别有13,714、200、100、179个EMDB-PDB</w:t>
      </w:r>
      <w:r>
        <w:t xml:space="preserve"> </w:t>
      </w:r>
      <w:r>
        <w:rPr>
          <w:rFonts w:hint="eastAsia"/>
        </w:rPr>
        <w:t xml:space="preserve">pairs，有435,187、5,942、3,532、2,502个配体实例。</w:t>
      </w:r>
    </w:p>
    <w:bookmarkEnd w:id="34"/>
    <w:bookmarkStart w:id="37"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35"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，我们同时保留未归一化表示和截断标准化表示。后者先将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35"/>
    <w:bookmarkStart w:id="36"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Find、Match </w:t>
      </w:r>
      <w:r>
        <w:rPr>
          <w:rFonts w:hint="eastAsia"/>
        </w:rPr>
        <w:t xml:space="preserve">和</w:t>
      </w:r>
      <w:r>
        <w:t xml:space="preserve"> Build </w:t>
      </w:r>
      <w:r>
        <w:rPr>
          <w:rFonts w:hint="eastAsia"/>
        </w:rPr>
        <w:t xml:space="preserve">使用相同的受体原子特征构造规则，同一个原子在不同任务和不同局部区域中具有一致的初始表示，随后由各模型的不同网络层映射到各自的隐空间。</w:t>
      </w:r>
    </w:p>
    <w:bookmarkEnd w:id="36"/>
    <w:bookmarkEnd w:id="37"/>
    <w:bookmarkStart w:id="44" w:name="stage1-find"/>
    <w:p>
      <w:pPr>
        <w:pStyle w:val="2"/>
        <w:keepNext/>
        <w:ind w:firstLine="0"/>
      </w:pPr>
      <w:r>
        <w:t xml:space="preserve">Stage1-Find</w:t>
      </w:r>
    </w:p>
    <w:bookmarkStart w:id="38"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38"/>
    <w:bookmarkStart w:id="39"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atoms)等辅助特征，供Find和Match进行推理和训练。整个网络由受体嵌入头、体素分支、点云分支和分类头组成，并通过多尺度信息融合、recycle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受体嵌入头同时负责为体素分支和点云分支提供处理后的原子表征。一方面，在体素分支之前，它对受体原子进行嵌入和中心位置编码【加引用】，并将编码后的特征软投影(soft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 </w:t>
      </w:r>
      <w:r>
        <w:rPr>
          <w:rFonts w:hint="eastAsia"/>
        </w:rPr>
        <w:t xml:space="preserve">的输入；另一方面，在原子分支之前，它通过</w:t>
      </w:r>
      <w:r>
        <w:t xml:space="preserve"> Point Transformer V3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binding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39"/>
    <w:bookmarkStart w:id="40"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配体距离损失使用均方根误差(MSE)，其余损失统一采用权重系数为0.7和0.3的</w:t>
      </w:r>
      <w:r>
        <w:t xml:space="preserve"> Focal loss(</w:t>
      </w:r>
      <m:oMath>
        <m:r>
          <m:t>γ</m:t>
        </m:r>
        <m:r>
          <m:rPr>
            <m:sty m:val="p"/>
          </m:rPr>
          <m:t>=</m:t>
        </m:r>
        <m:r>
          <m:t>2</m:t>
        </m:r>
      </m:oMath>
      <w:r>
        <w:t xml:space="preserve">) </w:t>
      </w:r>
      <w:r>
        <w:rPr>
          <w:rFonts w:hint="eastAsia"/>
        </w:rPr>
        <w:t xml:space="preserve">与</w:t>
      </w:r>
      <w:r>
        <w:t xml:space="preserve"> Dice loss </w:t>
      </w:r>
      <w:r>
        <w:rPr>
          <w:rFonts w:hint="eastAsia"/>
        </w:rPr>
        <w:t xml:space="preserve">的加权和【加引用】。</w:t>
      </w:r>
    </w:p>
    <w:bookmarkEnd w:id="40"/>
    <w:bookmarkStart w:id="41"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t xml:space="preserve"> </w:t>
      </w:r>
      <w:r>
        <w:rPr>
          <w:rFonts w:hint="eastAsia"/>
        </w:rPr>
        <w:t xml:space="preserve">【加引用】。之后，我们使用固定的概率阈值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均在校准集上搜索，使得语义</w:t>
      </w:r>
      <w:r>
        <w:t xml:space="preserve"> F1、</w:t>
      </w:r>
      <m:oMath>
        <m:sSub>
          <m:e>
            <m:r>
              <m:rPr>
                <m:sty m:val="p"/>
              </m:rPr>
              <m:t>covF1</m:t>
            </m:r>
          </m:e>
          <m:sub>
            <m:r>
              <m:t>0.3</m:t>
            </m:r>
          </m:sub>
        </m:sSub>
      </m:oMath>
      <w:r>
        <w:t xml:space="preserve"> </w:t>
      </w:r>
      <w:r>
        <w:rPr>
          <w:rFonts w:hint="eastAsia"/>
        </w:rPr>
        <w:t xml:space="preserve">和</w:t>
      </w:r>
      <w:r>
        <w:t xml:space="preserve"> </w:t>
      </w:r>
      <m:oMath>
        <m:sSub>
          <m:e>
            <m:r>
              <m:rPr>
                <m:sty m:val="p"/>
              </m:rPr>
              <m:t>1to1F1</m:t>
            </m:r>
          </m:e>
          <m:sub>
            <m:r>
              <m:t>0.3</m:t>
            </m:r>
          </m:sub>
        </m:sSub>
      </m:oMath>
      <w:r>
        <w:t xml:space="preserve"> </w:t>
      </w:r>
      <w:r>
        <w:rPr>
          <w:rFonts w:hint="eastAsia"/>
        </w:rPr>
        <w:t xml:space="preserve">之和最大（见下方定义），选定后，就在随后的测试中冻结。直观地，上式的第一项衡量候选自身的密度置信度，第二项奖励邻近受体原子对该候选的支持，第三项惩罚位于候选附近但预测为非结合区域的受体原子。</w:t>
      </w:r>
    </w:p>
    <w:bookmarkEnd w:id="41"/>
    <w:bookmarkStart w:id="42" w:name="评估或许可以只保留一套实例指标然后把这部分大幅缩减"/>
    <w:p>
      <w:pPr>
        <w:pStyle w:val="3"/>
        <w:keepNext/>
        <w:ind w:firstLine="0"/>
      </w:pPr>
      <w:r>
        <w:rPr>
          <w:rFonts w:hint="eastAsia"/>
        </w:rPr>
        <w:t xml:space="preserve">评估【或许可以只保留一套实例指标，然后把这部分大幅缩减】</w:t>
      </w:r>
    </w:p>
    <w:p>
      <w:pPr>
        <w:pStyle w:val="FirstParagraph"/>
        <w:spacing w:line="360" w:lineRule="auto" w:after="120"/>
        <w:ind w:firstLine="420"/>
      </w:pPr>
      <w:r>
        <w:rPr>
          <w:rFonts w:hint="eastAsia"/>
        </w:rPr>
        <w:t xml:space="preserve">我们同时在语义层面和实例层面</w:t>
      </w:r>
      <w:r>
        <w:t xml:space="preserve"> (Semantic and instance-level) </w:t>
      </w:r>
      <w:r>
        <w:rPr>
          <w:rFonts w:hint="eastAsia"/>
        </w:rPr>
        <w:t xml:space="preserve">【加引用】衡量</w:t>
      </w:r>
      <w:r>
        <w:t xml:space="preserve"> Find </w:t>
      </w:r>
      <w:r>
        <w:rPr>
          <w:rFonts w:hint="eastAsia"/>
        </w:rPr>
        <w:t xml:space="preserve">的性能。对于语义层面的指标，我们使用</w:t>
      </w:r>
      <w:r>
        <w:t xml:space="preserve"> Dice </w:t>
      </w:r>
      <w:r>
        <w:rPr>
          <w:rFonts w:hint="eastAsia"/>
        </w:rPr>
        <w:t xml:space="preserve">分数和对应的阈值无关的</w:t>
      </w:r>
      <w:r>
        <w:t xml:space="preserve"> sem-PRAUC </w:t>
      </w:r>
      <w:r>
        <w:rPr>
          <w:rFonts w:hint="eastAsia"/>
        </w:rPr>
        <w:t xml:space="preserve">来进行评估。</w:t>
      </w:r>
    </w:p>
    <w:p>
      <w:pPr>
        <w:pStyle w:val="BodyText"/>
        <w:spacing w:line="360" w:lineRule="auto" w:after="120"/>
        <w:ind w:firstLine="420"/>
      </w:pPr>
      <w:r>
        <w:rPr>
          <w:rFonts w:hint="eastAsia"/>
        </w:rPr>
        <w:t xml:space="preserve">对于实例级指标，我们定义了</w:t>
      </w:r>
      <w:r>
        <w:t xml:space="preserve"> coverage </w:t>
      </w:r>
      <w:r>
        <w:rPr>
          <w:rFonts w:hint="eastAsia"/>
        </w:rPr>
        <w:t xml:space="preserve">类型和</w:t>
      </w:r>
      <w:r>
        <w:t xml:space="preserve"> one-to-one </w:t>
      </w:r>
      <w:r>
        <w:rPr>
          <w:rFonts w:hint="eastAsia"/>
        </w:rPr>
        <w:t xml:space="preserve">类型的指标，它们是两项互补的指标，各自有着不同的侧重和得分偏好。对于某个PDB结构，设模型预测出</w:t>
      </w:r>
      <w:r>
        <w:t xml:space="preserve"> </w:t>
      </w:r>
      <m:oMath>
        <m:sSub>
          <m:e>
            <m:r>
              <m:t>N</m:t>
            </m:r>
          </m:e>
          <m:sub>
            <m:r>
              <m:t>p</m:t>
            </m:r>
            <m:r>
              <m:t>r</m:t>
            </m:r>
            <m:r>
              <m:t>e</m:t>
            </m:r>
            <m:r>
              <m:t>d</m:t>
            </m:r>
          </m:sub>
        </m:sSub>
      </m:oMath>
      <w:r>
        <w:t xml:space="preserve"> </w:t>
      </w:r>
      <w:r>
        <w:rPr>
          <w:rFonts w:hint="eastAsia"/>
        </w:rPr>
        <w:t xml:space="preserve">个三维空间中的blob：</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；与此同时它含有</w:t>
      </w:r>
      <w:r>
        <w:t xml:space="preserve"> </w:t>
      </w:r>
      <m:oMath>
        <m:sSub>
          <m:e>
            <m:r>
              <m:t>N</m:t>
            </m:r>
          </m:e>
          <m:sub>
            <m:r>
              <m:t>g</m:t>
            </m:r>
            <m:r>
              <m:t>t</m:t>
            </m:r>
          </m:sub>
        </m:sSub>
      </m:oMath>
      <w:r>
        <w:t xml:space="preserve"> </w:t>
      </w:r>
      <w:r>
        <w:rPr>
          <w:rFonts w:hint="eastAsia"/>
        </w:rPr>
        <w:t xml:space="preserve">个真实配体:</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w:t>
      </w:r>
      <w:r>
        <w:t xml:space="preserve"> </w:t>
      </w:r>
      <m:oMath>
        <m:sSub>
          <m:e>
            <m:r>
              <m:t>G</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个配体对应的</w:t>
      </w:r>
      <w:r>
        <w:t xml:space="preserve"> </w:t>
      </w:r>
      <w:r>
        <w:rPr>
          <w:rFonts w:hint="eastAsia"/>
        </w:rPr>
        <w:t xml:space="preserve">ligand-area，再定义阈值</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下面定义</w:t>
      </w:r>
      <w:r>
        <w:t xml:space="preserve"> coverage </w:t>
      </w:r>
      <w:r>
        <w:rPr>
          <w:rFonts w:hint="eastAsia"/>
        </w:rPr>
        <w:t xml:space="preserve">类型的指标。在这个类型下，对于某个预测的</w:t>
      </w:r>
      <w:r>
        <w:t xml:space="preserve"> blob</w:t>
      </w:r>
      <w:r>
        <w:t xml:space="preserve"> </w:t>
      </w:r>
      <m:oMath>
        <m:sSub>
          <m:e>
            <m:r>
              <m:t>B</m:t>
            </m:r>
          </m:e>
          <m:sub>
            <m:r>
              <m:t>i</m:t>
            </m:r>
          </m:sub>
        </m:sSub>
      </m:oMath>
      <w:r>
        <w:t xml:space="preserve"> </w:t>
      </w:r>
      <w:r>
        <w:rPr>
          <w:rFonts w:hint="eastAsia"/>
        </w:rPr>
        <w:t xml:space="preserve">，它被视为正确的预测，当且仅当存在某个真实实例</w:t>
      </w:r>
      <w:r>
        <w:t xml:space="preserve"> </w:t>
      </w:r>
      <m:oMath>
        <m:sSub>
          <m:e>
            <m:r>
              <m:t>G</m:t>
            </m:r>
          </m:e>
          <m:sub>
            <m:r>
              <m:t>j</m:t>
            </m:r>
          </m:sub>
        </m:sSub>
      </m:oMath>
      <w:r>
        <w:t xml:space="preserve"> </w:t>
      </w:r>
      <w:r>
        <w:rPr>
          <w:rFonts w:hint="eastAsia"/>
        </w:rPr>
        <w:t xml:space="preserve">能够覆盖掉它至少</w:t>
      </w:r>
      <w:r>
        <w:t xml:space="preserve"> </w:t>
      </w:r>
      <m:oMath>
        <m:r>
          <m:t>τ</m:t>
        </m:r>
      </m:oMath>
      <w:r>
        <w:t xml:space="preserve"> </w:t>
      </w:r>
      <w:r>
        <w:rPr>
          <w:rFonts w:hint="eastAsia"/>
        </w:rPr>
        <w:t xml:space="preserve">比例的体积；对于某个真实的配体实例</w:t>
      </w:r>
      <w:r>
        <w:t xml:space="preserve"> </w:t>
      </w:r>
      <m:oMath>
        <m:sSub>
          <m:e>
            <m:r>
              <m:t>G</m:t>
            </m:r>
          </m:e>
          <m:sub>
            <m:r>
              <m:t>j</m:t>
            </m:r>
          </m:sub>
        </m:sSub>
      </m:oMath>
      <w:r>
        <w:rPr>
          <w:rFonts w:hint="eastAsia"/>
        </w:rPr>
        <w:t xml:space="preserve">，它被视为成功预测出来，当且仅当存在某个预测实例</w:t>
      </w:r>
      <w:r>
        <w:t xml:space="preserve"> </w:t>
      </w:r>
      <m:oMath>
        <m:sSub>
          <m:e>
            <m:r>
              <m:t>B</m:t>
            </m:r>
          </m:e>
          <m:sub>
            <m:r>
              <m:t>i</m:t>
            </m:r>
          </m:sub>
        </m:sSub>
      </m:oMath>
      <w:r>
        <w:t xml:space="preserve"> </w:t>
      </w:r>
      <w:r>
        <w:rPr>
          <w:rFonts w:hint="eastAsia"/>
        </w:rPr>
        <w:t xml:space="preserve">视能够覆盖掉它至少</w:t>
      </w:r>
      <w:r>
        <w:t xml:space="preserve"> </w:t>
      </w:r>
      <m:oMath>
        <m:r>
          <m:t>τ</m:t>
        </m:r>
      </m:oMath>
      <w:r>
        <w:t xml:space="preserve"> </w:t>
      </w:r>
      <w:r>
        <w:rPr>
          <w:rFonts w:hint="eastAsia"/>
        </w:rPr>
        <w:t xml:space="preserve">比例的体积。设有</w:t>
      </w:r>
      <w:r>
        <w:t xml:space="preserve"> </w:t>
      </w:r>
      <m:oMath>
        <m:sSub>
          <m:e>
            <m:r>
              <m:t>N</m:t>
            </m:r>
          </m:e>
          <m:sub>
            <m:r>
              <m:t>1</m:t>
            </m:r>
          </m:sub>
        </m:sSub>
      </m:oMath>
      <w:r>
        <w:t xml:space="preserve"> </w:t>
      </w:r>
      <w:r>
        <w:rPr>
          <w:rFonts w:hint="eastAsia"/>
        </w:rPr>
        <w:t xml:space="preserve">个</w:t>
      </w:r>
      <w:r>
        <w:t xml:space="preserve"> </w:t>
      </w:r>
      <m:oMath>
        <m:r>
          <m:t>b</m:t>
        </m:r>
        <m:r>
          <m:t>l</m:t>
        </m:r>
        <m:r>
          <m:t>o</m:t>
        </m:r>
        <m:r>
          <m:t>b</m:t>
        </m:r>
      </m:oMath>
      <w:r>
        <w:t xml:space="preserve"> </w:t>
      </w:r>
      <w:r>
        <w:rPr>
          <w:rFonts w:hint="eastAsia"/>
        </w:rPr>
        <w:t xml:space="preserve">是成功的预测，</w:t>
      </w:r>
      <m:oMath>
        <m:sSub>
          <m:e>
            <m:r>
              <m:t>N</m:t>
            </m:r>
          </m:e>
          <m:sub>
            <m:r>
              <m:t>2</m:t>
            </m:r>
          </m:sub>
        </m:sSub>
      </m:oMath>
      <w:r>
        <w:t xml:space="preserve"> </w:t>
      </w:r>
      <w:r>
        <w:rPr>
          <w:rFonts w:hint="eastAsia"/>
        </w:rPr>
        <w:t xml:space="preserve">个真实配体实例被正确预测出来，则定义</w:t>
      </w:r>
      <w:r>
        <w:t xml:space="preserve"> coverage </w:t>
      </w:r>
      <w:r>
        <w:rPr>
          <w:rFonts w:hint="eastAsia"/>
        </w:rPr>
        <w:t xml:space="preserve">类型下的</w:t>
      </w:r>
      <w:r>
        <w:t xml:space="preserve"> precision </w:t>
      </w:r>
      <w:r>
        <w:rPr>
          <w:rFonts w:hint="eastAsia"/>
        </w:rPr>
        <w:t xml:space="preserve">和</w:t>
      </w:r>
      <w:r>
        <w:t xml:space="preserve"> recall </w:t>
      </w:r>
      <w:r>
        <w:rPr>
          <w:rFonts w:hint="eastAsia"/>
        </w:rPr>
        <w:t xml:space="preserve">分别为：</w:t>
      </w:r>
    </w:p>
    <w:p>
      <w:pPr>
        <w:pStyle w:val="BodyText"/>
        <w:keepLines/>
        <w:spacing w:line="240" w:lineRule="auto" w:before="180" w:after="220"/>
        <w:ind w:firstLine="0"/>
        <w:jc w:val="center"/>
      </w:pPr>
      <m:oMathPara>
        <m:oMathParaPr>
          <m:jc m:val="center"/>
        </m:oMathParaPr>
        <m:oMath>
          <m:sSub>
            <m:e>
              <m:r>
                <m:rPr>
                  <m:sty m:val="p"/>
                </m:rPr>
                <m:t>covP</m:t>
              </m:r>
            </m:e>
            <m:sub>
              <m:r>
                <m:t>τ</m:t>
              </m:r>
            </m:sub>
          </m:sSub>
          <m:r>
            <m:rPr>
              <m:sty m:val="p"/>
            </m:rPr>
            <m:t>=</m:t>
          </m:r>
          <m:f>
            <m:fPr>
              <m:type m:val="bar"/>
            </m:fPr>
            <m:num>
              <m:sSub>
                <m:e>
                  <m:r>
                    <m:t>N</m:t>
                  </m:r>
                </m:e>
                <m:sub>
                  <m:r>
                    <m:t>1</m:t>
                  </m:r>
                </m:sub>
              </m:sSub>
            </m:num>
            <m:den>
              <m:sSub>
                <m:e>
                  <m:r>
                    <m:t>N</m:t>
                  </m:r>
                </m:e>
                <m:sub>
                  <m:r>
                    <m:rPr>
                      <m:sty m:val="p"/>
                    </m:rPr>
                    <m:t>p</m:t>
                  </m:r>
                  <m:r>
                    <m:rPr>
                      <m:sty m:val="p"/>
                    </m:rPr>
                    <m:t>r</m:t>
                  </m:r>
                  <m:r>
                    <m:rPr>
                      <m:sty m:val="p"/>
                    </m:rPr>
                    <m:t>e</m:t>
                  </m:r>
                  <m:r>
                    <m:rPr>
                      <m:sty m:val="p"/>
                    </m:rPr>
                    <m:t>d</m:t>
                  </m:r>
                </m:sub>
              </m:sSub>
            </m:den>
          </m:f>
          <m:r>
            <m:rPr>
              <m:sty m:val="p"/>
            </m:rPr>
            <m:t>,</m:t>
          </m:r>
          <m:r>
            <m:t>  </m:t>
          </m:r>
          <m:sSub>
            <m:e>
              <m:r>
                <m:rPr>
                  <m:sty m:val="p"/>
                </m:rPr>
                <m:t>covR</m:t>
              </m:r>
            </m:e>
            <m:sub>
              <m:r>
                <m:t>τ</m:t>
              </m:r>
            </m:sub>
          </m:sSub>
          <m:r>
            <m:rPr>
              <m:sty m:val="p"/>
            </m:rPr>
            <m:t>=</m:t>
          </m:r>
          <m:f>
            <m:fPr>
              <m:type m:val="bar"/>
            </m:fPr>
            <m:num>
              <m:sSub>
                <m:e>
                  <m:r>
                    <m:t>N</m:t>
                  </m:r>
                </m:e>
                <m:sub>
                  <m:r>
                    <m:t>2</m:t>
                  </m:r>
                </m:sub>
              </m:sSub>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，由此，可以导出</w:t>
      </w:r>
      <w:r>
        <w:t xml:space="preserve"> coverage </w:t>
      </w:r>
      <w:r>
        <w:rPr>
          <w:rFonts w:hint="eastAsia"/>
        </w:rPr>
        <w:t xml:space="preserve">类型下阈值为</w:t>
      </w:r>
      <w:r>
        <w:t xml:space="preserve"> </w:t>
      </w:r>
      <m:oMath>
        <m:r>
          <m:t>τ</m:t>
        </m:r>
      </m:oMath>
      <w:r>
        <w:t xml:space="preserve"> </w:t>
      </w:r>
      <w:r>
        <w:rPr>
          <w:rFonts w:hint="eastAsia"/>
        </w:rPr>
        <w:t xml:space="preserve">的</w:t>
      </w:r>
      <w:r>
        <w:t xml:space="preserve"> F1 </w:t>
      </w:r>
      <w:r>
        <w:rPr>
          <w:rFonts w:hint="eastAsia"/>
        </w:rPr>
        <w:t xml:space="preserve">分数</w:t>
      </w:r>
      <w:r>
        <w:t xml:space="preserve"> </w:t>
      </w:r>
      <m:oMath>
        <m:sSub>
          <m:e>
            <m:r>
              <m:rPr>
                <m:sty m:val="p"/>
              </m:rPr>
              <m:t>covF1</m:t>
            </m:r>
          </m:e>
          <m:sub>
            <m:r>
              <m:t>τ</m:t>
            </m:r>
          </m:sub>
        </m:sSub>
      </m:oMath>
      <w:r>
        <w:t xml:space="preserve"> </w:t>
      </w:r>
      <w:r>
        <w:rPr>
          <w:rFonts w:hint="eastAsia"/>
        </w:rPr>
        <w:t xml:space="preserve">，以及对应的</w:t>
      </w:r>
      <w:r>
        <w:t xml:space="preserve"> </w:t>
      </w:r>
      <m:oMath>
        <m:sSub>
          <m:e>
            <m:r>
              <m:rPr>
                <m:sty m:val="p"/>
              </m:rPr>
              <m:t>covPRAUC</m:t>
            </m:r>
          </m:e>
          <m:sub>
            <m:r>
              <m:t>τ</m:t>
            </m:r>
          </m:sub>
        </m:sSub>
      </m:oMath>
      <w:r>
        <w:t xml:space="preserve"> </w:t>
      </w:r>
      <w:r>
        <w:t xml:space="preserve">。</w:t>
      </w:r>
    </w:p>
    <w:p>
      <w:pPr>
        <w:pStyle w:val="BodyText"/>
        <w:spacing w:line="360" w:lineRule="auto" w:after="120"/>
        <w:ind w:firstLine="420"/>
      </w:pPr>
      <w:r>
        <w:rPr>
          <w:rFonts w:hint="eastAsia"/>
        </w:rPr>
        <w:t xml:space="preserve">注意，</w:t>
      </w:r>
      <w:r>
        <w:t xml:space="preserve"> coverage </w:t>
      </w:r>
      <w:r>
        <w:rPr>
          <w:rFonts w:hint="eastAsia"/>
        </w:rPr>
        <w:t xml:space="preserve">类型的指标允许产生</w:t>
      </w:r>
      <w:r>
        <w:t xml:space="preserve"> </w:t>
      </w:r>
      <w:r>
        <w:rPr>
          <w:rFonts w:hint="eastAsia"/>
        </w:rPr>
        <w:t xml:space="preserve">“一对多”</w:t>
      </w:r>
      <w:r>
        <w:t xml:space="preserve"> </w:t>
      </w:r>
      <w:r>
        <w:rPr>
          <w:rFonts w:hint="eastAsia"/>
        </w:rPr>
        <w:t xml:space="preserve">的情况，比如一个预测实例可能会同时覆盖多个真实实例，这些真实实例可能会因为有同一个</w:t>
      </w:r>
      <w:r>
        <w:t xml:space="preserve"> blob </w:t>
      </w:r>
      <w:r>
        <w:rPr>
          <w:rFonts w:hint="eastAsia"/>
        </w:rPr>
        <w:t xml:space="preserve">覆盖从而都被视为被成功预测。</w:t>
      </w:r>
    </w:p>
    <w:p>
      <w:pPr>
        <w:pStyle w:val="BodyText"/>
        <w:spacing w:line="360" w:lineRule="auto" w:after="120"/>
        <w:ind w:firstLine="420"/>
      </w:pPr>
      <w:r>
        <w:rPr>
          <w:rFonts w:hint="eastAsia"/>
        </w:rPr>
        <w:t xml:space="preserve">下面定义</w:t>
      </w:r>
      <w:r>
        <w:t xml:space="preserve"> one-to-one </w:t>
      </w:r>
      <w:r>
        <w:rPr>
          <w:rFonts w:hint="eastAsia"/>
        </w:rPr>
        <w:t xml:space="preserve">类型的指标。在这个类型下，先将预测实例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视为二部图中的两个部集。如果</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各自覆盖对方的比例达到了</w:t>
      </w:r>
      <w:r>
        <w:t xml:space="preserve"> </w:t>
      </w:r>
      <m:oMath>
        <m:r>
          <m:t>τ</m:t>
        </m:r>
      </m:oMath>
      <w:r>
        <w:rPr>
          <w:rFonts w:hint="eastAsia"/>
        </w:rPr>
        <w:t xml:space="preserve">，</w:t>
      </w:r>
      <w:r>
        <w:t xml:space="preserve"> </w:t>
      </w:r>
      <w:r>
        <w:rPr>
          <w:rFonts w:hint="eastAsia"/>
        </w:rPr>
        <w:t xml:space="preserve">那二者之间就存在一条连边。之后，我们使用</w:t>
      </w:r>
      <w:r>
        <w:t xml:space="preserve"> Hungarian </w:t>
      </w:r>
      <w:r>
        <w:rPr>
          <w:rFonts w:hint="eastAsia"/>
        </w:rPr>
        <w:t xml:space="preserve">算法求取两个部集的最大匹配。设得到了</w:t>
      </w:r>
      <w:r>
        <w:t xml:space="preserve"> </w:t>
      </w:r>
      <m:oMath>
        <m:r>
          <m:t>N</m:t>
        </m:r>
      </m:oMath>
      <w:r>
        <w:t xml:space="preserve"> </w:t>
      </w:r>
      <w:r>
        <w:rPr>
          <w:rFonts w:hint="eastAsia"/>
        </w:rPr>
        <w:t xml:space="preserve">对成功匹配的实例，则定义</w:t>
      </w:r>
      <w:r>
        <w:t xml:space="preserve"> one-to-one </w:t>
      </w:r>
      <w:r>
        <w:rPr>
          <w:rFonts w:hint="eastAsia"/>
        </w:rPr>
        <w:t xml:space="preserve">类型下的</w:t>
      </w:r>
      <w:r>
        <w:t xml:space="preserve"> precision </w:t>
      </w:r>
      <w:r>
        <w:rPr>
          <w:rFonts w:hint="eastAsia"/>
        </w:rPr>
        <w:t xml:space="preserve">和</w:t>
      </w:r>
      <w:r>
        <w:t xml:space="preserve"> recall </w:t>
      </w:r>
      <w:r>
        <w:rPr>
          <w:rFonts w:hint="eastAsia"/>
        </w:rPr>
        <w:t xml:space="preserve">分别为：</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由此，可以导出</w:t>
      </w:r>
      <w:r>
        <w:t xml:space="preserve"> one-to-one </w:t>
      </w:r>
      <w:r>
        <w:rPr>
          <w:rFonts w:hint="eastAsia"/>
        </w:rPr>
        <w:t xml:space="preserve">类型下阈值为</w:t>
      </w:r>
      <w:r>
        <w:t xml:space="preserve"> </w:t>
      </w:r>
      <m:oMath>
        <m:r>
          <m:t>τ</m:t>
        </m:r>
      </m:oMath>
      <w:r>
        <w:t xml:space="preserve"> </w:t>
      </w:r>
      <w:r>
        <w:rPr>
          <w:rFonts w:hint="eastAsia"/>
        </w:rPr>
        <w:t xml:space="preserve">的</w:t>
      </w:r>
      <w:r>
        <w:t xml:space="preserve"> F1 </w:t>
      </w:r>
      <w:r>
        <w:rPr>
          <w:rFonts w:hint="eastAsia"/>
        </w:rPr>
        <w:t xml:space="preserve">分数</w:t>
      </w:r>
      <w:r>
        <w:t xml:space="preserve"> </w:t>
      </w:r>
      <m:oMath>
        <m:sSub>
          <m:e>
            <m:r>
              <m:rPr>
                <m:sty m:val="p"/>
              </m:rPr>
              <m:t>1to1F1</m:t>
            </m:r>
          </m:e>
          <m:sub>
            <m:r>
              <m:t>τ</m:t>
            </m:r>
          </m:sub>
        </m:sSub>
      </m:oMath>
      <w:r>
        <w:rPr>
          <w:rFonts w:hint="eastAsia"/>
        </w:rPr>
        <w:t xml:space="preserve">，以及对应的</w:t>
      </w:r>
      <w:r>
        <w:t xml:space="preserve"> </w:t>
      </w:r>
      <m:oMath>
        <m:sSub>
          <m:e>
            <m:r>
              <m:rPr>
                <m:sty m:val="p"/>
              </m:rPr>
              <m:t>1to1PRAUC</m:t>
            </m:r>
          </m:e>
          <m:sub>
            <m:r>
              <m:t>τ</m:t>
            </m:r>
          </m:sub>
        </m:sSub>
      </m:oMath>
      <w:r>
        <w:t xml:space="preserve">。</w:t>
      </w:r>
    </w:p>
    <w:p>
      <w:pPr>
        <w:pStyle w:val="BodyText"/>
        <w:spacing w:line="360" w:lineRule="auto" w:after="120"/>
        <w:ind w:firstLine="420"/>
      </w:pPr>
      <w:r>
        <w:rPr>
          <w:rFonts w:hint="eastAsia"/>
        </w:rPr>
        <w:t xml:space="preserve">相比于</w:t>
      </w:r>
      <w:r>
        <w:t xml:space="preserve"> coverage </w:t>
      </w:r>
      <w:r>
        <w:rPr>
          <w:rFonts w:hint="eastAsia"/>
        </w:rPr>
        <w:t xml:space="preserve">类型的指标，one-to-one</w:t>
      </w:r>
      <w:r>
        <w:t xml:space="preserve"> </w:t>
      </w:r>
      <w:r>
        <w:rPr>
          <w:rFonts w:hint="eastAsia"/>
        </w:rPr>
        <w:t xml:space="preserve">类型的指标不允许“一对多”或“多对一”的匹配。比如，当一个预测</w:t>
      </w:r>
      <w:r>
        <w:t xml:space="preserve"> blob </w:t>
      </w:r>
      <w:r>
        <w:rPr>
          <w:rFonts w:hint="eastAsia"/>
        </w:rPr>
        <w:t xml:space="preserve">同时覆盖多个真实配体时，最多只有其中一对能够计为成功匹配，但与此同时，这个指标无法区分</w:t>
      </w:r>
      <w:r>
        <w:t xml:space="preserve"> </w:t>
      </w:r>
      <w:r>
        <w:rPr>
          <w:rFonts w:hint="eastAsia"/>
        </w:rPr>
        <w:t xml:space="preserve">“模型没有定位出(locatization)某个真实实例”</w:t>
      </w:r>
      <w:r>
        <w:rPr>
          <w:rFonts w:hint="eastAsia"/>
        </w:rPr>
        <w:t xml:space="preserve">，还是”模型定位出了真实实例，但没有正确将它们分离”。</w:t>
      </w:r>
    </w:p>
    <w:p>
      <w:pPr>
        <w:pStyle w:val="BodyText"/>
        <w:spacing w:line="360" w:lineRule="auto" w:after="120"/>
        <w:ind w:firstLine="420"/>
      </w:pPr>
      <w:r>
        <w:rPr>
          <w:rFonts w:hint="eastAsia"/>
        </w:rPr>
        <w:t xml:space="preserve">所以我们认为，这两个指标是互补的，coverage</w:t>
      </w:r>
      <w:r>
        <w:t xml:space="preserve"> </w:t>
      </w:r>
      <w:r>
        <w:rPr>
          <w:rFonts w:hint="eastAsia"/>
        </w:rPr>
        <w:t xml:space="preserve">类型的指标更侧重于模型的定位能力，而更严格的</w:t>
      </w:r>
      <w:r>
        <w:t xml:space="preserve"> one-to-one </w:t>
      </w:r>
      <w:r>
        <w:rPr>
          <w:rFonts w:hint="eastAsia"/>
        </w:rPr>
        <w:t xml:space="preserve">类型的指标同时要求模型的实例定位和分离能力，它们共同刻画了模型的性能。因此，它们的重要性取决于不同的现实需求。</w:t>
      </w:r>
    </w:p>
    <w:bookmarkEnd w:id="42"/>
    <w:bookmarkStart w:id="43" w:name="case-study"/>
    <w:p>
      <w:pPr>
        <w:pStyle w:val="3"/>
        <w:keepNext/>
        <w:ind w:firstLine="0"/>
      </w:pPr>
      <w:r>
        <w:t xml:space="preserve">case study</w:t>
      </w:r>
    </w:p>
    <w:bookmarkEnd w:id="43"/>
    <w:bookmarkEnd w:id="44"/>
    <w:bookmarkStart w:id="51" w:name="stage2-match"/>
    <w:p>
      <w:pPr>
        <w:pStyle w:val="2"/>
        <w:keepNext/>
        <w:ind w:firstLine="0"/>
      </w:pPr>
      <w:r>
        <w:t xml:space="preserve">Stage2-Match</w:t>
      </w:r>
    </w:p>
    <w:bookmarkStart w:id="45"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45"/>
    <w:bookmarkStart w:id="46"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RDKID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，使用它的向量表示分别与它自身的图表示以及其他</w:t>
      </w:r>
      <w:r>
        <w:t xml:space="preserve"> SMILES </w:t>
      </w:r>
      <w:r>
        <w:rPr>
          <w:rFonts w:hint="eastAsia"/>
        </w:rPr>
        <w:t xml:space="preserve">的向量表示进行注意力运算：</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i</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Sup>
          <m:e>
            <m:r>
              <m:t>S</m:t>
            </m:r>
          </m:e>
          <m:sub>
            <m:r>
              <m:t>k</m:t>
            </m:r>
          </m:sub>
          <m:sup>
            <m:r>
              <m:t>r</m:t>
            </m:r>
            <m:r>
              <m:t>e</m:t>
            </m:r>
            <m:r>
              <m:t>p</m:t>
            </m:r>
            <m:r>
              <m:t>r</m:t>
            </m:r>
          </m:sup>
        </m:sSubSup>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46"/>
    <w:bookmarkStart w:id="47"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47"/>
    <w:bookmarkStart w:id="48"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Sup>
                <m:e>
                  <m:r>
                    <m:t>S</m:t>
                  </m:r>
                </m:e>
                <m:sub>
                  <m:r>
                    <m:t>k</m:t>
                  </m:r>
                </m:sub>
                <m:sup>
                  <m:r>
                    <m:rPr>
                      <m:sty m:val="p"/>
                    </m:rPr>
                    <m:t>r</m:t>
                  </m:r>
                  <m:r>
                    <m:rPr>
                      <m:sty m:val="p"/>
                    </m:rPr>
                    <m:t>e</m:t>
                  </m:r>
                  <m:r>
                    <m:rPr>
                      <m:sty m:val="p"/>
                    </m:rPr>
                    <m:t>p</m:t>
                  </m:r>
                  <m:r>
                    <m:rPr>
                      <m:sty m:val="p"/>
                    </m:rPr>
                    <m:t>r</m:t>
                  </m:r>
                </m:sup>
              </m:sSubSup>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Sup>
          <m:e>
            <m:r>
              <m:t>S</m:t>
            </m:r>
          </m:e>
          <m:sub>
            <m:r>
              <m:t>k</m:t>
            </m:r>
          </m:sub>
          <m:sup>
            <m:r>
              <m:rPr>
                <m:sty m:val="p"/>
              </m:rPr>
              <m:t>r</m:t>
            </m:r>
            <m:r>
              <m:rPr>
                <m:sty m:val="p"/>
              </m:rPr>
              <m:t>e</m:t>
            </m:r>
            <m:r>
              <m:rPr>
                <m:sty m:val="p"/>
              </m:rPr>
              <m:t>p</m:t>
            </m:r>
            <m:r>
              <m:rPr>
                <m:sty m:val="p"/>
              </m:rPr>
              <m:t>r</m:t>
            </m:r>
          </m:sup>
        </m:sSubSup>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Sup>
          <m:e>
            <m:r>
              <m:t>S</m:t>
            </m:r>
          </m:e>
          <m:sub>
            <m:r>
              <m:t>k</m:t>
            </m:r>
          </m:sub>
          <m:sup>
            <m:r>
              <m:t>r</m:t>
            </m:r>
            <m:r>
              <m:t>e</m:t>
            </m:r>
            <m:r>
              <m:t>p</m:t>
            </m:r>
            <m:r>
              <m:t>r</m:t>
            </m:r>
          </m:sup>
        </m:sSubSup>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同时给出每个候选的前景概率，以及对应配体身份的概率，供后续构象建模使用。</w:t>
      </w:r>
    </w:p>
    <w:bookmarkEnd w:id="48"/>
    <w:bookmarkStart w:id="49"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sSub>
                    <m:e>
                      <m:r>
                        <m:t>K</m:t>
                      </m:r>
                    </m:e>
                    <m:sub>
                      <m:r>
                        <m:t>j</m:t>
                      </m:r>
                    </m:sub>
                  </m:sSub>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49"/>
    <w:bookmarkStart w:id="50" w:name="评估"/>
    <w:p>
      <w:pPr>
        <w:pStyle w:val="3"/>
        <w:keepNext/>
        <w:ind w:firstLine="0"/>
      </w:pPr>
      <w:r>
        <w:rPr>
          <w:rFonts w:hint="eastAsia"/>
        </w:rPr>
        <w:t xml:space="preserve">评估</w:t>
      </w:r>
    </w:p>
    <w:bookmarkEnd w:id="50"/>
    <w:bookmarkEnd w:id="51"/>
    <w:bookmarkStart w:id="55" w:name="stage3-build"/>
    <w:p>
      <w:pPr>
        <w:pStyle w:val="2"/>
        <w:keepNext/>
        <w:ind w:firstLine="0"/>
      </w:pPr>
      <w:r>
        <w:t xml:space="preserve">Stage3-Build</w:t>
      </w:r>
    </w:p>
    <w:bookmarkStart w:id="52"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我们可以根据此位点所对应的配体种类和口袋环境，接入符合适用条件的下游分子对接工具，如Vina，Diffdock，EMERALD，Emap2lig-Build，PocketXmol等。不同的分子对接工具对配体类型有各自的限制（比如，不能用于对接糖类配体），使用的引导信息并不相同（比如，只使用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pPr>
        <w:pStyle w:val="BodyText"/>
        <w:spacing w:line="360" w:lineRule="auto" w:after="120"/>
        <w:ind w:firstLine="420"/>
      </w:pPr>
      <w:r>
        <w:rPr>
          <w:rFonts w:hint="eastAsia"/>
        </w:rPr>
        <w:t xml:space="preserve">与此同时，我们注意到目前很少有同时利用受体信息和cryoEM进行分子对接的工具。为此，我们对高精度小分子(small</w:t>
      </w:r>
      <w:r>
        <w:t xml:space="preserve"> </w:t>
      </w:r>
      <w:r>
        <w:rPr>
          <w:rFonts w:hint="eastAsia"/>
        </w:rPr>
        <w:t xml:space="preserve">molecules)对接工具PocketXmol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bookmarkEnd w:id="52"/>
    <w:bookmarkStart w:id="53"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我们对</w:t>
      </w:r>
      <w:r>
        <w:t xml:space="preserve"> PocketXmol </w:t>
      </w:r>
      <w:r>
        <w:rPr>
          <w:rFonts w:hint="eastAsia"/>
        </w:rPr>
        <w:t xml:space="preserve">通过最小修改使得它可以接受额外的密度信息。我们如前文所述同样构造56通道的密度特征和50维的受体特征，并拼接形成106通道的体素特征。在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网络每次更新原子的位置坐标之前，我们通过一个</w:t>
      </w:r>
      <w:r>
        <w:t xml:space="preserve"> GAP </w:t>
      </w:r>
      <w:r>
        <w:rPr>
          <w:rFonts w:hint="eastAsia"/>
        </w:rPr>
        <w:t xml:space="preserve">短卷积层提取原子周围的密度和受体信号并使用</w:t>
      </w:r>
      <w:r>
        <w:t xml:space="preserve"> FiLM </w:t>
      </w:r>
      <w:r>
        <w:rPr>
          <w:rFonts w:hint="eastAsia"/>
        </w:rPr>
        <w:t xml:space="preserve">模块调制原子原本的特征。除此之外，我们完全保留了原版</w:t>
      </w:r>
      <w:r>
        <w:t xml:space="preserve"> PocketXmol </w:t>
      </w:r>
      <w:r>
        <w:rPr>
          <w:rFonts w:hint="eastAsia"/>
        </w:rPr>
        <w:t xml:space="preserve">的其他部分，包括网络架构、特征表示以及加噪、去噪过程等。训练时，网络中的</w:t>
      </w:r>
      <w:r>
        <w:t xml:space="preserve"> GAP </w:t>
      </w:r>
      <w:r>
        <w:rPr>
          <w:rFonts w:hint="eastAsia"/>
        </w:rPr>
        <w:t xml:space="preserve">卷积模块进行随机初始化，其余网络参数加载</w:t>
      </w:r>
      <w:r>
        <w:t xml:space="preserve"> PocketXmol </w:t>
      </w:r>
      <w:r>
        <w:rPr>
          <w:rFonts w:hint="eastAsia"/>
        </w:rPr>
        <w:t xml:space="preserve">的官方权重，之后在训练集上进行微调。</w:t>
      </w:r>
    </w:p>
    <w:bookmarkEnd w:id="53"/>
    <w:bookmarkStart w:id="54" w:name="评估-1"/>
    <w:p>
      <w:pPr>
        <w:pStyle w:val="3"/>
        <w:keepNext/>
        <w:ind w:firstLine="0"/>
      </w:pPr>
      <w:r>
        <w:rPr>
          <w:rFonts w:hint="eastAsia"/>
        </w:rPr>
        <w:t xml:space="preserve">评估</w:t>
      </w:r>
    </w:p>
    <w:bookmarkEnd w:id="54"/>
    <w:bookmarkEnd w:id="55"/>
    <w:bookmarkEnd w:id="56"/>
    <w:sectPr w:rsidR="00DD1CAE" w:rsidSect="0015253C">
      <w:footerReference r:id="rId8" w:type="default"/>
      <w:pgSz w:h="16838" w:w="11906"/>
      <w:pgMar w:bottom="1440" w:footer="992" w:gutter="0" w:header="851" w:left="1800" w:right="180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pStyle w:val="1"/>
      <w:suff w:val="space"/>
      <w:lvlText w:val="第%1章"/>
      <w:lvlJc w:val="left"/>
      <w:pPr>
        <w:ind w:firstLine="0" w:left="0"/>
      </w:pPr>
      <w:rPr>
        <w:rFonts w:hint="eastAsia"/>
      </w:rPr>
    </w:lvl>
    <w:lvl w:ilvl="1">
      <w:start w:val="1"/>
      <w:numFmt w:val="decimal"/>
      <w:pStyle w:val="2"/>
      <w:isLgl/>
      <w:suff w:val="space"/>
      <w:lvlText w:val="%1.%2"/>
      <w:lvlJc w:val="left"/>
      <w:pPr>
        <w:ind w:firstLine="0" w:left="0"/>
      </w:pPr>
      <w:rPr>
        <w:rFonts w:hint="eastAsia"/>
      </w:rPr>
    </w:lvl>
    <w:lvl w:ilvl="2">
      <w:start w:val="1"/>
      <w:numFmt w:val="decimal"/>
      <w:pStyle w:val="3"/>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numPr>
        <w:numId w:val="2"/>
      </w:numPr>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numPr>
        <w:ilvl w:val="1"/>
        <w:numId w:val="2"/>
      </w:numPr>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numPr>
        <w:ilvl w:val="2"/>
        <w:numId w:val="2"/>
      </w:numPr>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2026-09-29T01:39:12Z</dcterms:created>
  <dcterms:modified xsi:type="dcterms:W3CDTF">2026-09-29T01:39:12Z</dcterms:modified>
</cp:coreProperties>
</file>

<file path=docProps/custom.xml><?xml version="1.0" encoding="utf-8"?>
<Properties xmlns="http://schemas.openxmlformats.org/officeDocument/2006/custom-properties" xmlns:vt="http://schemas.openxmlformats.org/officeDocument/2006/docPropsVTypes"/>
</file>