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 one-to-one PRAUC@0.3 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Rjogfm5qSUZ-im6ZSW0tAEGtD2Y"/>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 one-to-one PRAUC@0.3 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480" w:lineRule="auto"/>
        <w:ind w:firstLine="0"/>
        <w:jc w:val="center"/>
      </w:pPr>
      <w:r>
        <w:rPr>
          <w:rFonts w:ascii="Times New Roman" w:hAnsi="Times New Roman"/>
          <w:sz w:val="24"/>
        </w:rPr>
        <w:drawing>
          <wp:inline>
            <wp:extent cx="5733415" cy="1941878"/>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ydUs2O0zAQfpUoZ1g37XZ3Gy2VUBe4LKhC4map8jpOYzWxLdtNs_xI3IADN8SFB4ATD8BK8DTs9jGYidOf1XJARIr8eebzNzOf_So2zBdxGsU3n65-f_lJrt9erb--B3RgjG_ie1FshdNlLTIkTVJKXzhhHaXJcJSMKD0TbuG1oXT9_cf153frjx9uvv2iNKhReldOsUqgVC7n93UtbC3Falb3MVUxu1gaTA6PB4PDZNgko8Pk5Pjk9amRPIU_aqpSuZQ9oHHhvUkJcbwQFXMH2ggFyVzbinnY2jnJLFtJNa9K0u_1jkjFpKJxpwBa_6MBx_zSiq2M_ScRneeSizPNl5VQPihZUTIvtXKFNI7G43ZCVU8ln9qw4c_qqY0y4ThWmaSkNZ60vpPOdrLvOvGiMjCmWsIRafwMLIZm3Uzw3hHLLl-SEJj18EsOjJrDIDID9WQACG8G8HQz4_iUbPvYtRQaZOjgueYLFyk9KZiai4fW6lUhWOZQEPU2CWcE9yEImrujewWCKrljwkUpzWNZllgRcXs-AJY6b4XnBcIcOM-hSpu_tdmSyG093DkDDl-snuoMB2dLr7FDlja5rXCFi4sayPRgmsuwtpoQx7RofMQx3z1XYHGkda-2IwOrXTeixjr_ROgqQgBsC52Gsqw-d4G7Qxs25pUOrZMdZGmpohWojIb9YVD5Kwvv5ZHK2ugWs9QzWW7C-7hUnV_oUAfhH8dv_gDQrX99" id="12" name="Picture"/>
            <a:graphic>
              <a:graphicData uri="http://schemas.openxmlformats.org/drawingml/2006/picture">
                <pic:pic>
                  <pic:nvPicPr>
                    <pic:cNvPr descr="C:/Users/15919/Desktop/论文草稿/temp/manuscript_figures_ec06adyz/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ascii="Times New Roman" w:hAnsi="Times New Roman"/>
          <w:sz w:val="24"/>
        </w:rP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rPr>
          <w:rFonts w:ascii="Times New Roman" w:hAnsi="Times New Roman"/>
          <w:sz w:val="24"/>
        </w:rPr>
        <w:t xml:space="preserve"> </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overall network architecture, with further details provided in Methods.</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 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Fonts w:ascii="Times New Roman" w:hAnsi="Times New Roman"/>
          <w:sz w:val="24"/>
        </w:rP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480" w:lineRule="auto"/>
        <w:ind w:firstLine="0"/>
        <w:jc w:val="center"/>
      </w:pPr>
      <w:r>
        <w:rPr>
          <w:rFonts w:ascii="Times New Roman" w:hAnsi="Times New Roman"/>
          <w:sz w:val="24"/>
        </w:rPr>
        <w:drawing>
          <wp:inline>
            <wp:extent cx="5733415" cy="6772630"/>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atoms provide local cues for Match. c, Foreground classification and identity assignment in Match. The candidate encoder processes a 48³ grid centred on each blob with a U-Net to generate voxel summary h_j^{\mathrm{vox}}. Find-derived blob, pocket and pseudo-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ydUstuEzEU_ZXRrGmcR5OooxIJpcCmRRESO0uR6_FkrIwfsp1kykNih1h0h9jwA6z4AJDga2j7Gdw7njwqukCMNPK5vsfn3nvsN6lloUyzJL399OP3l5_kQoTS5DfvMehYG-r0UZI64U21Fjnyphmlr7xwntLe8KR3QumZ8MtgLKV3377ffP5wd_3x9usvSqMgpQ8qaqYEqhVycaQawtH6GBOKueXKYmo4HgyOe8N6NB73R4Pu21MreQZ_UqtK-4w9pmkZgs0I8bwUivmOsUJDsjBOsQChW5DcsY3UC1WRfrc7IopJTdNWAbT-RwOOhZUTOxn3TyKmKCQXZ4avlNAhKjlRsSCN9qW0nqaTZkK9nkk-czHgL9Yzl-TCc6wyzUjjPGmMJ63v5NB2EoSyMKZewRFpwxwMhmb9XPDuiOVXr0ncmHfx63esXsAgMgf13ggQ3gvg2XbGySnZ9bFvKTbI0MFzw5c-0WZaMr0QT5wzm1Kw3KMg6m0T3goe4iZo7o8eFIiq5C8TLitpn8mqwoqIm_MRsMwHJwIvERbAeQlVmvy9YEci9_Uw8hYcvtxcmBwHZ6tgsEOW1YVTuMLFJTVkujDNVVwbTdjHtKhDwjHfPldgcaS1r7YlA6tZt6LW-fBcGJUgALaDTmNZtj73kbtHWzbmtYmtkz1kWaWTDaicDPvDqPIgC-_lqc6b3R1mWWCy2m4f4kq3fqFDLYR_kr77A_fHfuE" id="15" name="Picture"/>
            <a:graphic>
              <a:graphicData uri="http://schemas.openxmlformats.org/drawingml/2006/picture">
                <pic:pic>
                  <pic:nvPicPr>
                    <pic:cNvPr descr="C:/Users/15919/Desktop/论文草稿/temp/manuscript_figures_ec06adyz/figure_000002.png" id="16" name="Picture"/>
                    <pic:cNvPicPr>
                      <a:picLocks noChangeArrowheads="1" noChangeAspect="1"/>
                    </pic:cNvPicPr>
                  </pic:nvPicPr>
                  <pic:blipFill>
                    <a:blip r:embed="rId14"/>
                    <a:stretch>
                      <a:fillRect/>
                    </a:stretch>
                  </pic:blipFill>
                  <pic:spPr bwMode="auto">
                    <a:xfrm>
                      <a:off x="0" y="0"/>
                      <a:ext cx="5733415" cy="6772630"/>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2 | Network architecture and data flow of LigandSeek’s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Shared inputs. Experimental cryo-electron microscopy density</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simulated receptor density</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difference density</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ascii="Times New Roman" w:hAnsi="Times New Roman"/>
          <w:sz w:val="24"/>
        </w:rPr>
        <w:t xml:space="preserve">and positive difference density</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w:t>
      </w:r>
      <w:r>
        <w:rPr>
          <w:rFonts w:ascii="Times New Roman" w:hAnsi="Times New Roman"/>
          <w:sz w:val="24"/>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Joint voxel and point-cloud localisation in Find. A 3D U-Net combines density and receptor-atom features to predict voxelwise ligand-region probabilities. In parallel, Point Transformer V3 encodes receptor atoms and pseudo-atoms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pseudo-atoms provide local cues for Match.</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Foreground classification and identity assignment in Match. The candidate encoder processes a 48³ grid centred on each blob with a U-Net to generate voxel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Find-derived blob, pocket and pseudo-atom features modulate</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via dual pooling, cross-attention and FiLM, yielding candidate representation</w:t>
      </w:r>
      <w:r>
        <w:rPr>
          <w:rFonts w:ascii="Times New Roman" w:hAnsi="Times New Roman"/>
          <w:sz w:val="24"/>
        </w:rPr>
        <w:t xml:space="preserve"> </w:t>
      </w:r>
      <m:oMath>
        <m:sSub>
          <m:e>
            <m:r>
              <m:t>h</m:t>
            </m:r>
          </m:e>
          <m:sub>
            <m:r>
              <m:t>j</m:t>
            </m:r>
          </m:sub>
        </m:sSub>
      </m:oMath>
      <w:r>
        <w:rPr>
          <w:rFonts w:ascii="Times New Roman" w:hAnsi="Times New Roman"/>
          <w:sz w:val="24"/>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Times New Roman" w:hAnsi="Times New Roman"/>
          <w:sz w:val="24"/>
        </w:rPr>
        <w:t xml:space="preserve"> </w:t>
      </w:r>
      <m:oMath>
        <m:sSub>
          <m:e>
            <m:r>
              <m:t>g</m:t>
            </m:r>
          </m:e>
          <m:sub>
            <m:r>
              <m:t>k</m:t>
            </m:r>
          </m:sub>
        </m:sSub>
      </m:oMath>
      <w:r>
        <w:rPr>
          <w:rFonts w:ascii="Times New Roman" w:hAnsi="Times New Roman"/>
          <w:sz w:val="24"/>
        </w:rPr>
        <w:t xml:space="preserve">. Finally, a foreground head predicts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from</w:t>
      </w:r>
      <w:r>
        <w:rPr>
          <w:rFonts w:ascii="Times New Roman" w:hAnsi="Times New Roman"/>
          <w:sz w:val="24"/>
        </w:rPr>
        <w:t xml:space="preserve"> </w:t>
      </w:r>
      <m:oMath>
        <m:sSub>
          <m:e>
            <m:r>
              <m:t>h</m:t>
            </m:r>
          </m:e>
          <m:sub>
            <m:r>
              <m:t>j</m:t>
            </m:r>
          </m:sub>
        </m:sSub>
      </m:oMath>
      <w:r>
        <w:rPr>
          <w:rFonts w:ascii="Times New Roman" w:hAnsi="Times New Roman"/>
          <w:sz w:val="24"/>
        </w:rPr>
        <w:t xml:space="preserve">, and learned cosine scoring between</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produces the assignment matrix</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Pose reconstruction in Build. The blob geometric centre</w:t>
      </w:r>
      <w:r>
        <w:rPr>
          <w:rFonts w:ascii="Times New Roman" w:hAnsi="Times New Roman"/>
          <w:sz w:val="24"/>
        </w:rPr>
        <w:t xml:space="preserve"> </w:t>
      </w:r>
      <m:oMath>
        <m:r>
          <m:t>p</m:t>
        </m:r>
      </m:oMath>
      <w:r>
        <w:rPr>
          <w:rFonts w:ascii="Times New Roman" w:hAnsi="Times New Roman"/>
          <w:sz w:val="24"/>
        </w:rPr>
        <w:t xml:space="preserve">, Match-assigned ligand identity and pocket environment are supplied to docking tools to generate ligand poses. The default tool is PocketXMol fine-tuned with density guidance. Vina, DiffDock and EMERALD are also supported.</w:t>
      </w:r>
    </w:p>
    <w:bookmarkEnd w:id="17"/>
    <w:bookmarkStart w:id="56" w:name="results"/>
    <w:p>
      <w:pPr>
        <w:pStyle w:val="Heading1"/>
        <w:keepNext/>
        <w:spacing w:line="480" w:lineRule="auto"/>
        <w:ind w:firstLine="0"/>
      </w:pPr>
      <w:r>
        <w:rPr>
          <w:rFonts w:ascii="Times New Roman" w:hAnsi="Times New Roman"/>
          <w:sz w:val="24"/>
        </w:rPr>
        <w:t xml:space="preserve">Results</w:t>
      </w:r>
    </w:p>
    <w:bookmarkStart w:id="27" w:name="stage-1"/>
    <w:p>
      <w:pPr>
        <w:pStyle w:val="Heading2"/>
        <w:keepNext/>
        <w:spacing w:line="480" w:lineRule="auto"/>
        <w:ind w:firstLine="0"/>
      </w:pPr>
      <w:r>
        <w:rPr>
          <w:rFonts w:ascii="Times New Roman" w:hAnsi="Times New Roman"/>
          <w:sz w:val="24"/>
        </w:rPr>
        <w:t xml:space="preserve">Stage 1</w:t>
      </w:r>
    </w:p>
    <w:bookmarkStart w:id="18" w:name="stage-1-evaluation-metrics"/>
    <w:p>
      <w:pPr>
        <w:pStyle w:val="Heading3"/>
        <w:keepNext/>
        <w:spacing w:line="480" w:lineRule="auto"/>
        <w:ind w:firstLine="0"/>
      </w:pPr>
      <w:r>
        <w:rPr>
          <w:rFonts w:ascii="Times New Roman" w:hAnsi="Times New Roman"/>
          <w:sz w:val="24"/>
        </w:rPr>
        <w:t xml:space="preserve">Stage 1: Evaluation metrics</w:t>
      </w:r>
    </w:p>
    <w:p>
      <w:pPr>
        <w:pStyle w:val="FirstParagraph"/>
        <w:spacing w:line="480" w:lineRule="auto" w:after="120"/>
        <w:ind w:firstLine="480"/>
      </w:pPr>
      <w:r>
        <w:rPr>
          <w:rFonts w:ascii="Times New Roman" w:hAnsi="Times New Roman"/>
          <w:sz w:val="24"/>
        </w:rPr>
        <w:t xml:space="preserve">For a given PDB structure, let the model predict</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ascii="Times New Roman" w:hAnsi="Times New Roman"/>
          <w:sz w:val="24"/>
        </w:rPr>
        <w:t xml:space="preserve">three-dimensional candidate blobs,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The structure contains</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ascii="Times New Roman" w:hAnsi="Times New Roman"/>
          <w:sz w:val="24"/>
        </w:rPr>
        <w:t xml:space="preserve">ground-truth ligand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where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denotes the ligand region of instance</w:t>
      </w:r>
      <w:r>
        <w:rPr>
          <w:rFonts w:ascii="Times New Roman" w:hAnsi="Times New Roman"/>
          <w:sz w:val="24"/>
        </w:rPr>
        <w:t xml:space="preserve"> </w:t>
      </w:r>
      <m:oMath>
        <m:r>
          <m:t>j</m:t>
        </m:r>
      </m:oMath>
      <w:r>
        <w:rPr>
          <w:rFonts w:ascii="Times New Roman" w:hAnsi="Times New Roman"/>
          <w:sz w:val="24"/>
        </w:rPr>
        <w:t xml:space="preserve">. We set the bidirectional coverage threshold to</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evaluated Find at both the semantic and instance levels. At the semantic level, performance was measured using the Dice score.</w:t>
      </w:r>
    </w:p>
    <w:p>
      <w:pPr>
        <w:pStyle w:val="BodyText"/>
        <w:spacing w:line="480" w:lineRule="auto" w:after="120"/>
        <w:ind w:firstLine="480"/>
      </w:pPr>
      <w:r>
        <w:rPr>
          <w:rFonts w:ascii="Times New Roman" w:hAnsi="Times New Roman"/>
          <w:sz w:val="24"/>
        </w:rPr>
        <w:t xml:space="preserve">At the instance level, predicted instances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ascii="Times New Roman" w:hAnsi="Times New Roman"/>
          <w:sz w:val="24"/>
        </w:rPr>
        <w:t xml:space="preserve">and ground-truth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ascii="Times New Roman" w:hAnsi="Times New Roman"/>
          <w:sz w:val="24"/>
        </w:rPr>
        <w:t xml:space="preserve">form the two vertex sets of a bipartite graph. An edge connects</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if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then used the Hungarian algorithm to obtain a maximum matching between the two sets. Let</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ascii="Times New Roman" w:hAnsi="Times New Roman"/>
          <w:sz w:val="24"/>
        </w:rP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These quantities yield the one-to-one F1 score at threshold</w:t>
      </w:r>
      <w:r>
        <w:rPr>
          <w:rFonts w:ascii="Times New Roman" w:hAnsi="Times New Roman"/>
          <w:sz w:val="24"/>
        </w:rPr>
        <w:t xml:space="preserve"> </w:t>
      </w:r>
      <m:oMath>
        <m:r>
          <m:t>τ</m:t>
        </m:r>
      </m:oMath>
      <w:r>
        <w:rPr>
          <w:rFonts w:ascii="Times New Roman" w:hAnsi="Times New Roman"/>
          <w:sz w:val="24"/>
        </w:rPr>
        <w:t xml:space="preserve">,</w:t>
      </w:r>
      <w:r>
        <w:rPr>
          <w:rFonts w:ascii="Times New Roman" w:hAnsi="Times New Roman"/>
          <w:sz w:val="24"/>
        </w:rPr>
        <w:t xml:space="preserve"> </w:t>
      </w:r>
      <m:oMath>
        <m:sSub>
          <m:e>
            <m:r>
              <m:rPr>
                <m:sty m:val="p"/>
              </m:rPr>
              <m:t>one-to-oneF1</m:t>
            </m:r>
          </m:e>
          <m:sub>
            <m:r>
              <m:t>τ</m:t>
            </m:r>
          </m:sub>
        </m:sSub>
      </m:oMath>
      <w:r>
        <w:rPr>
          <w:rFonts w:ascii="Times New Roman" w:hAnsi="Times New Roman"/>
          <w:sz w:val="24"/>
        </w:rPr>
        <w:t xml:space="preserve">. Ranking predicted instances by their mean voxel probability yields the corresponding one-to-one precision–recall area under the curve (PRAUC),</w:t>
      </w:r>
      <w:r>
        <w:rPr>
          <w:rFonts w:ascii="Times New Roman" w:hAnsi="Times New Roman"/>
          <w:sz w:val="24"/>
        </w:rPr>
        <w:t xml:space="preserve"> </w:t>
      </w:r>
      <m:oMath>
        <m:sSub>
          <m:e>
            <m:r>
              <m:rPr>
                <m:sty m:val="p"/>
              </m:rPr>
              <m:t>one-to-onePRAUC</m:t>
            </m:r>
          </m:e>
          <m:sub>
            <m:r>
              <m:t>τ</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bookmarkEnd w:id="18"/>
    <w:bookmarkStart w:id="22" w:name="stage-1-results"/>
    <w:p>
      <w:pPr>
        <w:pStyle w:val="Heading3"/>
        <w:keepNext/>
        <w:spacing w:line="480" w:lineRule="auto"/>
        <w:ind w:firstLine="0"/>
      </w:pPr>
      <w:r>
        <w:rPr>
          <w:rFonts w:ascii="Times New Roman" w:hAnsi="Times New Roman"/>
          <w:sz w:val="24"/>
        </w:rPr>
        <w:t xml:space="preserve">Stage 1: Results</w:t>
      </w:r>
    </w:p>
    <w:p>
      <w:pPr>
        <w:pStyle w:val="FirstParagraph"/>
        <w:spacing w:line="480" w:lineRule="auto" w:after="120"/>
        <w:ind w:firstLine="480"/>
      </w:pPr>
      <w:r>
        <w:rPr>
          <w:rFonts w:ascii="Times New Roman" w:hAnsi="Times New Roman"/>
          <w:sz w:val="24"/>
        </w:rPr>
        <w:t xml:space="preserve">Panels a, c and e of</w:t>
      </w:r>
      <w:r>
        <w:rPr>
          <w:rFonts w:ascii="Times New Roman" w:hAnsi="Times New Roman"/>
          <w:sz w:val="24"/>
        </w:rPr>
        <w:t xml:space="preserve"> </w:t>
      </w: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ascii="Times New Roman" w:hAnsi="Times New Roman"/>
          <w:sz w:val="24"/>
        </w:rPr>
        <w:t xml:space="preserve">show predictions on the full test set. Panels b, d and f show evaluations restricted to small molecules. Ground-truth and predicted instances from other categories, such as sugars and metal ions, were excluded from both numerators and denominators.</w:t>
      </w:r>
    </w:p>
    <w:p>
      <w:pPr>
        <w:pStyle w:val="BodyText"/>
        <w:spacing w:line="480" w:lineRule="auto" w:after="120"/>
        <w:ind w:firstLine="480"/>
      </w:pPr>
      <w:r>
        <w:rPr>
          <w:rFonts w:ascii="Times New Roman" w:hAnsi="Times New Roman"/>
          <w:sz w:val="24"/>
        </w:rPr>
        <w:t xml:space="preserve">We compared LigandSeek-Find using either deposited or CryoAtom2-reconstructed receptors with the density-only method Emap2lig-Find</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the full test set, their mean Dice scores were 0.584, 0.477 and 0.050, respectively. Their mean one-to-one PRAUC@0.3 scores were 0.663, 0.541 and 0.255, respectively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K0FANzYDSM"/>
          <w:rFonts w:ascii="Times New Roman" w:hAnsi="Times New Roman"/>
          <w:sz w:val="24"/>
        </w:rPr>
        <w:t xml:space="preserve">Fig. 3a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stricter matching threshold of 0.5, their mean one-to-one PRAUC@0.5 scores were 0.558, 0.447 and 0.126, respectively. LigandSeek-Find outperformed Emap2lig-Find even without deposited receptor structures as input, and this trend persisted in the small-molecule test subset.</w:t>
      </w:r>
    </w:p>
    <w:p>
      <w:pPr>
        <w:pStyle w:val="BodyText"/>
        <w:spacing w:line="480" w:lineRule="auto" w:after="120"/>
        <w:ind w:firstLine="480"/>
      </w:pPr>
      <w:r>
        <w:rPr>
          <w:rFonts w:ascii="Times New Roman" w:hAnsi="Times New Roman"/>
          <w:sz w:val="24"/>
        </w:rPr>
        <w:t xml:space="preserve">Panels c and d compare LigandSeek-Find directly against Emap2lig-Find using one-to-one PRAUC@0.3</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kmprQUA9xANtQ"/>
          <w:rFonts w:ascii="Times New Roman" w:hAnsi="Times New Roman"/>
          <w:sz w:val="24"/>
        </w:rPr>
        <w:t xml:space="preserve">Fig. 3c,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CryoAtom2-reconstructed receptors, LigandSeek-Find outperformed Emap2lig-Find on 112 structures, performed comparably on 40 and was inferior on only 27 across the full test set</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q0FANzeDSU"/>
          <w:rFonts w:ascii="Times New Roman" w:hAnsi="Times New Roman"/>
          <w:sz w:val="24"/>
        </w:rPr>
        <w:t xml:space="preserve">Fig. 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demonstrating a substantial overall advantage. Emap2lig primarily targets small-molecule identification and modelling, and its detection performance was better for small molecules than across all ligand categories, as shown in</w:t>
      </w:r>
      <w:r>
        <w:rPr>
          <w:rFonts w:ascii="Times New Roman" w:hAnsi="Times New Roman"/>
          <w:sz w:val="24"/>
        </w:rPr>
        <w:t xml:space="preserve"> </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Because downstream tasks cannot tolerate overwhelming candidate pools, inflating recall at the expense of precision is impractical. In contrast, LigandSeek-Find balanced precision and recall effectively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While this low precision directly depressed the Dice score of Emap2lig-Find, its top-k success rates remained moderate</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7</w:t>
      </w:r>
      <w:r>
        <w:rPr>
          <w:rFonts w:ascii="Times New Roman" w:hAnsi="Times New Roman"/>
          <w:sz w:val="24"/>
        </w:rPr>
        <w:t xml:space="preserve">,</w:t>
      </w:r>
      <w:r>
        <w:rPr>
          <w:rFonts w:ascii="Times New Roman" w:hAnsi="Times New Roman"/>
          <w:sz w:val="24"/>
        </w:rPr>
        <w:t xml:space="preserve"> </w:t>
      </w:r>
      <w:r>
        <w:rPr>
          <w:rStyle w:val="MDFIGREF_eJyrrk7LTC9KTbNKNUrVLc5NzMnRLcgsSM3JzEutSaytBQDAfQxA"/>
          <w:rFonts w:ascii="Times New Roman" w:hAnsi="Times New Roman"/>
          <w:sz w:val="24"/>
        </w:rPr>
        <w:t xml:space="preserve">Fig. 8a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indicating that true instances were still ranked preferentially near the top. Because PRAUC evaluates candidate ranking quality rather than unranked voxel overlap, its PRAUC was correspondingly much higher than its Dice score.</w:t>
      </w:r>
    </w:p>
    <w:p>
      <w:pPr>
        <w:pStyle w:val="CaptionedFigure"/>
        <w:keepNext/>
        <w:spacing w:line="480" w:lineRule="auto"/>
        <w:ind w:firstLine="0"/>
        <w:jc w:val="center"/>
      </w:pPr>
      <w:r>
        <w:rPr>
          <w:rFonts w:ascii="Times New Roman" w:hAnsi="Times New Roman"/>
          <w:sz w:val="24"/>
        </w:rPr>
        <w:drawing>
          <wp:inline>
            <wp:extent cx="5733415" cy="6363415"/>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ydUsuO0zAU_ZUoa6bugxY1GiqhDrAZUIXEzlLlcZzEamJbtttmeKwRC1aD2IBmPSs-gJHga5jOZ3BvnD5GzAIRKfLxPcfnPuy3sWG-iJMo3ny-_v31J3Ge5aK3ub64ufzWMcbX8YMotsLpciVS1E0TSl87YR2lveG4N6b0RLiF14bS2-8_br58uP30cXP1i9JgSOm9jopVAt0CeVQxqY6crA1TokS-YnaxNKgYPhoMHvaG9WgwwvXdsZE8gT-qq1K5hD2mceG9SQhxvBAVcx1thAIy07ZiHrY2J6lla6nyqiT9bndEMB2NWwfw-h8POOaXVuxs7D-Z6CyTXJxovqyE8sHJipJ5qZUrpHE0njQdqtVM8pkNG_5yNbNRKhzHLNOENBdAmvmTdvzkcPrEi8pAm2oJR6Tx80zmUKybC94dsfT8DQmBeRe_QceoHBqRKbj3e4DwegDPtj1Ojsmujn1JoUCGEzzVfOEipacFU7l4Yq1eF4KlDkwavy3hjOA-BMFzf_QgQXAlfw3hrJTmmSxLzIi4OR8AS5y3wvMCYQaaV5Cl4e9sdiJy1w93zsCEz9YvdIqNs6XXWCFL6sxWuMLFRTUwXejmPKyNJ8SRFrWPOPLtcwUVR1n7alsxqJp1a2qs88-FriIEoLZQaUjLVqcuaPdoq0Ze6VA62UOWlCpag8t42B8Gl3tVeC9PVdpEd5glnslyGz7EpWrnhRNqIfyT-P0fIQ2BeQ" id="20" name="Picture"/>
            <a:graphic>
              <a:graphicData uri="http://schemas.openxmlformats.org/drawingml/2006/picture">
                <pic:pic>
                  <pic:nvPicPr>
                    <pic:cNvPr descr="C:/Users/15919/Desktop/论文草稿/temp/manuscript_figures_ec06adyz/figure_000003.png" id="21" name="Picture"/>
                    <pic:cNvPicPr>
                      <a:picLocks noChangeArrowheads="1" noChangeAspect="1"/>
                    </pic:cNvPicPr>
                  </pic:nvPicPr>
                  <pic:blipFill>
                    <a:blip r:embed="rId19"/>
                    <a:stretch>
                      <a:fillRect/>
                    </a:stretch>
                  </pic:blipFill>
                  <pic:spPr bwMode="auto">
                    <a:xfrm>
                      <a:off x="0" y="0"/>
                      <a:ext cx="5733415" cy="6363415"/>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3 | Ligand-region detection by LigandSeek-Find.</w:t>
      </w:r>
      <w:r>
        <w:rPr>
          <w:rFonts w:ascii="Times New Roman" w:hAnsi="Times New Roman"/>
          <w:sz w:val="24"/>
        </w:rPr>
        <w:t xml:space="preserve"> </w:t>
      </w:r>
      <w:r>
        <w:rPr>
          <w:rFonts w:ascii="Times New Roman" w:hAnsi="Times New Roman"/>
          <w:sz w:val="24"/>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b, Per-PDB Dice scores and one-to-one PRAUC at thresholds of 0.3 and 0.5. Error bars show 95% intervals for the mean from 10,000 bootstrap resamples of PDB entries.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d, Direct comparisons of LigandSeek-Find using CryoAtom2-reconstructed receptors with Emap2lig-Find. LigandSeek-Find performs better, comparably or worse on 112/40/27 PDB entries for all ligands and 40/36/18 for small molecules, respectively.</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 f, One-to-one precision and recall at threshold of 0.3. Each point represents one PDB entry; open white circles and thick bars indicate the median and interquartile range, respectively.</w:t>
      </w:r>
    </w:p>
    <w:bookmarkEnd w:id="22"/>
    <w:bookmarkStart w:id="26" w:name="stage-1-representative-cases"/>
    <w:p>
      <w:pPr>
        <w:pStyle w:val="Heading3"/>
        <w:keepNext/>
        <w:spacing w:line="480" w:lineRule="auto"/>
        <w:ind w:firstLine="0"/>
      </w:pPr>
      <w:r>
        <w:rPr>
          <w:rFonts w:ascii="Times New Roman" w:hAnsi="Times New Roman"/>
          <w:sz w:val="24"/>
        </w:rPr>
        <w:t xml:space="preserve">Stage 1: Representative cases</w:t>
      </w:r>
    </w:p>
    <w:p>
      <w:pPr>
        <w:pStyle w:val="FirstParagraph"/>
        <w:spacing w:line="480" w:lineRule="auto" w:after="120"/>
        <w:ind w:firstLine="480"/>
      </w:pPr>
      <w:r>
        <w:rPr>
          <w:rFonts w:ascii="Times New Roman" w:hAnsi="Times New Roman"/>
          <w:sz w:val="24"/>
        </w:rPr>
        <w:t xml:space="preserve">Four representative cases showed that LigandSeek-Find covered ligand regions more completely than the density-only method Emap2lig-Find and detected regions that it missed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aW2FgAZVg9w"/>
          <w:rFonts w:ascii="Times New Roman" w:hAnsi="Times New Roman"/>
          <w:sz w:val="24"/>
        </w:rPr>
        <w:t xml:space="preserve">Fig. 4a–d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the viral replication-associated protein complex 9PQM, both methods detected most of the region occupied by the ATP analogue ATPγS. LigandSeek-Find and Emap2lig-Find achieved Dice scores of 0.816 and 0.766 for this ligand instance, respectively</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K0FAN2PDRc"/>
          <w:rFonts w:ascii="Times New Roman" w:hAnsi="Times New Roman"/>
          <w:sz w:val="24"/>
        </w:rPr>
        <w:t xml:space="preserve">Fig. 4a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q0FAN2SDRg"/>
          <w:rFonts w:ascii="Times New Roman" w:hAnsi="Times New Roman"/>
          <w:sz w:val="24"/>
        </w:rPr>
        <w:t xml:space="preserve">Fig. 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NADPH binding site in 9WUP, Emap2lig-Find produced no prediction overlapping the ground-truth ligand region. LigandSeek-Find covered 0.922 of that region in the same comparison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q0FAN2VDRk"/>
          <w:rFonts w:ascii="Times New Roman" w:hAnsi="Times New Roman"/>
          <w:sz w:val="24"/>
        </w:rPr>
        <w:t xml:space="preserve">Fig. 4c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Similarly, at the ADP site in 9RMI, Emap2lig-Find covered only 0.103 of the ground-truth region, whereas LigandSeek-Find covered 0.883</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4d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local comparisons demonstrated advantages in both detecting ligand regions and delineating their spatial boundaries more accurately.</w:t>
      </w:r>
    </w:p>
    <w:p>
      <w:pPr>
        <w:pStyle w:val="BodyText"/>
        <w:spacing w:line="480" w:lineRule="auto" w:after="120"/>
        <w:ind w:firstLine="480"/>
      </w:pPr>
      <w:r>
        <w:rPr>
          <w:rFonts w:ascii="Times New Roman" w:hAnsi="Times New Roman"/>
          <w:sz w:val="24"/>
        </w:rP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bm2FgAZUw9v"/>
          <w:rFonts w:ascii="Times New Roman" w:hAnsi="Times New Roman"/>
          <w:sz w:val="24"/>
        </w:rPr>
        <w:t xml:space="preserve">Fig. 4a–c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9RMI case illustrated a loss of precision after receptor replacement. For this ligand instance, the predicted region extended beyond the ligand, reducing precision from 0.607 to 0.396 and the Dice score from 0.719 to 0.532</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4d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Nevertheless, the prediction still covered 0.810 of the ground-truth ligand region, and its Dice score exceeded the 0.131 achieved by Emap2lig-Find. Thus, across these four cases, LigandSeek-Find usaually retained good detection performance with CryoAtom2-reconstructed receptors when deposited receptor structures were unavailable.</w:t>
      </w:r>
    </w:p>
    <w:p>
      <w:pPr>
        <w:pStyle w:val="CaptionedFigure"/>
        <w:keepNext/>
        <w:spacing w:line="480" w:lineRule="auto"/>
        <w:ind w:firstLine="0"/>
        <w:jc w:val="center"/>
      </w:pPr>
      <w:r>
        <w:rPr>
          <w:rFonts w:ascii="Times New Roman" w:hAnsi="Times New Roman"/>
          <w:sz w:val="24"/>
        </w:rPr>
        <w:drawing>
          <wp:inline>
            <wp:extent cx="5733415" cy="7082454"/>
            <wp:effectExtent b="0" l="0" r="0" t="0"/>
            <wp:docPr descr="Fig. 4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ydUsuKFDEU_ZWi1k6nu6drxi7GBulRN6M0grtAk0mlqkJXJSFJP8bHVhEUNzIbP0BXulfQrxmnP8N7K9WPQQbEgiIn95577isvYsN8GadRfP3xx9Wnn8R5Voje1Ydv68-vr95ddozxq_hOFFvhdLUQGVLHKaXPnLCO0l4y7A0pPRVu5rWhdP31--_LN-v3b6-__KI0aFJ6m6hitUDB4D_I9dxy5sRBzaRCf83sbG6QkRwfHg56yeq4e7c_SAYvT4zkKfzRqq6US9k9Gpfem5QQx0tRM9fRRihw5trWzMPVFiSzbClVUVek3-0eEcxC41YBtP5HA8L83IqtjP0nEZ3nkotTzee1UD4oWVExL7VypTSOxqOmQ7WYSD6x4cKfLCY2yoTjmGWckmYHpFkBaTdA9hdAvKgNtKnmECKNn-aygGLdVPDuEcsunpNgmHbxG3SMKqARmYF6PwGE6wE82fQ4OiHbOnYlhQIZTvBM85mLlB6XTBXivrV6WQqWORDpod7G4YzgPhhBcxe6lyCokr-GcF5J81BWFWZE3MQHwFLnrfC8RJgD5ylkafw3LlsSuamHN2dgwufLxzrDxtnca6yQpavc1njC4qIVeLrQzUU4G02wo1usfMTR3z5XYHGkta-2JQOrOTeixjr_SOg6QgBsC5WGtGxx5gJ3hzZs9CsdSic7yNJKRUtQGSa4w1tZuJcHKmusW8xSz2S1Me_jSrXzwgm1EP5R_OoPBQ6FSg" id="24" name="Picture"/>
            <a:graphic>
              <a:graphicData uri="http://schemas.openxmlformats.org/drawingml/2006/picture">
                <pic:pic>
                  <pic:nvPicPr>
                    <pic:cNvPr descr="C:/Users/15919/Desktop/论文草稿/temp/manuscript_figures_ec06adyz/figure_000004.png" id="25" name="Picture"/>
                    <pic:cNvPicPr>
                      <a:picLocks noChangeArrowheads="1" noChangeAspect="1"/>
                    </pic:cNvPicPr>
                  </pic:nvPicPr>
                  <pic:blipFill>
                    <a:blip r:embed="rId23"/>
                    <a:stretch>
                      <a:fillRect/>
                    </a:stretch>
                  </pic:blipFill>
                  <pic:spPr bwMode="auto">
                    <a:xfrm>
                      <a:off x="0" y="0"/>
                      <a:ext cx="5733415" cy="7082454"/>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4 | Small-molecule region detection under different receptor conditions.</w:t>
      </w:r>
      <w:r>
        <w:rPr>
          <w:rFonts w:ascii="Times New Roman" w:hAnsi="Times New Roman"/>
          <w:sz w:val="24"/>
        </w:rPr>
        <w:t xml:space="preserve"> </w:t>
      </w:r>
      <w:r>
        <w:rPr>
          <w:rFonts w:ascii="Times New Roman" w:hAnsi="Times New Roman"/>
          <w:sz w:val="24"/>
        </w:rPr>
        <w:t xml:space="preserve">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26"/>
    <w:bookmarkEnd w:id="27"/>
    <w:bookmarkStart w:id="55" w:name="stage-2"/>
    <w:p>
      <w:pPr>
        <w:pStyle w:val="Heading2"/>
        <w:keepNext/>
        <w:spacing w:line="480" w:lineRule="auto"/>
        <w:ind w:firstLine="0"/>
      </w:pPr>
      <w:r>
        <w:rPr>
          <w:rFonts w:ascii="Times New Roman" w:hAnsi="Times New Roman"/>
          <w:sz w:val="24"/>
        </w:rPr>
        <w:t xml:space="preserve">Stage 2</w:t>
      </w:r>
    </w:p>
    <w:bookmarkStart w:id="28" w:name="stage-2-evaluation-protocol"/>
    <w:p>
      <w:pPr>
        <w:pStyle w:val="Heading3"/>
        <w:keepNext/>
        <w:spacing w:line="480" w:lineRule="auto"/>
        <w:ind w:firstLine="0"/>
      </w:pPr>
      <w:r>
        <w:rPr>
          <w:rFonts w:ascii="Times New Roman" w:hAnsi="Times New Roman"/>
          <w:sz w:val="24"/>
        </w:rPr>
        <w:t xml:space="preserve">Stage 2: Evaluation protocol</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denote the</w:t>
      </w:r>
      <w:r>
        <w:rPr>
          <w:rFonts w:ascii="Times New Roman" w:hAnsi="Times New Roman"/>
          <w:sz w:val="24"/>
        </w:rPr>
        <w:t xml:space="preserve"> </w:t>
      </w:r>
      <m:oMath>
        <m:r>
          <m:t>i</m:t>
        </m:r>
      </m:oMath>
      <w:r>
        <w:rPr>
          <w:rFonts w:ascii="Times New Roman" w:hAnsi="Times New Roman"/>
          <w:sz w:val="24"/>
        </w:rPr>
        <w:t xml:space="preserve">th blob predicted by Find. Let</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 the ground-truth ligand region of instance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Here,</w:t>
      </w:r>
      <w:r>
        <w:rPr>
          <w:rFonts w:ascii="Times New Roman" w:hAnsi="Times New Roman"/>
          <w:sz w:val="24"/>
        </w:rPr>
        <w:t xml:space="preserve"> </w:t>
      </w:r>
      <m:oMath>
        <m:sSubSup>
          <m:e>
            <m:r>
              <m:t>c</m:t>
            </m:r>
          </m:e>
          <m:sub>
            <m:r>
              <m:t>i</m:t>
            </m:r>
            <m:r>
              <m:t>j</m:t>
            </m:r>
          </m:sub>
          <m:sup>
            <m:r>
              <m:t>B</m:t>
            </m:r>
          </m:sup>
        </m:sSubSup>
      </m:oMath>
      <w:r>
        <w:rPr>
          <w:rFonts w:ascii="Times New Roman" w:hAnsi="Times New Roman"/>
          <w:sz w:val="24"/>
        </w:rPr>
        <w:t xml:space="preserve"> </w:t>
      </w:r>
      <w:r>
        <w:rPr>
          <w:rFonts w:ascii="Times New Roman" w:hAnsi="Times New Roman"/>
          <w:sz w:val="24"/>
        </w:rPr>
        <w:t xml:space="preserve">is the fraction of the blob covered by the ground-truth ligand region. Conversely,</w:t>
      </w:r>
      <w:r>
        <w:rPr>
          <w:rFonts w:ascii="Times New Roman" w:hAnsi="Times New Roman"/>
          <w:sz w:val="24"/>
        </w:rPr>
        <w:t xml:space="preserve"> </w:t>
      </w:r>
      <m:oMath>
        <m:sSubSup>
          <m:e>
            <m:r>
              <m:t>c</m:t>
            </m:r>
          </m:e>
          <m:sub>
            <m:r>
              <m:t>i</m:t>
            </m:r>
            <m:r>
              <m:t>j</m:t>
            </m:r>
          </m:sub>
          <m:sup>
            <m:r>
              <m:t>G</m:t>
            </m:r>
          </m:sup>
        </m:sSubSup>
      </m:oMath>
      <w:r>
        <w:rPr>
          <w:rFonts w:ascii="Times New Roman" w:hAnsi="Times New Roman"/>
          <w:sz w:val="24"/>
        </w:rPr>
        <w:t xml:space="preserve"> </w:t>
      </w:r>
      <w:r>
        <w:rPr>
          <w:rFonts w:ascii="Times New Roman" w:hAnsi="Times New Roman"/>
          <w:sz w:val="24"/>
        </w:rPr>
        <w:t xml:space="preserve">is the fraction of the ground-truth ligand region covered by the blob. For predicted ligand</w:t>
      </w:r>
      <w:r>
        <w:rPr>
          <w:rFonts w:ascii="Times New Roman" w:hAnsi="Times New Roman"/>
          <w:sz w:val="24"/>
        </w:rPr>
        <w:t xml:space="preserve"> </w:t>
      </w:r>
      <m:oMath>
        <m:sSub>
          <m:e>
            <m:r>
              <m:t>B</m:t>
            </m:r>
          </m:e>
          <m:sub>
            <m:r>
              <m:t>i</m:t>
            </m:r>
          </m:sub>
        </m:sSub>
      </m:oMath>
      <w:r>
        <w:rPr>
          <w:rFonts w:ascii="Times New Roman" w:hAnsi="Times New Roman"/>
          <w:sz w:val="24"/>
        </w:rPr>
        <w:t xml:space="preserve">, we present the ground-truth instances meeting a coverage threshold of 0.30 in both directions as a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ascii="Times New Roman" w:hAnsi="Times New Roman"/>
          <w:sz w:val="24"/>
        </w:rPr>
        <w:t xml:space="preserve">We label</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as foreground if</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ascii="Times New Roman" w:hAnsi="Times New Roman"/>
          <w:sz w:val="24"/>
        </w:rPr>
        <w:t xml:space="preserve">is non-empty, meaning there is a ground-truth ligand that both coverage fractions reach at least 30%, otherwise, we label the blob as background under this criterion.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ascii="Times New Roman" w:hAnsi="Times New Roman"/>
          <w:sz w:val="24"/>
        </w:rPr>
        <w:t xml:space="preserve">The SMILES representation of that instance defines the ligand identity label for</w:t>
      </w:r>
      <w:r>
        <w:rPr>
          <w:rFonts w:ascii="Times New Roman" w:hAnsi="Times New Roman"/>
          <w:sz w:val="24"/>
        </w:rPr>
        <w:t xml:space="preserve"> </w:t>
      </w:r>
      <m:oMath>
        <m:sSub>
          <m:e>
            <m:r>
              <m:t>B</m:t>
            </m:r>
          </m:e>
          <m:sub>
            <m:r>
              <m:t>i</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After training Find, we ran inference with deposited receptors on 1,650 training and 200 validation PDB entries. The resulting candidate blobs and the following features formed the training and validation sets for Match.</w:t>
      </w:r>
    </w:p>
    <w:p>
      <w:pPr>
        <w:pStyle w:val="BodyText"/>
        <w:spacing w:line="480" w:lineRule="auto" w:after="120"/>
        <w:ind w:firstLine="480"/>
      </w:pPr>
      <w:r>
        <w:rPr>
          <w:rFonts w:ascii="Times New Roman" w:hAnsi="Times New Roman"/>
          <w:sz w:val="24"/>
        </w:rPr>
        <w:t xml:space="preserve">Find also processed the 179 test PDB entries separately with deposited and CryoAtom2-reconstructed receptors. Respectively, these conditions yielded 1,238 and 1,160 blobs that were defined as foreground blob and corresponding ligands which could be successfully parsed. They also yielded 413 and 489 false-positive blobs, respectively. The Match test sets included all these blobs, including false positives, under the same two receptor conditions. After excluding blobs with unparseable ligands, we applied no additional filtering or processing to the remaining blobs. This evaluation therefore reflected the operation of the actual inference pipeline.</w:t>
      </w:r>
    </w:p>
    <w:p>
      <w:pPr>
        <w:pStyle w:val="BodyText"/>
        <w:spacing w:line="480" w:lineRule="auto" w:after="120"/>
        <w:ind w:firstLine="480"/>
      </w:pPr>
      <w:r>
        <w:rPr>
          <w:rFonts w:ascii="Times New Roman" w:hAnsi="Times New Roman"/>
          <w:sz w:val="24"/>
        </w:rPr>
        <w:t xml:space="preserve">We refer to the main model, which uses the</w:t>
      </w:r>
      <w:r>
        <w:rPr>
          <w:rFonts w:ascii="Times New Roman" w:hAnsi="Times New Roman"/>
          <w:sz w:val="24"/>
        </w:rPr>
        <w:t xml:space="preserve"> </w:t>
      </w:r>
      <w:r>
        <w:rPr>
          <w:rFonts w:ascii="Times New Roman" w:hAnsi="Times New Roman"/>
          <w:b/>
          <w:bCs/>
          <w:sz w:val="24"/>
        </w:rPr>
        <w:t xml:space="preserve">full voxel feature set</w:t>
      </w:r>
      <w:r>
        <w:rPr>
          <w:rFonts w:ascii="Times New Roman" w:hAnsi="Times New Roman"/>
          <w:sz w:val="24"/>
        </w:rPr>
        <w:t xml:space="preserve">, pocket context and auxiliary information AUX, as strongest. We also trained three ablation models on the same samples using the same training protocol. The voxel-only model used the full voxel feature set, density-only used only experimental density, and pocket-only used only pocket information.</w:t>
      </w:r>
    </w:p>
    <w:bookmarkEnd w:id="28"/>
    <w:bookmarkStart w:id="54" w:name="stage-2-results"/>
    <w:p>
      <w:pPr>
        <w:pStyle w:val="Heading3"/>
        <w:keepNext/>
        <w:spacing w:line="480" w:lineRule="auto"/>
        <w:ind w:firstLine="0"/>
      </w:pPr>
      <w:r>
        <w:rPr>
          <w:rFonts w:ascii="Times New Roman" w:hAnsi="Times New Roman"/>
          <w:sz w:val="24"/>
        </w:rPr>
        <w:t xml:space="preserve">Stage 2: Results</w:t>
      </w:r>
    </w:p>
    <w:p>
      <w:pPr>
        <w:pStyle w:val="CaptionedFigure"/>
        <w:keepNext/>
        <w:spacing w:line="480" w:lineRule="auto"/>
        <w:ind w:firstLine="0"/>
        <w:jc w:val="center"/>
      </w:pPr>
      <w:r>
        <w:rPr>
          <w:rFonts w:ascii="Times New Roman" w:hAnsi="Times New Roman"/>
          <w:sz w:val="24"/>
        </w:rPr>
        <w:drawing>
          <wp:inline>
            <wp:extent cx="5733415" cy="5752164"/>
            <wp:effectExtent b="0" l="0" r="0" t="0"/>
            <wp:docPr descr="Fig. 5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Diamonds indicate EMERALD-ID accuracy on an independent small-molecule test set, averaged only over sites returning valid predictions. Predictions were returned at 282 sites with deposited receptors and 313 sites with CryoAtom2-reconstructed receptors." title="MDPPTFIG_eJydUs2O0zAQfpUoV9i6P5uuGi2VUBe4LKhC4map8jpOYjWxLdttU36uIISQkEBcQFzhAg_Ait2Xods-BuO4fys4rIgU-ZuZb76Z8fhZqIjNwzgIlx_OF58ukLEkY-3l-furL59Hi8tfq68v27favy_eLL6_ayhlq_B2EGpmZDFlicsbxBg_MUwbjFtRr9XD-ISZsZUK49WPn1cfX63evl5-u8TYF8D4RhUEKZlT9-QDTRKiDxTh2gVLoscT5cLRUadz2Iqq6Chqt7qHz48VpzH8QVUWwsTkDg5za1WMkKE5K4lpSMUEBFOpS2LB1BlKNJlxkZUFajebXVQSLnC4VgCt_9GANDvRbCujbyQi05RTdiLppGTCeiXNCmK5FCbnyuCwX08opkNOh9ob9NF0qIOEGeqqDGJUbwPVy0DrXaD9VSDLSgVjigmkcGVHKc-gWTNitNklyfwp8o5R031RQ4kMBuEJqHdagNxuAA83M_aP0baPXUu-QeJu8FTSsQmEHOREZOyu1nKWM5IYEKn1NgGjGLXeCZq71L0CXhX9dQlnBVf3eVG4ig7X-R6Q2FjNLM0dTIHzGKrU8WvGloSu6znLKLjhs9lDmbjBycRK1yGJq1SX7oTFBRVEmjDN3J-1JvhdmFU2oC6-fq7AovParF_tmgys-tyIKm3sAybLwAFga-jUlyXTU-O5O7Rhu7iQvnW0gyQuRDADlV7UjrzKP1luL_dEUnu3mMSW8GLj3seFWN-Xu6E1hL8fvvgDnP-Tlg" id="30" name="Picture"/>
            <a:graphic>
              <a:graphicData uri="http://schemas.openxmlformats.org/drawingml/2006/picture">
                <pic:pic>
                  <pic:nvPicPr>
                    <pic:cNvPr descr="C:/Users/15919/Desktop/论文草稿/temp/manuscript_figures_ec06adyz/figure_000005.png" id="31" name="Picture"/>
                    <pic:cNvPicPr>
                      <a:picLocks noChangeArrowheads="1" noChangeAspect="1"/>
                    </pic:cNvPicPr>
                  </pic:nvPicPr>
                  <pic:blipFill>
                    <a:blip r:embed="rId29"/>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5 | Foreground F1 and ligand identity matching accuracy of each model with deposited receptors (a) and CryoAtom2-reconstructed receptors (b).</w:t>
      </w:r>
      <w:r>
        <w:rPr>
          <w:rFonts w:ascii="Times New Roman" w:hAnsi="Times New Roman"/>
          <w:sz w:val="24"/>
        </w:rPr>
        <w:t xml:space="preserve"> </w:t>
      </w:r>
      <w:r>
        <w:rPr>
          <w:rFonts w:ascii="Times New Roman" w:hAnsi="Times New Roman"/>
          <w:sz w:val="24"/>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480" w:lineRule="auto" w:after="120"/>
        <w:ind w:firstLine="480"/>
      </w:pPr>
      <w:r>
        <w:rPr>
          <w:rStyle w:val="MDFIGREF_eJyrrk7LTC9KTbMqLklMTzXSLUpMSSzSLUjMLKpJrK0FALa-C9E"/>
          <w:rFonts w:ascii="Times New Roman" w:hAnsi="Times New Roman"/>
          <w:sz w:val="24"/>
        </w:rPr>
        <w:t xml:space="preserve">Fig. 5a</w:t>
      </w:r>
      <w:r>
        <w:rPr>
          <w:rFonts w:ascii="Times New Roman" w:hAnsi="Times New Roman"/>
          <w:sz w:val="24"/>
        </w:rPr>
        <w:t xml:space="preserve"> </w:t>
      </w:r>
      <w:r>
        <w:rPr>
          <w:rFonts w:ascii="Times New Roman" w:hAnsi="Times New Roman"/>
          <w:sz w:val="24"/>
        </w:rPr>
        <w:t xml:space="preserve">shows false-positive detection and ligand identity matching for the four model variants with deposited receptors.</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5b</w:t>
      </w:r>
      <w:r>
        <w:rPr>
          <w:rFonts w:ascii="Times New Roman" w:hAnsi="Times New Roman"/>
          <w:sz w:val="24"/>
        </w:rPr>
        <w:t xml:space="preserve"> </w:t>
      </w:r>
      <w:r>
        <w:rPr>
          <w:rFonts w:ascii="Times New Roman" w:hAnsi="Times New Roman"/>
          <w:sz w:val="24"/>
        </w:rPr>
        <w:t xml:space="preserve">shows the corresponding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480" w:lineRule="auto" w:after="120"/>
        <w:ind w:firstLine="480"/>
      </w:pPr>
      <w:r>
        <w:rPr>
          <w:rFonts w:ascii="Times New Roman" w:hAnsi="Times New Roman"/>
          <w:sz w:val="24"/>
        </w:rPr>
        <w:t xml:space="preserve">With deposited receptors, strongest achieved an overall matching accuracy of 87.8% and a foreground F1 of 86.0%. Matching accuracy was 92.5% for small molecules and 93.1% for metal ions, both exceeding the 70.8% (201/284) achieved for sugars. Peptides accounted for only 0.08% of all ligands in the full dataset. We retained the original test distribution without increasing the representation of this rare category, leaving only one peptide test case.</w:t>
      </w:r>
    </w:p>
    <w:p>
      <w:pPr>
        <w:pStyle w:val="BodyText"/>
        <w:spacing w:line="480" w:lineRule="auto" w:after="120"/>
        <w:ind w:firstLine="480"/>
      </w:pPr>
      <w:r>
        <w:rPr>
          <w:rFonts w:ascii="Times New Roman" w:hAnsi="Times New Roman"/>
          <w:sz w:val="24"/>
        </w:rPr>
        <w:t xml:space="preserve">The voxel-only model achieved a foreground F1 of 84.1% and an overall matching accuracy of 83.7%. Its matching accuracy was slightly below strongest’s 87.8%, but substantially above density-only’s 78.6% and pocket-only’s 79.4%. These comparisons showed that the</w:t>
      </w:r>
      <w:r>
        <w:rPr>
          <w:rFonts w:ascii="Times New Roman" w:hAnsi="Times New Roman"/>
          <w:sz w:val="24"/>
        </w:rPr>
        <w:t xml:space="preserve"> </w:t>
      </w:r>
      <w:r>
        <w:rPr>
          <w:rFonts w:ascii="Times New Roman" w:hAnsi="Times New Roman"/>
          <w:b/>
          <w:bCs/>
          <w:sz w:val="24"/>
        </w:rPr>
        <w:t xml:space="preserve">full voxel feature set</w:t>
      </w:r>
      <w:r>
        <w:rPr>
          <w:rFonts w:ascii="Times New Roman" w:hAnsi="Times New Roman"/>
          <w:sz w:val="24"/>
        </w:rPr>
        <w:t xml:space="preserve"> </w:t>
      </w:r>
      <w:r>
        <w:rPr>
          <w:rFonts w:ascii="Times New Roman" w:hAnsi="Times New Roman"/>
          <w:sz w:val="24"/>
        </w:rPr>
        <w:t xml:space="preserve">provided important discriminative information.</w:t>
      </w:r>
    </w:p>
    <w:p>
      <w:pPr>
        <w:pStyle w:val="BodyText"/>
        <w:spacing w:line="480" w:lineRule="auto" w:after="120"/>
        <w:ind w:firstLine="480"/>
      </w:pPr>
      <w:r>
        <w:rPr>
          <w:rFonts w:ascii="Times New Roman" w:hAnsi="Times New Roman"/>
          <w:sz w:val="24"/>
        </w:rPr>
        <w:t xml:space="preserve">Overall matching accuracy showed no marked decline for any of the four models when deposited receptors were replaced with CryoAtom2-reconstructed receptors. By contrast, Find showed some reduction in ligand localisation performance</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was therefore more robust to the change in receptor source.</w:t>
      </w:r>
    </w:p>
    <w:p>
      <w:pPr>
        <w:pStyle w:val="CaptionedFigure"/>
        <w:keepNext/>
        <w:spacing w:line="480" w:lineRule="auto"/>
        <w:ind w:firstLine="0"/>
        <w:jc w:val="center"/>
      </w:pPr>
      <w:r>
        <w:rPr>
          <w:rFonts w:ascii="Times New Roman" w:hAnsi="Times New Roman"/>
          <w:sz w:val="24"/>
        </w:rPr>
        <w:drawing>
          <wp:inline>
            <wp:extent cx="5733415" cy="5608064"/>
            <wp:effectExtent b="0" l="0" r="0" t="0"/>
            <wp:docPr descr="Fig. 6 | Ligand identity matching accuracy of strongest versus the number of competing ligand identities, with deposited receptors (a) and CryoAtom2-reconstructed receptors (b). With deposited receptors, groups with 1, 2, 3, 4 and ≥5 competing identities contain 419, 459, 113, 85 and 162 sites, respectively. With CryoAtom2-reconstructed receptors, the corresponding groups contain 413, 443, 91, 63 and 150 sites, respectively. One competing identity means that the candidate region belongs to a PDB entry containing only one ligand identity, so accuracy is naturally 100%." title="MDPPTFIG_eJydUsuKFDEU_ZWitjqd6qd2MTZIj7oZpRHcBZpMKlUVuioJSfoxPraKiCAobhS3utEPcHDmZ-zp_gxvKtWPQReDBUVO7j333FeehYrYPIyDcPXhbPnpHBlLMtZanb2__PJ5vLz4tf76snWj9fv8zfL7u4ZSdhHeDELNjCxmLHFxwxjjJ4Zpg3Gz22_2MT5iZmKlwnj94-flx1frt69X3y4w9gkwvlYGQUrm1D35wFgtRcaMPVCEa0coiZ5MlaN0b7XbnWZ30e1Ft6Ne5_mh4jSGP1iUhTAxuYPD3FoVI2RozkpiGlIxAc5U6pJYuOoMJZrMucjKArWiqIdKwgUOawXQ-h8NCLNTzbYy-loiMk05ZUeSTksmrFfSrCCWS2FyrgwOB1WHYjbidKT9hT6ajXSQMENdlmGMqo2gaiGo3gfaXweyrFTQpphCCFd2nPIMijVjRqMeSU6fIm8YR-7rNZTIoBGegHq7A8jtB_Bo0-PgEG3r2JXkCyRugseSTkwg5DAnsMi7Wst5zkhiQKTp9DYOoxi13giau9C9BF4V_TWEk4Kr-7woXEaHq3gPSAwviFmaO5gC5zFkqfxXLlsSuqrnbkbBhE_mD2XiGidTK12FJF6kunQnLC5YgCeCbk79WWmC3bnZwgbU-evnCizqaPWrrcnAqs6NqNLGPmCyDBwAtoZKfVoyOzaeu0MbtvML6UtHO0jiQgRzUOl3W12v8k-W28s9kVTWLSaxJbzYmPdxIep5uQnVEP5B-OIPxwyVdw" id="33" name="Picture"/>
            <a:graphic>
              <a:graphicData uri="http://schemas.openxmlformats.org/drawingml/2006/picture">
                <pic:pic>
                  <pic:nvPicPr>
                    <pic:cNvPr descr="C:/Users/15919/Desktop/论文草稿/temp/manuscript_figures_ec06adyz/figure_000006.png" id="34" name="Picture"/>
                    <pic:cNvPicPr>
                      <a:picLocks noChangeArrowheads="1" noChangeAspect="1"/>
                    </pic:cNvPicPr>
                  </pic:nvPicPr>
                  <pic:blipFill>
                    <a:blip r:embed="rId32"/>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6 | Ligand identity matching accuracy of strongest versus the number of competing ligand identities, with deposited receptors (a) and CryoAtom2-reconstructed receptors (b).</w:t>
      </w:r>
      <w:r>
        <w:rPr>
          <w:rFonts w:ascii="Times New Roman" w:hAnsi="Times New Roman"/>
          <w:sz w:val="24"/>
        </w:rPr>
        <w:t xml:space="preserve"> </w:t>
      </w:r>
      <w:r>
        <w:rPr>
          <w:rFonts w:ascii="Times New Roman" w:hAnsi="Times New Roman"/>
          <w:sz w:val="24"/>
        </w:rPr>
        <w:t xml:space="preserve">With deposited receptors, groups with 1, 2, 3, 4 and ≥5 competing identities contain 419, 459, 113, 85 and 162 sites, respectively. With CryoAtom2-reconstructed receptors, the corresponding groups contain 413, 443, 91, 63 and 150 sites, respectively. One competing identity means that the candidate region belongs to a PDB entry containing only one ligand identity, so accuracy is naturally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6a, b</w:t>
      </w:r>
      <w:r>
        <w:rPr>
          <w:rFonts w:ascii="Times New Roman" w:hAnsi="Times New Roman"/>
          <w:sz w:val="24"/>
        </w:rPr>
        <w:t xml:space="preserve"> </w:t>
      </w:r>
      <w:r>
        <w:rPr>
          <w:rFonts w:ascii="Times New Roman" w:hAnsi="Times New Roman"/>
          <w:sz w:val="24"/>
        </w:rPr>
        <w:t xml:space="preserve">stratifies strongest’s results by the number of SMILES representations in each PDB entry. This number corresponds to the ligand identities competing for assignment to each candidate region in that entry. Identity discrimination became more difficult as the number of competing identities increased. For example, with deposited receptors, small-molecule matching accuracy fell from 94.8% in entries with two identities to 65.9% in entries with four. Nevertheless, when fewer than 4 identities competed, matching accuracy generally exceeded 80% across ligand categories. These cases accounted for approximately 80% of tasks, making Match’s accuracy acceptable for practical use.</w:t>
      </w:r>
    </w:p>
    <w:p>
      <w:pPr>
        <w:pStyle w:val="BodyText"/>
        <w:spacing w:line="480" w:lineRule="auto" w:after="120"/>
        <w:ind w:firstLine="480"/>
      </w:pPr>
      <w:r>
        <w:rPr>
          <w:rFonts w:ascii="Times New Roman" w:hAnsi="Times New Roman"/>
          <w:sz w:val="24"/>
        </w:rPr>
        <w:t xml:space="preserve">Metal ions retained high matching accuracy across all groups and were easier to distinguish from other ligand identities. This reflected their greater chemical separability from the other ligands. During identity matching, we provided no prior information about the ligand category within each candidate blob. Thus, the high accuracy did not arise from the limited number of metal-ion types.</w:t>
      </w:r>
    </w:p>
    <w:p>
      <w:pPr>
        <w:pStyle w:val="BodyText"/>
        <w:spacing w:line="480" w:lineRule="auto" w:after="120"/>
        <w:ind w:firstLine="480"/>
      </w:pPr>
      <w:r>
        <w:rPr>
          <w:rFonts w:ascii="Times New Roman" w:hAnsi="Times New Roman"/>
          <w:sz w:val="24"/>
        </w:rPr>
        <w:t xml:space="preserve">We also evaluated EMERALD-ID, which supports only small molecules. EMERALD-ID docks candidate small-molecule SMILES representations individually at each site, then uses the resulting docking scores to infer the most likely ligand identity. Its computational complexity per PDB entry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small-molecule ligand instances,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small-molecule identities. In contrast, our model supports GPU acceleration through vectorised computation and required a mean of only 0.09 s to match each candidate blob. This mean runtime was measured on an NVIDIA H100 GPU.</w:t>
      </w:r>
    </w:p>
    <w:p>
      <w:pPr>
        <w:pStyle w:val="BodyText"/>
        <w:spacing w:line="480" w:lineRule="auto" w:after="120"/>
        <w:ind w:firstLine="480"/>
      </w:pPr>
      <w:r>
        <w:rPr>
          <w:rFonts w:ascii="Times New Roman" w:hAnsi="Times New Roman"/>
          <w:sz w:val="24"/>
        </w:rPr>
        <w:t xml:space="preserve">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subset for EMERALD-ID within the original test set. Among entries containing small molecules, we excluded the 10% with the highest</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rPr>
          <w:rFonts w:ascii="Times New Roman" w:hAnsi="Times New Roman"/>
          <w:sz w:val="24"/>
        </w:rPr>
        <w:t xml:space="preserve"> </w:t>
      </w:r>
      <w:r>
        <w:rPr>
          <w:rStyle w:val="MDFIGREF_eJyrrk7LTC9KTbMqLklMTzXSLUpMSSzSLUjMLKpJrK0FALa-C9E"/>
          <w:rFonts w:ascii="Times New Roman" w:hAnsi="Times New Roman"/>
          <w:sz w:val="24"/>
        </w:rPr>
        <w:t xml:space="preserve">Fig. 5a</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5b</w:t>
      </w:r>
      <w:r>
        <w:rPr>
          <w:rFonts w:ascii="Times New Roman" w:hAnsi="Times New Roman"/>
          <w:sz w:val="24"/>
        </w:rPr>
        <w:t xml:space="preserve"> </w:t>
      </w:r>
      <w:r>
        <w:rPr>
          <w:rFonts w:ascii="Times New Roman" w:hAnsi="Times New Roman"/>
          <w:sz w:val="24"/>
        </w:rPr>
        <w:t xml:space="preserve">show its performance with deposited and CryoAtom2-reconstructed receptors, respectively.</w:t>
      </w:r>
    </w:p>
    <w:p>
      <w:pPr>
        <w:pStyle w:val="CaptionedFigure"/>
        <w:keepNext/>
        <w:spacing w:line="480" w:lineRule="auto"/>
        <w:ind w:firstLine="0"/>
        <w:jc w:val="center"/>
      </w:pPr>
      <w:r>
        <w:rPr>
          <w:rFonts w:ascii="Times New Roman" w:hAnsi="Times New Roman"/>
          <w:sz w:val="24"/>
        </w:rPr>
        <w:drawing>
          <wp:inline>
            <wp:extent cx="5733415" cy="2915483"/>
            <wp:effectExtent b="0" l="0" r="0" t="0"/>
            <wp:docPr descr="Fig. 7 | End-to-end ligand-region detection and identity matching. The curves show the percentage of 179 test PDB entries with successful predictions within an attempt budget of K, for K=1–10. Find and Match denote LigandSeek-Find and LigandSeek-Match, respectively, within the LigandSeek framework. Find and Emap2lig-Find curves require correct region detection; Find+Match curves additionally require correct ligand identity matching. GT denotes deposited receptor structures, and CA2 denotes CryoAtom2-reconstructed receptor structures; Emap2lig-Find uses no receptor input." title="MDPPTFIG_eJydkstuEzEUhl9lNGsS59JpyKhEQmlgU1CExM5S5Ho8GSse27KdZMpljVh0BWID6rorHoBK8DQ0fQyOx5NLVRaIkUb-7fP78znHfhtr4oo4jeLN55vfX3-iSW-yufl0e_WtrbWr4kdRbJhVYsUybxqnGL-2zFiMu8mwO8T4lNmFUxrju-8_br98uLv8uLn-hXGgYfwQJ0nJPIr1WIsI0cq5zFolcbTw0ZKYxVL7eDLo94-6SdUbdpOjx_13J5rTFP6oKoW0KXmC48I5nSJkacFKYttKMwnBXBnAwdTMUWbImst5KVCv0zlGJeESxw0BWP_DgG1uadgOY_4JovKcU3aq6LJk0gWSYYI4rqQtuLY4HtUVytWU06kJE_pyNTVRxiz1p4xTVPce1a1HTefRYeORY6WGMuUStnDtZjmfQ7J2xmjnmGQXb1BYmHX8N2hrOYdCeAb0_gCUvxzQ022NoxO0y2OfUkiQ-A6eKbqwkVTjgsg5e2qMWheMZBYgXc_bBqxm1IVFYO63HhwQqOhBE84F18-4EP5Er-v9QZDUOsPg6XiZg-cVnFLH7012JnSf52dWQ4fP1y9U5gsnS6d8hiStclP6ES4uqiDSgWouwlgzYd2HWeUi6uPNcwUX9bbm1TZmcNXjFqqNdc-ZKiMvwG0g03AsWZ3Z4N2rrdvHpQqpo70kqZDRGijDpJcEyl9d_l4mMqtXd5qkjnCxXT7UQjb98h1qJPyj-P0fXst9PA" id="36" name="Picture"/>
            <a:graphic>
              <a:graphicData uri="http://schemas.openxmlformats.org/drawingml/2006/picture">
                <pic:pic>
                  <pic:nvPicPr>
                    <pic:cNvPr descr="C:/Users/15919/Desktop/论文草稿/temp/manuscript_figures_ec06adyz/figure_000007.png" id="37" name="Picture"/>
                    <pic:cNvPicPr>
                      <a:picLocks noChangeArrowheads="1" noChangeAspect="1"/>
                    </pic:cNvPicPr>
                  </pic:nvPicPr>
                  <pic:blipFill>
                    <a:blip r:embed="rId35"/>
                    <a:stretch>
                      <a:fillRect/>
                    </a:stretch>
                  </pic:blipFill>
                  <pic:spPr bwMode="auto">
                    <a:xfrm>
                      <a:off x="0" y="0"/>
                      <a:ext cx="5733415" cy="2915483"/>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7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179 test PDB entries with successful predictions within an attempt budget of</w:t>
      </w:r>
      <w:r>
        <w:rPr>
          <w:rFonts w:ascii="Times New Roman" w:hAnsi="Times New Roman"/>
          <w:sz w:val="24"/>
        </w:rPr>
        <w:t xml:space="preserve"> </w:t>
      </w:r>
      <m:oMath>
        <m:r>
          <m:t>K</m:t>
        </m:r>
      </m:oMath>
      <w:r>
        <w:rPr>
          <w:rFonts w:ascii="Times New Roman" w:hAnsi="Times New Roman"/>
          <w:sz w:val="24"/>
        </w:rPr>
        <w:t xml:space="preserve">, for</w:t>
      </w:r>
      <w:r>
        <w:rPr>
          <w:rFonts w:ascii="Times New Roman" w:hAnsi="Times New Roman"/>
          <w:sz w:val="24"/>
        </w:rPr>
        <w:t xml:space="preserve"> </w:t>
      </w:r>
      <m:oMath>
        <m:r>
          <m:t>K</m:t>
        </m:r>
        <m:r>
          <m:rPr>
            <m:sty m:val="p"/>
          </m:rPr>
          <m:t>=</m:t>
        </m:r>
        <m:r>
          <m:t>1</m:t>
        </m:r>
      </m:oMath>
      <w:r>
        <w:rPr>
          <w:rFonts w:ascii="Times New Roman" w:hAnsi="Times New Roman"/>
          <w:sz w:val="24"/>
        </w:rPr>
        <w:t xml:space="preserve">–</w:t>
      </w:r>
      <m:oMath>
        <m:r>
          <m:t>10</m:t>
        </m:r>
      </m:oMath>
      <w:r>
        <w:rPr>
          <w:rFonts w:ascii="Times New Roman" w:hAnsi="Times New Roman"/>
          <w:sz w:val="24"/>
        </w:rPr>
        <w:t xml:space="preserve">. Find and Match denote LigandSeek-Find and LigandSeek-Match, respectively, within the LigandSeek framework. Find and Emap2lig-Find curves require correct region detection; Find+Match curves additionally require correct ligand identity matching. GT denotes deposited receptor structures, and CA2 denotes CryoAtom2-reconstructed receptor structures; Emap2lig-Find uses no receptor input.</w:t>
      </w:r>
    </w:p>
    <w:p>
      <w:pPr>
        <w:pStyle w:val="CaptionedFigure"/>
        <w:keepNext/>
        <w:spacing w:line="480" w:lineRule="auto"/>
        <w:ind w:firstLine="0"/>
        <w:jc w:val="center"/>
      </w:pPr>
      <w:r>
        <w:rPr>
          <w:rFonts w:ascii="Times New Roman" w:hAnsi="Times New Roman"/>
          <w:sz w:val="24"/>
        </w:rPr>
        <w:drawing>
          <wp:inline>
            <wp:extent cx="5733415" cy="5023421"/>
            <wp:effectExtent b="0" l="0" r="0" t="0"/>
            <wp:docPr descr="Fig. 8 | End-to-end modelling of single-residue organic small molecules with no missing atoms. The evaluation includes 77 PDB entries containing these small molecules. Find and Match denote LigandSeek-Find and LigandSeek-Match, respectively, within the LigandSeek framework. a, Find curves require correct region detection, whereas Find+Match curves require both correct region detection and correct ligand identity matching. b, c, Top-K success rates for pose reconstruction with PocketXMol-tuned using deposited and CryoAtom2-reconstructed receptor structures, respectively. Success requires a heavy-atom root-mean-square deviation (RMSD) below 2 Å or 3 Å. Solid lines show top-1 poses selected by model score; dashed lines show best-of-50 poses, selected as the lowest heavy-atom RMSD among 50 candidates. The horizontal axis shows charged attempts K; the vertical axis shows the percentage of PDB entries with successful predictions within that budget. GT and CA2 denote deposited and CryoAtom2-reconstructed receptor structures, respectively." title="MDPPTFIG_eJydUsuO0zAU_ZUoa2acps1Ao6ES6hQ2A6qQ2FmqPI7TWHVsy3bbDI81YsEKxAbEmhUfwEjwNUznM7iO08doWCAiRT6-9_jce4_9KtbEVXEexZuPV78__0STdLK5-nD99cux1q6J70WxYVaJFSs8aZxj_MIyYzHuZcPeEOMzZhdOaYxvvv-4_vT25v27zbdfGAc1jO_KSVIzL8VSdmRrIsSR5poJLpnP1sQsltrns_v9_qCXNVmS9gdp7_Wp5jSHP2pqIW1OHuK4ck7nCFlasZrYY6WZhGSpTE0cbM0cFYasuZzXAqVJcoJqwiWOOwXQ-h8NOOaWhu1kzD-JqLLklJ0puqyZdEHJMEEcV9JWXFscj9oJ5WrK6dSEDX22mpqoYJb6KuMctd6j1nrUOY8OjUeO1RrGlEs4wrWblXwOzdoZo8kJKS5fohCYJf57cKzlHAbhBagPEkD-cgBPtzOOTtGuj31LoUHiHTxXdGEjqcYVkXP2yBi1rhgpLIj0vN42YTWjLgRBc3_0oEBQRXdMuBBcP-ZC-Ioet-cDILl1hjlaeVgC5zlUafO3NjsSuq3nd1aDwxfrp6rwg5OlU75Dkjelqf0KFxc1kPHuXIa11YS4T7PGRdTnu-cKLOpp3avtyMBq162oNtY9YaqOPAC2gU5DWbI6t4G7R1u2z0sVWkd7SHIhozWoDLM0Cyp_Zfl7mciije4wyR3hYhs-xEJ2fnmHOgj_KH7zB2HlfXQ" id="39" name="Picture"/>
            <a:graphic>
              <a:graphicData uri="http://schemas.openxmlformats.org/drawingml/2006/picture">
                <pic:pic>
                  <pic:nvPicPr>
                    <pic:cNvPr descr="C:/Users/15919/Desktop/论文草稿/temp/manuscript_figures_ec06adyz/figure_000008.png" id="40" name="Picture"/>
                    <pic:cNvPicPr>
                      <a:picLocks noChangeArrowheads="1" noChangeAspect="1"/>
                    </pic:cNvPicPr>
                  </pic:nvPicPr>
                  <pic:blipFill>
                    <a:blip r:embed="rId38"/>
                    <a:stretch>
                      <a:fillRect/>
                    </a:stretch>
                  </pic:blipFill>
                  <pic:spPr bwMode="auto">
                    <a:xfrm>
                      <a:off x="0" y="0"/>
                      <a:ext cx="5733415" cy="5023421"/>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8 | End-to-end modelling of single-residue organic small molecules with no missing atoms.</w:t>
      </w:r>
      <w:r>
        <w:rPr>
          <w:rFonts w:ascii="Times New Roman" w:hAnsi="Times New Roman"/>
          <w:sz w:val="24"/>
        </w:rPr>
        <w:t xml:space="preserve"> </w:t>
      </w:r>
      <w:r>
        <w:rPr>
          <w:rFonts w:ascii="Times New Roman" w:hAnsi="Times New Roman"/>
          <w:sz w:val="24"/>
        </w:rPr>
        <w:t xml:space="preserve">The evaluation includes 77 PDB entries containing these small molecules. Find and Match denote LigandSeek-Find and LigandSeek-Match, respectively, within the LigandSeek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 curves require correct region detection, whereas Find+Match curves require both correct region detection and correct ligand identity matching.</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c, Top-K success rates for pose reconstruction with PocketXMol-tuned using deposited and CryoAtom2-reconstructed receptor structures, respectively. Success requires a heavy-atom root-mean-square deviation (RMSD) below 2 Å or 3 Å. Solid lines show top-1 poses selected by model score; dashed lines show best-of-50 poses, selected as the lowest heavy-atom RMSD among 50 candidates. The horizontal axis shows charged attempts</w:t>
      </w:r>
      <w:r>
        <w:rPr>
          <w:rFonts w:ascii="Times New Roman" w:hAnsi="Times New Roman"/>
          <w:sz w:val="24"/>
        </w:rPr>
        <w:t xml:space="preserve"> </w:t>
      </w:r>
      <m:oMath>
        <m:r>
          <m:t>K</m:t>
        </m:r>
      </m:oMath>
      <w:r>
        <w:rPr>
          <w:rFonts w:ascii="Times New Roman" w:hAnsi="Times New Roman"/>
          <w:sz w:val="24"/>
        </w:rPr>
        <w:t xml:space="preserve">; the vertical axis shows the percentage of PDB entries with successful predictions within that budget. GT and CA2 denote deposited and CryoAtom2-reconstructed receptor structures, respectively.</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41">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42">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43">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44">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45">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46">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47">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48">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49">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50">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51">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52">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53">
        <w:r>
          <w:rPr>
            <w:rStyle w:val="Hyperlink"/>
          </w:rPr>
          <w:t xml:space="preserve">10.1021/acs.jmedchem.3c01134</w:t>
        </w:r>
      </w:hyperlink>
      <w:r>
        <w:rPr>
          <w:rFonts w:ascii="Times New Roman" w:hAnsi="Times New Roman"/>
          <w:sz w:val="24"/>
        </w:rPr>
        <w:t xml:space="preserve">.</w:t>
      </w:r>
    </w:p>
    <w:bookmarkEnd w:id="54"/>
    <w:bookmarkEnd w:id="55"/>
    <w:bookmarkEnd w:id="56"/>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3" Type="http://schemas.openxmlformats.org/officeDocument/2006/relationships/image" Target="media/rId23.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50" Type="http://schemas.openxmlformats.org/officeDocument/2006/relationships/hyperlink" Target="https://doi.org/10.1016/j.cell.2026.01.003" TargetMode="External"/><Relationship Id="rId52" Type="http://schemas.openxmlformats.org/officeDocument/2006/relationships/hyperlink" Target="https://doi.org/10.1016/j.str.2020.04.018" TargetMode="External"/><Relationship Id="rId48" Type="http://schemas.openxmlformats.org/officeDocument/2006/relationships/hyperlink" Target="https://doi.org/10.1016/j.str.2025.07.002" TargetMode="External"/><Relationship Id="rId42" Type="http://schemas.openxmlformats.org/officeDocument/2006/relationships/hyperlink" Target="https://doi.org/10.1016/j.tibs.2014.10.005" TargetMode="External"/><Relationship Id="rId53" Type="http://schemas.openxmlformats.org/officeDocument/2006/relationships/hyperlink" Target="https://doi.org/10.1021/acs.jmedchem.3c01134" TargetMode="External"/><Relationship Id="rId41" Type="http://schemas.openxmlformats.org/officeDocument/2006/relationships/hyperlink" Target="https://doi.org/10.1038/d41586-020-00341-9" TargetMode="External"/><Relationship Id="rId51" Type="http://schemas.openxmlformats.org/officeDocument/2006/relationships/hyperlink" Target="https://doi.org/10.1038/s41467-023-36732-5" TargetMode="External"/><Relationship Id="rId43" Type="http://schemas.openxmlformats.org/officeDocument/2006/relationships/hyperlink" Target="https://doi.org/10.1038/s41586-024-07215-4" TargetMode="External"/><Relationship Id="rId45" Type="http://schemas.openxmlformats.org/officeDocument/2006/relationships/hyperlink" Target="https://doi.org/10.1038/s41594-025-01723-1" TargetMode="External"/><Relationship Id="rId46" Type="http://schemas.openxmlformats.org/officeDocument/2006/relationships/hyperlink" Target="https://doi.org/10.1126/science.aat4346" TargetMode="External"/><Relationship Id="rId47" Type="http://schemas.openxmlformats.org/officeDocument/2006/relationships/hyperlink" Target="https://doi.org/10.64898/2026.06.01.729423" TargetMode="External"/><Relationship Id="rId44" Type="http://schemas.openxmlformats.org/officeDocument/2006/relationships/hyperlink" Target="https://doi.org/10.65215/LTSpreprints.2026.04.14.000185" TargetMode="External"/><Relationship Id="rId49"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doi.org/10.1016/j.cell.2026.01.003" TargetMode="External"/><Relationship Id="rId52" Type="http://schemas.openxmlformats.org/officeDocument/2006/relationships/hyperlink" Target="https://doi.org/10.1016/j.str.2020.04.018" TargetMode="External"/><Relationship Id="rId48" Type="http://schemas.openxmlformats.org/officeDocument/2006/relationships/hyperlink" Target="https://doi.org/10.1016/j.str.2025.07.002" TargetMode="External"/><Relationship Id="rId42" Type="http://schemas.openxmlformats.org/officeDocument/2006/relationships/hyperlink" Target="https://doi.org/10.1016/j.tibs.2014.10.005" TargetMode="External"/><Relationship Id="rId53" Type="http://schemas.openxmlformats.org/officeDocument/2006/relationships/hyperlink" Target="https://doi.org/10.1021/acs.jmedchem.3c01134" TargetMode="External"/><Relationship Id="rId41" Type="http://schemas.openxmlformats.org/officeDocument/2006/relationships/hyperlink" Target="https://doi.org/10.1038/d41586-020-00341-9" TargetMode="External"/><Relationship Id="rId51" Type="http://schemas.openxmlformats.org/officeDocument/2006/relationships/hyperlink" Target="https://doi.org/10.1038/s41467-023-36732-5" TargetMode="External"/><Relationship Id="rId43" Type="http://schemas.openxmlformats.org/officeDocument/2006/relationships/hyperlink" Target="https://doi.org/10.1038/s41586-024-07215-4" TargetMode="External"/><Relationship Id="rId45" Type="http://schemas.openxmlformats.org/officeDocument/2006/relationships/hyperlink" Target="https://doi.org/10.1038/s41594-025-01723-1" TargetMode="External"/><Relationship Id="rId46" Type="http://schemas.openxmlformats.org/officeDocument/2006/relationships/hyperlink" Target="https://doi.org/10.1126/science.aat4346" TargetMode="External"/><Relationship Id="rId47" Type="http://schemas.openxmlformats.org/officeDocument/2006/relationships/hyperlink" Target="https://doi.org/10.64898/2026.06.01.729423" TargetMode="External"/><Relationship Id="rId44" Type="http://schemas.openxmlformats.org/officeDocument/2006/relationships/hyperlink" Target="https://doi.org/10.65215/LTSpreprints.2026.04.14.000185" TargetMode="External"/><Relationship Id="rId49"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2026-10-06T14:27:47Z</dcterms:created>
  <dcterms:modified xsi:type="dcterms:W3CDTF">2026-10-06T14:27:47Z</dcterms:modified>
</cp:coreProperties>
</file>

<file path=docProps/custom.xml><?xml version="1.0" encoding="utf-8"?>
<Properties xmlns="http://schemas.openxmlformats.org/officeDocument/2006/custom-properties" xmlns:vt="http://schemas.openxmlformats.org/officeDocument/2006/docPropsVTypes"/>
</file>