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ascii="Times New Roman" w:hAnsi="Times New Roman"/>
          <w:sz w:val="24"/>
        </w:rP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1.81 Å to 1.21 Å. In end-to-end blind evaluation without deposited receptor structures as input, LigandSeek achieved a success rate of 67.5% across 77 PDB entries. With deposited receptor structures, this rate increased to 71.4%. LigandSeek provides an efficient, fully automated workflow from continuous three-dimensional cryo-EM density maps to all-atom ligand poses.</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ascii="Times New Roman" w:hAnsi="Times New Roman"/>
          <w:sz w:val="24"/>
        </w:rPr>
        <w:t xml:space="preserve">Single-particle cryo-electron microscopy (cryo-EM) has become an important method for determining the three-dimensional structures of macromolecular complexes</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 Deep learning tools such as 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 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ascii="Times New Roman" w:hAnsi="Times New Roman"/>
          <w:sz w:val="24"/>
        </w:rPr>
        <w:t xml:space="preserve">and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ascii="Times New Roman" w:hAnsi="Times New Roman"/>
          <w:sz w:val="24"/>
        </w:rP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rFonts w:ascii="Times New Roman" w:hAnsi="Times New Roman"/>
          <w:sz w:val="24"/>
          <w:vertAlign w:val="superscript"/>
        </w:rPr>
        <w:t xml:space="preserve">6</w:t>
      </w:r>
      <w:r>
        <w:rPr>
          <w:rFonts w:ascii="Times New Roman" w:hAnsi="Times New Roman"/>
          <w:sz w:val="24"/>
        </w:rP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480" w:lineRule="auto" w:after="120"/>
        <w:ind w:firstLine="480"/>
      </w:pPr>
      <w:r>
        <w:rPr>
          <w:rFonts w:ascii="Times New Roman" w:hAnsi="Times New Roman"/>
          <w:sz w:val="24"/>
        </w:rP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rFonts w:ascii="Times New Roman" w:hAnsi="Times New Roman"/>
          <w:sz w:val="24"/>
          <w:vertAlign w:val="superscript"/>
        </w:rPr>
        <w:t xml:space="preserve">7</w:t>
      </w:r>
      <w:r>
        <w:rPr>
          <w:rFonts w:ascii="Times New Roman" w:hAnsi="Times New Roman"/>
          <w:sz w:val="24"/>
        </w:rP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480" w:lineRule="auto" w:after="120"/>
        <w:ind w:firstLine="480"/>
      </w:pPr>
      <w:r>
        <w:rPr>
          <w:rFonts w:ascii="Times New Roman" w:hAnsi="Times New Roman"/>
          <w:sz w:val="24"/>
        </w:rPr>
        <w:t xml:space="preserve">The second is chemical identity matching, the Match bottleneck. Even after a ligand region is located, associating it with the correct chemical identity remains a major challenge. Although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ascii="Times New Roman" w:hAnsi="Times New Roman"/>
          <w:sz w:val="24"/>
        </w:rPr>
        <w:t xml:space="preserve">provides identity matching by docking candidate ligands individually and inferring their identities from the resulting scores. Its computational complexity is</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ascii="Times New Roman" w:hAnsi="Times New Roman"/>
          <w:sz w:val="24"/>
        </w:rPr>
        <w:t xml:space="preserve">, where</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ascii="Times New Roman" w:hAnsi="Times New Roman"/>
          <w:sz w:val="24"/>
        </w:rPr>
        <w:t xml:space="preserve">is the number of candidate sites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480" w:lineRule="auto" w:after="120"/>
        <w:ind w:firstLine="480"/>
      </w:pPr>
      <w:r>
        <w:rPr>
          <w:rFonts w:ascii="Times New Roman" w:hAnsi="Times New Roman"/>
          <w:sz w:val="24"/>
        </w:rPr>
        <w:t xml:space="preserve">The third is pose reconstruction, the Build bottleneck. After the binding region and chemical identity have been determined, generative docking models such as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ascii="Times New Roman" w:hAnsi="Times New Roman"/>
          <w:sz w:val="24"/>
        </w:rPr>
        <w:t xml:space="preserve">and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ascii="Times New Roman" w:hAnsi="Times New Roman"/>
          <w:sz w:val="24"/>
        </w:rPr>
        <w:t xml:space="preserve">usually rely primarily on receptor structures, failing to exploit experimental density to guide pose generation. Conversely, density-only deep learning tools such as Emap2lig-Build</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ascii="Times New Roman" w:hAnsi="Times New Roman"/>
          <w:sz w:val="24"/>
        </w:rP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rFonts w:ascii="Times New Roman" w:hAnsi="Times New Roman"/>
          <w:sz w:val="24"/>
          <w:vertAlign w:val="superscript"/>
        </w:rPr>
        <w:t xml:space="preserve">11,12,13</w:t>
      </w:r>
      <w:r>
        <w:rPr>
          <w:rFonts w:ascii="Times New Roman" w:hAnsi="Times New Roman"/>
          <w:sz w:val="24"/>
        </w:rPr>
        <w:t xml:space="preserve">. However, they are computationally slow and remain disconnected from upstream localisation and identity matching.</w:t>
      </w:r>
    </w:p>
    <w:p>
      <w:pPr>
        <w:pStyle w:val="BodyText"/>
        <w:spacing w:line="480" w:lineRule="auto" w:after="120"/>
        <w:ind w:firstLine="480"/>
      </w:pPr>
      <w:r>
        <w:rPr>
          <w:rFonts w:ascii="Times New Roman" w:hAnsi="Times New Roman"/>
          <w:sz w:val="24"/>
        </w:rPr>
        <w:t xml:space="preserve">To address these bottlenecks and unify localisation, matching and pose reconstruction, we developed LigandSeek, an automated end-to-end framework based on joint density and receptor modelling</w:t>
      </w:r>
      <w:r>
        <w:rPr>
          <w:rFonts w:ascii="Times New Roman" w:hAnsi="Times New Roman"/>
          <w:sz w:val="24"/>
        </w:rPr>
        <w:t xml:space="preserve"> </w:t>
      </w:r>
      <w:r>
        <w:rPr>
          <w:rFonts w:ascii="Times New Roman" w:hAnsi="Times New Roman"/>
          <w:sz w:val="24"/>
        </w:rPr>
        <w:t xml:space="preserve">(</w:t>
      </w:r>
      <w:r>
        <w:rPr>
          <w:rStyle w:val="MDFIGREF_eJyrrk7LTC9KTbMCUrr5ZalFZZmp5fFlRjogfm5qSUZ-im6ZSW0tAEGtD2Y"/>
          <w:rFonts w:ascii="Times New Roman" w:hAnsi="Times New Roman"/>
          <w:sz w:val="24"/>
        </w:rPr>
        <w:t xml:space="preserve">Figs. 1–2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480" w:lineRule="auto" w:after="120"/>
        <w:ind w:firstLine="480"/>
      </w:pPr>
      <w:r>
        <w:rPr>
          <w:rFonts w:ascii="Times New Roman" w:hAnsi="Times New Roman"/>
          <w:sz w:val="24"/>
        </w:rPr>
        <w:t xml:space="preserve">LigandSeek follows a three-stage Find–Match–Build workflow:</w:t>
      </w:r>
    </w:p>
    <w:p>
      <w:pPr>
        <w:pStyle w:val="Compact"/>
        <w:numPr>
          <w:ilvl w:val="0"/>
          <w:numId w:val="1001"/>
        </w:numPr>
        <w:spacing w:line="480" w:lineRule="auto"/>
      </w:pPr>
      <w:r>
        <w:rPr>
          <w:rFonts w:ascii="Times New Roman" w:hAnsi="Times New Roman"/>
          <w:sz w:val="24"/>
        </w:rP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480" w:lineRule="auto"/>
      </w:pPr>
      <w:r>
        <w:rPr>
          <w:rFonts w:ascii="Times New Roman" w:hAnsi="Times New Roman"/>
          <w:sz w:val="24"/>
        </w:rP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480" w:lineRule="auto"/>
      </w:pPr>
      <w:r>
        <w:rPr>
          <w:rFonts w:ascii="Times New Roman" w:hAnsi="Times New Roman"/>
          <w:sz w:val="24"/>
        </w:rP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480" w:lineRule="auto" w:after="120"/>
        <w:ind w:firstLine="480"/>
      </w:pPr>
      <w:r>
        <w:rPr>
          <w:rFonts w:ascii="Times New Roman" w:hAnsi="Times New Roman"/>
          <w:sz w:val="24"/>
        </w:rP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In end-to-end blind evaluation across 77 complexes containing organic small molecules, LigandSeek achieved an all-atom modelling success rate of 67.5% (top-1 RMSD &lt; 3 Å). LigandSeek connects ligand localisation, identity matching and pose reconstruction to generate accurate all-atom ligand poses from cryo-EM density maps. It provides a new tool for drug discovery and high-throughput cryo-EM screening.</w:t>
      </w:r>
    </w:p>
    <w:bookmarkEnd w:id="10"/>
    <w:bookmarkStart w:id="30"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2O0zAQfpUoZ1g37ZZuo6US6gKXBVVI3CxVXsdprCa2sd00CJC4AQduiAsPACcegJXgadjtYzATpz-r5YCIFPnzzOdvZj77VWyYL-I0iq8_Xf7-8pNcvb3cfH0P6MgY38R3otgKp8taZEiappQ-d8I6SpPhOBlTeibc0mtD6eb7j6vP7zYfP1x_-0VpUKP0tpxilUCpXC7u6lrYWor1vO5jqmJ2uTKYHI4Gg-Nk2CTj4-RkdPL61Eiewh81Valcyu7TuPDepIQ4XoiKuSNthIJkrm3FPGztgmSWraVaVCXp93r3SMWkonGnAFr_owHH_MqKnYz9JxGd55KLM81XlVA-KFlRMi-1coU0jsaTdkJVzySf2bDhT-uZjTLhOFaZpqQ1nrS-k852cug68aIyMKZawRFp_BwshmbdfPQiy5arpE9CYN7DLzkyagGDyAzUkwEgvBnAs-2Mk1Oy62PfUmiQoYPnmi9dpPS0YGohHlir14VgmUNB1NsmnBHchyBo7o8eFAiq5JYJF6U0j2RZYkXE7fkAWOq8FZ4XCHPgPIMqbf7GZkciN_Vw5ww4fLF-ojMcnK28xg5Z2uS2whUuLmog04NpXoa11YQ4pkXjI4757rkCiyOte7UdGVjtuhU11vnHQlcRAmBb6DSUZfW5C9w92rIxr3RonewhS0sVrUFlPOwPg8pfWXgvD1XWRneYpZ7Jchs-xKXq_EKHOgj_JH7zB120f0o" id="12" name="Picture"/>
            <a:graphic>
              <a:graphicData uri="http://schemas.openxmlformats.org/drawingml/2006/picture">
                <pic:pic>
                  <pic:nvPicPr>
                    <pic:cNvPr descr="C:/Users/15919/Desktop/论文草稿/temp/manuscript_figures_7qddku12/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1 | Automated end-to-end Find–Match–Build workflow for reconstructing ligand poses from cryo-EM data.</w:t>
      </w:r>
      <w:r>
        <w:rPr>
          <w:rFonts w:ascii="Times New Roman" w:hAnsi="Times New Roman"/>
          <w:sz w:val="24"/>
        </w:rPr>
        <w:t xml:space="preserve"> </w:t>
      </w:r>
      <w:r>
        <w:rPr>
          <w:rFonts w:ascii="Times New Roman" w:hAnsi="Times New Roman"/>
          <w:sz w:val="24"/>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BodyText"/>
        <w:spacing w:line="480" w:lineRule="auto" w:after="120"/>
        <w:ind w:firstLine="480"/>
      </w:pPr>
      <w:r>
        <w:rPr>
          <w:rFonts w:ascii="Times New Roman" w:hAnsi="Times New Roman"/>
          <w:sz w:val="24"/>
        </w:rPr>
        <w:t xml:space="preserve">LigandSeek takes protein and nucleic acid receptor structures, either deposited or automatically modelled by CryoAtom2, together with three-dimensional cryo-EM density maps.</w:t>
      </w:r>
    </w:p>
    <w:p>
      <w:pPr>
        <w:pStyle w:val="BodyText"/>
        <w:spacing w:line="480" w:lineRule="auto" w:after="120"/>
        <w:ind w:firstLine="480"/>
      </w:pPr>
      <w:r>
        <w:rPr>
          <w:rFonts w:ascii="Times New Roman" w:hAnsi="Times New Roman"/>
          <w:sz w:val="24"/>
        </w:rPr>
        <w:t xml:space="preserve">We represent protein and nucleic acid receptors uniformly as</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ascii="Times New Roman" w:hAnsi="Times New Roman"/>
          <w:sz w:val="24"/>
        </w:rPr>
        <w:t xml:space="preserve">. 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receptor atoms, and</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ascii="Times New Roman" w:hAnsi="Times New Roman"/>
          <w:sz w:val="24"/>
        </w:rPr>
        <w:t xml:space="preserve">is the spatial position of atom</w:t>
      </w:r>
      <w:r>
        <w:rPr>
          <w:rFonts w:ascii="Times New Roman" w:hAnsi="Times New Roman"/>
          <w:sz w:val="24"/>
        </w:rPr>
        <w:t xml:space="preserve"> </w:t>
      </w:r>
      <m:oMath>
        <m:r>
          <m:t>i</m:t>
        </m:r>
      </m:oMath>
      <w:r>
        <w:rPr>
          <w:rFonts w:ascii="Times New Roman" w:hAnsi="Times New Roman"/>
          <w:sz w:val="24"/>
        </w:rPr>
        <w:t xml:space="preserve">. The representation</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ascii="Times New Roman" w:hAnsi="Times New Roman"/>
          <w:sz w:val="24"/>
        </w:rPr>
        <w:t xml:space="preserve">encodes the atom’s attributes, such as its element type and amino acid or nucleotide type. These attributes are represented by a 50-dimensional feature vector for each receptor atom.</w:t>
      </w:r>
    </w:p>
    <w:p>
      <w:pPr>
        <w:pStyle w:val="BodyText"/>
        <w:spacing w:line="480" w:lineRule="auto" w:after="120"/>
        <w:ind w:firstLine="480"/>
      </w:pPr>
      <w:r>
        <w:rPr>
          <w:rFonts w:ascii="Times New Roman" w:hAnsi="Times New Roman"/>
          <w:sz w:val="24"/>
        </w:rPr>
        <w:t xml:space="preserve">Let</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denote the voxelised three-dimensional cryo-EM density map. The receptor structure yields a simulated density map</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of the same dimensions. From</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we construct a 56-channel multi-view density bank</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ascii="Times New Roman" w:hAnsi="Times New Roman"/>
          <w:sz w:val="24"/>
        </w:rPr>
        <w:t xml:space="preserve">shows the model inputs, outputs and overall workflow. LigandSeek reconstructs ligand poses end to end through three stages: Find, Match and Build. The 50-dimensional receptor-atom features and the multi-view density bank are the main inputs shared by all three stages.</w:t>
      </w:r>
      <w:r>
        <w:rPr>
          <w:rFonts w:ascii="Times New Roman" w:hAnsi="Times New Roman"/>
          <w:sz w:val="24"/>
        </w:rPr>
        <w:t xml:space="preserve"> </w:t>
      </w:r>
      <w:r>
        <w:rPr>
          <w:rStyle w:val="MDFIGREF_eJyrrk7LTC9KTbMCUrq5qSUZ-Sm6ZSa1tQB3QQlZ"/>
          <w:rFonts w:ascii="Times New Roman" w:hAnsi="Times New Roman"/>
          <w:sz w:val="24"/>
        </w:rPr>
        <w:t xml:space="preserve">Fig. 2</w:t>
      </w:r>
      <w:r>
        <w:rPr>
          <w:rFonts w:ascii="Times New Roman" w:hAnsi="Times New Roman"/>
          <w:sz w:val="24"/>
        </w:rPr>
        <w:t xml:space="preserve"> </w:t>
      </w:r>
      <w:r>
        <w:rPr>
          <w:rFonts w:ascii="Times New Roman" w:hAnsi="Times New Roman"/>
          <w:sz w:val="24"/>
        </w:rPr>
        <w:t xml:space="preserve">shows the overall network architecture, with further details provided in Methods.</w:t>
      </w:r>
    </w:p>
    <w:p>
      <w:pPr>
        <w:pStyle w:val="BodyText"/>
        <w:spacing w:line="480" w:lineRule="auto" w:after="120"/>
        <w:ind w:firstLine="480"/>
      </w:pPr>
      <w:r>
        <w:rPr>
          <w:rFonts w:ascii="Times New Roman" w:hAnsi="Times New Roman"/>
          <w:sz w:val="24"/>
        </w:rPr>
        <w:t xml:space="preserve">Find combines receptor information and experimental density information to predict ligand regions. It produces</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ascii="Times New Roman" w:hAnsi="Times New Roman"/>
          <w:sz w:val="24"/>
        </w:rPr>
        <w:t xml:space="preserve">Each</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ascii="Times New Roman" w:hAnsi="Times New Roman"/>
          <w:sz w:val="24"/>
        </w:rPr>
        <w:t xml:space="preserve">is a 26-connected region in the three-dimensional voxel grid.</w:t>
      </w:r>
    </w:p>
    <w:p>
      <w:pPr>
        <w:pStyle w:val="BodyText"/>
        <w:spacing w:line="480" w:lineRule="auto" w:after="120"/>
        <w:ind w:firstLine="480"/>
      </w:pPr>
      <w:r>
        <w:rPr>
          <w:rFonts w:ascii="Times New Roman" w:hAnsi="Times New Roman"/>
          <w:sz w:val="24"/>
        </w:rPr>
        <w:t xml:space="preserve">Match uses the multi-view density bank</w:t>
      </w:r>
      <w:r>
        <w:rPr>
          <w:rFonts w:ascii="Times New Roman" w:hAnsi="Times New Roman"/>
          <w:sz w:val="24"/>
        </w:rPr>
        <w:t xml:space="preserve"> </w:t>
      </w:r>
      <m:oMath>
        <m:r>
          <m:t>M</m:t>
        </m:r>
      </m:oMath>
      <w:r>
        <w:rPr>
          <w:rFonts w:ascii="Times New Roman" w:hAnsi="Times New Roman"/>
          <w:sz w:val="24"/>
        </w:rPr>
        <w:t xml:space="preserve">, receptor information</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around each blob and auxiliary information AUX from Find (see Methods). It matches the Find-predicted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ascii="Times New Roman" w:hAnsi="Times New Roman"/>
          <w:sz w:val="24"/>
        </w:rPr>
        <w:t xml:space="preserve">to user-provided ligand identities</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ascii="Times New Roman" w:hAnsi="Times New Roman"/>
          <w:sz w:val="24"/>
        </w:rPr>
        <w:t xml:space="preserve">in the same PDB entry. Here,</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 present in that PDB entry. Match determines whether each blob is a false-positive Find prediction and, if it is not, assigns its ligand identity:</w:t>
      </w:r>
    </w:p>
    <w:p>
      <w:pPr>
        <w:pStyle w:val="BodyText"/>
        <w:keepLines/>
        <w:spacing w:line="240" w:lineRule="auto" w:before="180" w:after="220"/>
        <w:ind w:firstLine="0"/>
        <w:jc w:val="center"/>
      </w:pPr>
      <m:oMathPara>
        <m:oMathParaPr>
          <m:jc m:val="center"/>
        </m:oMathParaPr>
        <m:oMath>
          <m:eqArr>
            <m:e>
              <m:r>
                <w:rPr>
                  <w:sz w:val="20"/>
                </w:rPr>
                <m:t>&amp;</m:t>
              </m:r>
              <m:r>
                <w:rPr>
                  <w:sz w:val="20"/>
                </w:rPr>
                <m:rPr>
                  <m:sty m:val="bi"/>
                </m:rPr>
                <m:t>M</m:t>
              </m:r>
              <m:r>
                <w:rPr>
                  <w:sz w:val="20"/>
                </w:rPr>
                <m:rPr>
                  <m:sty m:val="bi"/>
                </m:rPr>
                <m:t>a</m:t>
              </m:r>
              <m:r>
                <w:rPr>
                  <w:sz w:val="20"/>
                </w:rPr>
                <m:rPr>
                  <m:sty m:val="bi"/>
                </m:rPr>
                <m:t>t</m:t>
              </m:r>
              <m:r>
                <w:rPr>
                  <w:sz w:val="20"/>
                </w:rPr>
                <m:rPr>
                  <m:sty m:val="bi"/>
                </m:rPr>
                <m:t>c</m:t>
              </m:r>
              <m:r>
                <w:rPr>
                  <w:sz w:val="20"/>
                </w:rPr>
                <m:rPr>
                  <m:sty m:val="bi"/>
                </m:rPr>
                <m:t>h</m:t>
              </m:r>
              <m:r>
                <w:rPr>
                  <w:sz w:val="20"/>
                </w:rPr>
                <m:rPr>
                  <m:sty m:val="p"/>
                </m:rPr>
                <m:t>(</m:t>
              </m:r>
              <m:r>
                <w:rPr>
                  <w:sz w:val="20"/>
                </w:rPr>
                <m:t>M</m:t>
              </m:r>
              <m:r>
                <w:rPr>
                  <w:sz w:val="20"/>
                </w:rPr>
                <m:rPr>
                  <m:sty m:val="p"/>
                </m:rPr>
                <m:t>,</m:t>
              </m:r>
              <m:r>
                <w:rPr>
                  <w:sz w:val="20"/>
                </w:rPr>
                <m:t>A</m:t>
              </m:r>
              <m:r>
                <w:rPr>
                  <w:sz w:val="20"/>
                </w:rPr>
                <m:rPr>
                  <m:sty m:val="p"/>
                </m:rPr>
                <m:t>,</m:t>
              </m:r>
              <m:r>
                <w:rPr>
                  <w:sz w:val="20"/>
                </w:rPr>
                <m:t>A</m:t>
              </m:r>
              <m:r>
                <w:rPr>
                  <w:sz w:val="20"/>
                </w:rPr>
                <m:t>U</m:t>
              </m:r>
              <m:r>
                <w:rPr>
                  <w:sz w:val="20"/>
                </w:rPr>
                <m:t>X</m:t>
              </m:r>
              <m:r>
                <w:rPr>
                  <w:sz w:val="20"/>
                </w:rPr>
                <m:rPr>
                  <m:sty m:val="p"/>
                </m:rPr>
                <m:t>;</m:t>
              </m:r>
              <m:sSub>
                <m:e>
                  <m:r>
                    <w:rPr>
                      <w:sz w:val="20"/>
                    </w:rPr>
                    <m:t>B</m:t>
                  </m:r>
                </m:e>
                <m:sub>
                  <m:r>
                    <w:rPr>
                      <w:sz w:val="20"/>
                    </w:rPr>
                    <m:t>j</m:t>
                  </m:r>
                </m:sub>
              </m:sSub>
              <m:r>
                <w:rPr>
                  <w:sz w:val="20"/>
                </w:rPr>
                <m:rPr>
                  <m:sty m:val="p"/>
                </m:rPr>
                <m:t>,</m:t>
              </m:r>
              <m:r>
                <w:rPr>
                  <w:sz w:val="20"/>
                </w:rPr>
                <m:rPr>
                  <m:sty m:val="p"/>
                </m:rPr>
                <m:t>{</m:t>
              </m:r>
              <m:sSub>
                <m:e>
                  <m:r>
                    <w:rPr>
                      <w:sz w:val="20"/>
                    </w:rPr>
                    <m:t>S</m:t>
                  </m:r>
                </m:e>
                <m:sub>
                  <m:r>
                    <w:rPr>
                      <w:sz w:val="20"/>
                    </w:rPr>
                    <m:t>k</m:t>
                  </m:r>
                </m:sub>
              </m:sSub>
              <m:sSubSup>
                <m:e>
                  <m:r>
                    <w:rPr>
                      <w:sz w:val="20"/>
                    </w:rPr>
                    <m:rPr>
                      <m:sty m:val="p"/>
                    </m:rPr>
                    <m:t>}</m:t>
                  </m:r>
                </m:e>
                <m:sub>
                  <m:r>
                    <w:rPr>
                      <w:sz w:val="20"/>
                    </w:rPr>
                    <m:t>k</m:t>
                  </m:r>
                  <m:r>
                    <w:rPr>
                      <w:sz w:val="20"/>
                    </w:rPr>
                    <m:rPr>
                      <m:sty m:val="p"/>
                    </m:rPr>
                    <m:t>=</m:t>
                  </m:r>
                  <m:r>
                    <w:rPr>
                      <w:sz w:val="20"/>
                    </w:rPr>
                    <m:t>1</m:t>
                  </m:r>
                </m:sub>
                <m:sup>
                  <m:r>
                    <w:rPr>
                      <w:sz w:val="20"/>
                    </w:rPr>
                    <m:t>K</m:t>
                  </m:r>
                </m:sup>
              </m:sSubSup>
              <m:r>
                <w:rPr>
                  <w:sz w:val="20"/>
                </w:rPr>
                <m:rPr>
                  <m:sty m:val="p"/>
                </m:rPr>
                <m:t>)</m:t>
              </m:r>
            </m:e>
            <m:e>
              <m:r>
                <w:rPr>
                  <w:sz w:val="20"/>
                </w:rPr>
                <m:t>&amp;</m:t>
              </m:r>
              <m:r>
                <w:rPr>
                  <w:sz w:val="20"/>
                </w:rPr>
                <m:t> </m:t>
              </m:r>
              <m:r>
                <w:rPr>
                  <w:sz w:val="20"/>
                </w:rPr>
                <m:rPr>
                  <m:sty m:val="p"/>
                </m:rPr>
                <m:t>=</m:t>
              </m:r>
              <m:d>
                <m:dPr>
                  <m:begChr m:val="{"/>
                  <m:sepChr m:val=""/>
                  <m:endChr m:val=""/>
                  <m:grow/>
                </m:dPr>
                <m:e>
                  <m:m>
                    <m:mPr>
                      <m:baseJc m:val="center"/>
                      <m:plcHide m:val="on"/>
                      <m:mcs>
                        <m:mc>
                          <m:mcPr>
                            <m:mcJc m:val="left"/>
                            <m:count m:val="1"/>
                          </m:mcPr>
                        </m:mc>
                        <m:mc>
                          <m:mcPr>
                            <m:mcJc m:val="left"/>
                            <m:count m:val="1"/>
                          </m:mcPr>
                        </m:mc>
                      </m:mcs>
                    </m:mPr>
                    <m:mr>
                      <m:e>
                        <m:r>
                          <w:rPr>
                            <w:sz w:val="20"/>
                          </w:rPr>
                          <m:rPr>
                            <m:sty m:val="p"/>
                          </m:rPr>
                          <m:t>(</m:t>
                        </m:r>
                        <m:r>
                          <w:rPr>
                            <w:sz w:val="20"/>
                          </w:rPr>
                          <m:t>1</m:t>
                        </m:r>
                        <m:r>
                          <w:rPr>
                            <w:sz w:val="20"/>
                          </w:rPr>
                          <m:rPr>
                            <m:sty m:val="p"/>
                          </m:rPr>
                          <m:t>,</m:t>
                        </m:r>
                        <m:sSub>
                          <m:e>
                            <m:r>
                              <w:rPr>
                                <w:sz w:val="20"/>
                              </w:rPr>
                              <m:t>S</m:t>
                            </m:r>
                          </m:e>
                          <m:sub>
                            <m:r>
                              <w:rPr>
                                <w:sz w:val="20"/>
                              </w:rPr>
                              <m:t>k</m:t>
                            </m:r>
                          </m:sub>
                        </m:sSub>
                        <m:r>
                          <w:rPr>
                            <w:sz w:val="20"/>
                          </w:rPr>
                          <m:rPr>
                            <m:sty m:val="p"/>
                          </m:rPr>
                          <m:t>)</m:t>
                        </m:r>
                        <m:r>
                          <w:rPr>
                            <w:sz w:val="20"/>
                          </w:rPr>
                          <m:rPr>
                            <m:sty m:val="p"/>
                          </m:rPr>
                          <m:t>,</m:t>
                        </m:r>
                      </m:e>
                      <m:e>
                        <m:eqArr>
                          <m:e>
                            <m:r>
                              <w:rPr>
                                <w:sz w:val="20"/>
                              </w:rPr>
                              <m:t>&amp;</m:t>
                            </m:r>
                            <m:r>
                              <w:rPr>
                                <w:sz w:val="20"/>
                              </w:rPr>
                              <m:rPr>
                                <m:nor/>
                                <m:sty m:val="p"/>
                              </m:rPr>
                              <m:t>if </m:t>
                            </m:r>
                            <m:sSub>
                              <m:e>
                                <m:r>
                                  <w:rPr>
                                    <w:sz w:val="20"/>
                                  </w:rPr>
                                  <m:t>B</m:t>
                                </m:r>
                              </m:e>
                              <m:sub>
                                <m:r>
                                  <w:rPr>
                                    <w:sz w:val="20"/>
                                  </w:rPr>
                                  <m:t>j</m:t>
                                </m:r>
                              </m:sub>
                            </m:sSub>
                            <m:r>
                              <w:rPr>
                                <w:sz w:val="20"/>
                              </w:rPr>
                              <m:rPr>
                                <m:nor/>
                                <m:sty m:val="p"/>
                              </m:rPr>
                              <m:t> is not a false positive</m:t>
                            </m:r>
                          </m:e>
                          <m:e>
                            <m:r>
                              <w:rPr>
                                <w:sz w:val="20"/>
                              </w:rPr>
                              <m:t>&amp;</m:t>
                            </m:r>
                            <m:r>
                              <w:rPr>
                                <w:sz w:val="20"/>
                              </w:rPr>
                              <m:rPr>
                                <m:nor/>
                                <m:sty m:val="p"/>
                              </m:rPr>
                              <m:t>and has ligand identity </m:t>
                            </m:r>
                            <m:sSub>
                              <m:e>
                                <m:r>
                                  <w:rPr>
                                    <w:sz w:val="20"/>
                                  </w:rPr>
                                  <m:t>S</m:t>
                                </m:r>
                              </m:e>
                              <m:sub>
                                <m:r>
                                  <w:rPr>
                                    <w:sz w:val="20"/>
                                  </w:rPr>
                                  <m:t>k</m:t>
                                </m:r>
                              </m:sub>
                            </m:sSub>
                          </m:e>
                        </m:eqArr>
                      </m:e>
                    </m:mr>
                    <m:mr>
                      <m:e>
                        <m:r>
                          <w:rPr>
                            <w:sz w:val="20"/>
                          </w:rPr>
                          <m:rPr>
                            <m:sty m:val="p"/>
                          </m:rPr>
                          <m:t>(</m:t>
                        </m:r>
                        <m:r>
                          <w:rPr>
                            <w:sz w:val="20"/>
                          </w:rPr>
                          <m:t>0</m:t>
                        </m:r>
                        <m:r>
                          <w:rPr>
                            <w:sz w:val="20"/>
                          </w:rPr>
                          <m:rPr>
                            <m:sty m:val="p"/>
                          </m:rPr>
                          <m:t>,</m:t>
                        </m:r>
                        <m:r>
                          <w:rPr>
                            <w:sz w:val="20"/>
                          </w:rPr>
                          <m:rPr>
                            <m:sty m:val="p"/>
                          </m:rPr>
                          <m:t>∅</m:t>
                        </m:r>
                        <m:r>
                          <w:rPr>
                            <w:sz w:val="20"/>
                          </w:rPr>
                          <m:rPr>
                            <m:sty m:val="p"/>
                          </m:rPr>
                          <m:t>)</m:t>
                        </m:r>
                        <m:r>
                          <w:rPr>
                            <w:sz w:val="20"/>
                          </w:rPr>
                          <m:rPr>
                            <m:sty m:val="p"/>
                          </m:rPr>
                          <m:t>,</m:t>
                        </m:r>
                      </m:e>
                      <m:e>
                        <m:r>
                          <w:rPr>
                            <w:sz w:val="20"/>
                          </w:rPr>
                          <m:rPr>
                            <m:nor/>
                            <m:sty m:val="p"/>
                          </m:rPr>
                          <m:t>if </m:t>
                        </m:r>
                        <m:sSub>
                          <m:e>
                            <m:r>
                              <w:rPr>
                                <w:sz w:val="20"/>
                              </w:rPr>
                              <m:t>B</m:t>
                            </m:r>
                          </m:e>
                          <m:sub>
                            <m:r>
                              <w:rPr>
                                <w:sz w:val="20"/>
                              </w:rPr>
                              <m:t>j</m:t>
                            </m:r>
                          </m:sub>
                        </m:sSub>
                        <m:r>
                          <w:rPr>
                            <w:sz w:val="20"/>
                          </w:rPr>
                          <m:rPr>
                            <m:nor/>
                            <m:sty m:val="p"/>
                          </m:rPr>
                          <m:t> is a false positive</m:t>
                        </m:r>
                      </m:e>
                    </m:mr>
                  </m:m>
                </m:e>
              </m:d>
            </m:e>
          </m:eqArr>
        </m:oMath>
      </m:oMathPara>
    </w:p>
    <w:p>
      <w:pPr>
        <w:pStyle w:val="FirstParagraph"/>
        <w:spacing w:line="480" w:lineRule="auto" w:after="120"/>
        <w:ind w:firstLine="480"/>
      </w:pPr>
      <w:r>
        <w:rPr>
          <w:rFonts w:ascii="Times New Roman" w:hAnsi="Times New Roman"/>
          <w:sz w:val="24"/>
        </w:rPr>
        <w:t xml:space="preserve">Once Find locates a ligand region and Match assigns its chemical identity (SMILES), downstream molecular docking tools can reconstruct the three-dimensional ligand pose. We provide interfaces to commonly used docking tools, allowing users to select the appropriate tool for their needs. We also minimally modified the PocketXMol architecture to use density information as additional docking guidance alongside receptor information. We then loaded its official weights for fine-tuning and adopted PocketXMol-tuned as the default Build model.</w:t>
      </w:r>
    </w:p>
    <w:p>
      <w:pPr>
        <w:pStyle w:val="BodyText"/>
        <w:spacing w:line="480" w:lineRule="auto" w:after="120"/>
        <w:ind w:firstLine="480"/>
      </w:pPr>
      <w:r>
        <w:rPr>
          <w:rFonts w:ascii="Times New Roman" w:hAnsi="Times New Roman"/>
          <w:sz w:val="24"/>
        </w:rPr>
        <w:t xml:space="preserve">Build takes a specified initial binding site</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a small-molecule identity represented by SMILES and the surrounding pocket environment</w:t>
      </w:r>
      <w:r>
        <w:rPr>
          <w:rFonts w:ascii="Times New Roman" w:hAnsi="Times New Roman"/>
          <w:sz w:val="24"/>
        </w:rPr>
        <w:t xml:space="preserve"> </w:t>
      </w:r>
      <m:oMath>
        <m:r>
          <m:t>P</m:t>
        </m:r>
      </m:oMath>
      <w:r>
        <w:rPr>
          <w:rFonts w:ascii="Times New Roman" w:hAnsi="Times New Roman"/>
          <w:sz w:val="24"/>
        </w:rPr>
        <w:t xml:space="preserve">. It also accepts optional guiding density information</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ascii="Times New Roman" w:hAnsi="Times New Roman"/>
          <w:sz w:val="24"/>
        </w:rPr>
        <w:t xml:space="preserve">and generates all-atom coordinates for the small molecule.</w:t>
      </w:r>
    </w:p>
    <w:p>
      <w:pPr>
        <w:pStyle w:val="BodyText"/>
        <w:spacing w:line="480" w:lineRule="auto" w:after="120"/>
        <w:ind w:firstLine="480"/>
      </w:pPr>
      <w:r>
        <w:rPr>
          <w:rFonts w:ascii="Times New Roman" w:hAnsi="Times New Roman"/>
          <w:sz w:val="24"/>
        </w:rPr>
        <w:t xml:space="preserve">We tested the framework on a non-redundant set of 179 PDB entries. To evaluate Find’s localisation performance, we computed semantic and instance-level metrics for each full density map. To evaluate Match’s identity matching and Build’s molecular docking performance, we assessed the relevant ligands from these PDB entries.</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Fig. 2 | Network architecture and data flow of the Find–Match–Build framework. a, Shared input representation. Density information is represented by four base density fields: experimental cryo-EM density M_{\mathrm{exp}}, simulated receptor density M_{\mathrm{sim}}, difference density M_{\mathrm{diff}} and positive difference density M_{\mathrm{diff}}^{+}.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 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 c, Foreground classification and ligand identity assignment in Match. The candidate encoder extracts a 48³ local grid centred on the geometric centre of each predicted blob. A U-Net produces the base voxel summary vector h_j^{\mathrm{vox}}. Find-derived blob features, the local binding pocket and pseudo-atom features are summarised by dual pooling and cross-attention. Feature-wise linear modulation (FiLM) adaptively enhances h_j^{\mathrm{vox}} to produce the candidate representation h_j.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 g_k. The foreground head predicts the foreground probability p_j^{\mathrm{fg}} from h_j. Learned linear projections and cosine similarity between h_j and g_k yield the J \times K identity-assignment score matrix s_{j,k}. J denotes the number of candidate regions, and K denotes the number of ligand identities. d, Pose reconstruction in Build. The predicted binding site p,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 title="MDPPTFIG_eJydUkuOEzEQvUqr10yczyRRWkMklAE2MyhCYmcp8rjdaSvtD7Y7CQIkdogFO8SGC7DiACDBaZiZY1DV7nxGzALRUsuvXM-vqp79OrUslGmWpDeffvz-8pNcilCa_PodBh1rwzZ9kKROeFOtRY68WUbpCy-cp7Q3nPQmlJ4LvwrGUnr77fv15_e3Hz_cfP1FaRSk9F5FzZRAtUIuT1RDOFmfYkIxt6otpobjweC0N9yOxuP-aNB9c2Ylz-BPtqrSPmMPaVqGYDNCPC-FYr5jrNCQLIxTLEDoliR3bCP1UlWk3-2OiGJS07RVAK3_0YBjoXZiL-P-ScQUheTi3PBaCR2ikhMVC9JoX0rraTptJtTrueRzFwP-bD13SS48xyqzjDTOk8Z40vpOjm0nQSgLY-oajkgbFmAwNOsX45d5vqp7fRI3Fl38-h2rlzCIzEG9NwKE9wJ4vptxekb2fRxaig0ydPDC8JVPtJmVTC_FI-fMphQs9yiIeruEt4KHuAmah6NHBaIq-cuEq0raJ7KqsCLi5nwELPPBicBLhAVwnkOVJn8n2JPIXT2MvAWHrzaXJsfBWR0MdsiybeEUrnBxyRYyXZjmVVwbTdjHtNiGhGO-fa7A4khrX21LBlaz7kSt8-GpMCpBAGwHncaybH3hI_eAdmzMaxNbJwfIskonG1CZDPvDqHIvC-_lsc6b3T1mWWCy2m0f40q3fqFDLYR_mr79A4TOfq4" id="15" name="Picture"/>
            <a:graphic>
              <a:graphicData uri="http://schemas.openxmlformats.org/drawingml/2006/picture">
                <pic:pic>
                  <pic:nvPicPr>
                    <pic:cNvPr descr="C:/Users/15919/Desktop/论文草稿/temp/manuscript_figures_7qddku12/figure_000002.png" id="16" name="Picture"/>
                    <pic:cNvPicPr>
                      <a:picLocks noChangeArrowheads="1" noChangeAspect="1"/>
                    </pic:cNvPicPr>
                  </pic:nvPicPr>
                  <pic:blipFill>
                    <a:blip r:embed="rId14"/>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b/>
          <w:bCs/>
          <w:sz w:val="24"/>
        </w:rPr>
        <w:t xml:space="preserve">Fig. 2 | Network architecture and data flow of the Find–Match–Build framework.</w:t>
      </w:r>
      <w:r>
        <w:rPr>
          <w:rFonts w:ascii="Times New Roman" w:hAnsi="Times New Roman"/>
          <w:sz w:val="24"/>
        </w:rPr>
        <w:t xml:space="preserve"> </w:t>
      </w:r>
      <w:r>
        <w:rPr>
          <w:rFonts w:ascii="Times New Roman" w:hAnsi="Times New Roman"/>
          <w:sz w:val="24"/>
        </w:rPr>
        <w:t xml:space="preserve">a, Shared input representation. Density information is represented by four base density fields: experimental cryo-EM density</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simulated receptor density</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difference density</w:t>
      </w:r>
      <w:r>
        <w:rPr>
          <w:rFonts w:ascii="Times New Roman" w:hAnsi="Times New Roman"/>
          <w:sz w:val="24"/>
        </w:rPr>
        <w:t xml:space="preserve"> </w:t>
      </w:r>
      <m:oMath>
        <m:sSub>
          <m:e>
            <m:r>
              <m:t>M</m:t>
            </m:r>
          </m:e>
          <m:sub>
            <m:r>
              <m:rPr>
                <m:sty m:val="p"/>
              </m:rPr>
              <m:t>d</m:t>
            </m:r>
            <m:r>
              <m:rPr>
                <m:sty m:val="p"/>
              </m:rPr>
              <m:t>i</m:t>
            </m:r>
            <m:r>
              <m:rPr>
                <m:sty m:val="p"/>
              </m:rPr>
              <m:t>f</m:t>
            </m:r>
            <m:r>
              <m:rPr>
                <m:sty m:val="p"/>
              </m:rPr>
              <m:t>f</m:t>
            </m:r>
          </m:sub>
        </m:sSub>
      </m:oMath>
      <w:r>
        <w:rPr>
          <w:rFonts w:ascii="Times New Roman" w:hAnsi="Times New Roman"/>
          <w:sz w:val="24"/>
        </w:rPr>
        <w:t xml:space="preserve"> </w:t>
      </w:r>
      <w:r>
        <w:rPr>
          <w:rFonts w:ascii="Times New Roman" w:hAnsi="Times New Roman"/>
          <w:sz w:val="24"/>
        </w:rPr>
        <w:t xml:space="preserve">and positive difference density</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Times New Roman" w:hAnsi="Times New Roman"/>
          <w:sz w:val="24"/>
        </w:rPr>
        <w:t xml:space="preserve">.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w:t>
      </w:r>
      <w:r>
        <w:rPr>
          <w:rFonts w:ascii="Times New Roman" w:hAnsi="Times New Roman"/>
          <w:sz w:val="24"/>
        </w:rPr>
        <w:t xml:space="preserve"> </w:t>
      </w:r>
      <w:r>
        <w:rPr>
          <w:rFonts w:ascii="Times New Roman" w:hAnsi="Times New Roman"/>
          <w:sz w:val="24"/>
        </w:rPr>
        <w:t xml:space="preserve">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w:t>
      </w:r>
      <w:r>
        <w:rPr>
          <w:rFonts w:ascii="Times New Roman" w:hAnsi="Times New Roman"/>
          <w:sz w:val="24"/>
        </w:rPr>
        <w:t xml:space="preserve"> </w:t>
      </w:r>
      <w:r>
        <w:rPr>
          <w:rFonts w:ascii="Times New Roman" w:hAnsi="Times New Roman"/>
          <w:sz w:val="24"/>
        </w:rPr>
        <w:t xml:space="preserve">c, Foreground classification and ligand identity assignment in Match. The candidate encoder extracts a 48³ local grid centred on the geometric centre of each predicted blob. A U-Net produces the base voxel summary vector</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Find-derived blob features, the local binding pocket and pseudo-atom features are summarised by dual pooling and cross-attention. Feature-wise linear modulation (FiLM) adaptively enhances</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ascii="Times New Roman" w:hAnsi="Times New Roman"/>
          <w:sz w:val="24"/>
        </w:rPr>
        <w:t xml:space="preserve">to produce the candidate representation</w:t>
      </w:r>
      <w:r>
        <w:rPr>
          <w:rFonts w:ascii="Times New Roman" w:hAnsi="Times New Roman"/>
          <w:sz w:val="24"/>
        </w:rPr>
        <w:t xml:space="preserve"> </w:t>
      </w:r>
      <m:oMath>
        <m:sSub>
          <m:e>
            <m:r>
              <m:t>h</m:t>
            </m:r>
          </m:e>
          <m:sub>
            <m:r>
              <m:t>j</m:t>
            </m:r>
          </m:sub>
        </m:sSub>
      </m:oMath>
      <w:r>
        <w:rPr>
          <w:rFonts w:ascii="Times New Roman" w:hAnsi="Times New Roman"/>
          <w:sz w:val="24"/>
        </w:rPr>
        <w:t xml:space="preserve">.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w:t>
      </w:r>
      <w:r>
        <w:rPr>
          <w:rFonts w:ascii="Times New Roman" w:hAnsi="Times New Roman"/>
          <w:sz w:val="24"/>
        </w:rPr>
        <w:t xml:space="preserve"> </w:t>
      </w:r>
      <m:oMath>
        <m:sSub>
          <m:e>
            <m:r>
              <m:t>g</m:t>
            </m:r>
          </m:e>
          <m:sub>
            <m:r>
              <m:t>k</m:t>
            </m:r>
          </m:sub>
        </m:sSub>
      </m:oMath>
      <w:r>
        <w:rPr>
          <w:rFonts w:ascii="Times New Roman" w:hAnsi="Times New Roman"/>
          <w:sz w:val="24"/>
        </w:rPr>
        <w:t xml:space="preserve">. The foreground head predicts the foreground probability</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 </w:t>
      </w:r>
      <w:r>
        <w:rPr>
          <w:rFonts w:ascii="Times New Roman" w:hAnsi="Times New Roman"/>
          <w:sz w:val="24"/>
        </w:rPr>
        <w:t xml:space="preserve">from</w:t>
      </w:r>
      <w:r>
        <w:rPr>
          <w:rFonts w:ascii="Times New Roman" w:hAnsi="Times New Roman"/>
          <w:sz w:val="24"/>
        </w:rPr>
        <w:t xml:space="preserve"> </w:t>
      </w:r>
      <m:oMath>
        <m:sSub>
          <m:e>
            <m:r>
              <m:t>h</m:t>
            </m:r>
          </m:e>
          <m:sub>
            <m:r>
              <m:t>j</m:t>
            </m:r>
          </m:sub>
        </m:sSub>
      </m:oMath>
      <w:r>
        <w:rPr>
          <w:rFonts w:ascii="Times New Roman" w:hAnsi="Times New Roman"/>
          <w:sz w:val="24"/>
        </w:rPr>
        <w:t xml:space="preserve">. Learned linear projections and cosine similarity between</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ascii="Times New Roman" w:hAnsi="Times New Roman"/>
          <w:sz w:val="24"/>
        </w:rPr>
        <w:t xml:space="preserve">yield the</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ascii="Times New Roman" w:hAnsi="Times New Roman"/>
          <w:sz w:val="24"/>
        </w:rPr>
        <w:t xml:space="preserve">identity-assignment score matrix</w:t>
      </w:r>
      <w:r>
        <w:rPr>
          <w:rFonts w:ascii="Times New Roman" w:hAnsi="Times New Roman"/>
          <w:sz w:val="24"/>
        </w:rPr>
        <w:t xml:space="preserve"> </w:t>
      </w:r>
      <m:oMath>
        <m:sSub>
          <m:e>
            <m:r>
              <m:t>s</m:t>
            </m:r>
          </m:e>
          <m:sub>
            <m:r>
              <m:t>j</m:t>
            </m:r>
            <m:r>
              <m:rPr>
                <m:sty m:val="p"/>
              </m:rPr>
              <m:t>,</m:t>
            </m:r>
            <m:r>
              <m:t>k</m:t>
            </m:r>
          </m:sub>
        </m:sSub>
      </m:oMath>
      <w:r>
        <w:rPr>
          <w:rFonts w:ascii="Times New Roman" w:hAnsi="Times New Roman"/>
          <w:sz w:val="24"/>
        </w:rPr>
        <w:t xml:space="preserve">.</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denotes the number of candidate regions, and</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denotes the number of ligand identities.</w:t>
      </w:r>
      <w:r>
        <w:rPr>
          <w:rFonts w:ascii="Times New Roman" w:hAnsi="Times New Roman"/>
          <w:sz w:val="24"/>
        </w:rPr>
        <w:t xml:space="preserve"> </w:t>
      </w:r>
      <w:r>
        <w:rPr>
          <w:rFonts w:ascii="Times New Roman" w:hAnsi="Times New Roman"/>
          <w:sz w:val="24"/>
        </w:rPr>
        <w:t xml:space="preserve">d, Pose reconstruction in Build. The predicted binding site</w:t>
      </w:r>
      <w:r>
        <w:rPr>
          <w:rFonts w:ascii="Times New Roman" w:hAnsi="Times New Roman"/>
          <w:sz w:val="24"/>
        </w:rPr>
        <w:t xml:space="preserve"> </w:t>
      </w:r>
      <m:oMath>
        <m:r>
          <m:t>p</m:t>
        </m:r>
      </m:oMath>
      <w:r>
        <w:rPr>
          <w:rFonts w:ascii="Times New Roman" w:hAnsi="Times New Roman"/>
          <w:sz w:val="24"/>
        </w:rPr>
        <w:t xml:space="preserve">,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1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1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1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2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2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2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2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2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2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2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2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2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29">
        <w:r>
          <w:rPr>
            <w:rStyle w:val="Hyperlink"/>
          </w:rPr>
          <w:t xml:space="preserve">10.1021/acs.jmedchem.3c01134</w:t>
        </w:r>
      </w:hyperlink>
      <w:r>
        <w:rPr>
          <w:rFonts w:ascii="Times New Roman" w:hAnsi="Times New Roman"/>
          <w:sz w:val="24"/>
        </w:rPr>
        <w:t xml:space="preserve">.</w:t>
      </w:r>
    </w:p>
    <w:bookmarkEnd w:id="30"/>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q5qSUZ-Sm6ZSa1tQB3QQlZ">
    <w:name w:val="MDFIGREF_eJyrrk7LTC9KTbMCUrq5qSUZ-Sm6ZSa1tQB3QQlZ"/>
    <w:basedOn w:val="BodyTextChar"/>
  </w:style>
  <w:style w:type="character" w:customStyle="1" w:styleId="MDFIGREF_eJyrrk7LTC9KTbMCUrr5ZalFZZmp5fFlRjogfm5qSUZ-im6ZSW0tAEGtD2Y">
    <w:name w:val="MDFIGREF_eJyrrk7LTC9KTbMCUrr5ZalFZZmp5fFlRjogfm5qSUZ-im6ZSW0tAEGtD2Y"/>
    <w:basedOn w:val="BodyTextChar"/>
  </w:style>
  <w:style w:type="character" w:customStyle="1" w:styleId="MDFIGREF_eJyrrk7LTC9KTbMCUrr5ZalFZZmp5fFlRrW1AI3eCn8">
    <w:name w:val="MDFIGREF_eJyrrk7LTC9KTbMCUrr5ZalFZZmp5fFlRrW1AI3eCn8"/>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26" Type="http://schemas.openxmlformats.org/officeDocument/2006/relationships/hyperlink" Target="https://doi.org/10.1016/j.cell.2026.01.003" TargetMode="External"/><Relationship Id="rId28" Type="http://schemas.openxmlformats.org/officeDocument/2006/relationships/hyperlink" Target="https://doi.org/10.1016/j.str.2020.04.018" TargetMode="External"/><Relationship Id="rId24" Type="http://schemas.openxmlformats.org/officeDocument/2006/relationships/hyperlink" Target="https://doi.org/10.1016/j.str.2025.07.002" TargetMode="External"/><Relationship Id="rId18" Type="http://schemas.openxmlformats.org/officeDocument/2006/relationships/hyperlink" Target="https://doi.org/10.1016/j.tibs.2014.10.005" TargetMode="External"/><Relationship Id="rId29" Type="http://schemas.openxmlformats.org/officeDocument/2006/relationships/hyperlink" Target="https://doi.org/10.1021/acs.jmedchem.3c01134" TargetMode="External"/><Relationship Id="rId17" Type="http://schemas.openxmlformats.org/officeDocument/2006/relationships/hyperlink" Target="https://doi.org/10.1038/d41586-020-00341-9" TargetMode="External"/><Relationship Id="rId27" Type="http://schemas.openxmlformats.org/officeDocument/2006/relationships/hyperlink" Target="https://doi.org/10.1038/s41467-023-36732-5" TargetMode="External"/><Relationship Id="rId19" Type="http://schemas.openxmlformats.org/officeDocument/2006/relationships/hyperlink" Target="https://doi.org/10.1038/s41586-024-07215-4" TargetMode="External"/><Relationship Id="rId21" Type="http://schemas.openxmlformats.org/officeDocument/2006/relationships/hyperlink" Target="https://doi.org/10.1038/s41594-025-01723-1" TargetMode="External"/><Relationship Id="rId22" Type="http://schemas.openxmlformats.org/officeDocument/2006/relationships/hyperlink" Target="https://doi.org/10.1126/science.aat4346" TargetMode="External"/><Relationship Id="rId23" Type="http://schemas.openxmlformats.org/officeDocument/2006/relationships/hyperlink" Target="https://doi.org/10.64898/2026.06.01.729423" TargetMode="External"/><Relationship Id="rId20" Type="http://schemas.openxmlformats.org/officeDocument/2006/relationships/hyperlink" Target="https://doi.org/10.65215/LTSpreprints.2026.04.14.000185" TargetMode="External"/><Relationship Id="rId25"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doi.org/10.1016/j.cell.2026.01.003" TargetMode="External"/><Relationship Id="rId28" Type="http://schemas.openxmlformats.org/officeDocument/2006/relationships/hyperlink" Target="https://doi.org/10.1016/j.str.2020.04.018" TargetMode="External"/><Relationship Id="rId24" Type="http://schemas.openxmlformats.org/officeDocument/2006/relationships/hyperlink" Target="https://doi.org/10.1016/j.str.2025.07.002" TargetMode="External"/><Relationship Id="rId18" Type="http://schemas.openxmlformats.org/officeDocument/2006/relationships/hyperlink" Target="https://doi.org/10.1016/j.tibs.2014.10.005" TargetMode="External"/><Relationship Id="rId29" Type="http://schemas.openxmlformats.org/officeDocument/2006/relationships/hyperlink" Target="https://doi.org/10.1021/acs.jmedchem.3c01134" TargetMode="External"/><Relationship Id="rId17" Type="http://schemas.openxmlformats.org/officeDocument/2006/relationships/hyperlink" Target="https://doi.org/10.1038/d41586-020-00341-9" TargetMode="External"/><Relationship Id="rId27" Type="http://schemas.openxmlformats.org/officeDocument/2006/relationships/hyperlink" Target="https://doi.org/10.1038/s41467-023-36732-5" TargetMode="External"/><Relationship Id="rId19" Type="http://schemas.openxmlformats.org/officeDocument/2006/relationships/hyperlink" Target="https://doi.org/10.1038/s41586-024-07215-4" TargetMode="External"/><Relationship Id="rId21" Type="http://schemas.openxmlformats.org/officeDocument/2006/relationships/hyperlink" Target="https://doi.org/10.1038/s41594-025-01723-1" TargetMode="External"/><Relationship Id="rId22" Type="http://schemas.openxmlformats.org/officeDocument/2006/relationships/hyperlink" Target="https://doi.org/10.1126/science.aat4346" TargetMode="External"/><Relationship Id="rId23" Type="http://schemas.openxmlformats.org/officeDocument/2006/relationships/hyperlink" Target="https://doi.org/10.64898/2026.06.01.729423" TargetMode="External"/><Relationship Id="rId20" Type="http://schemas.openxmlformats.org/officeDocument/2006/relationships/hyperlink" Target="https://doi.org/10.65215/LTSpreprints.2026.04.14.000185" TargetMode="External"/><Relationship Id="rId25" Type="http://schemas.openxmlformats.org/officeDocument/2006/relationships/hyperlink" Target="https://openreview.net/forum?id=kKF8_K-mBb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2026-10-06T06:03:26Z</dcterms:created>
  <dcterms:modified xsi:type="dcterms:W3CDTF">2026-10-06T06:03:26Z</dcterms:modified>
</cp:coreProperties>
</file>

<file path=docProps/custom.xml><?xml version="1.0" encoding="utf-8"?>
<Properties xmlns="http://schemas.openxmlformats.org/officeDocument/2006/custom-properties" xmlns:vt="http://schemas.openxmlformats.org/officeDocument/2006/docPropsVTypes"/>
</file>