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54"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2O0zAQfpUoZ6iblm7VaKmEusBlQRUSN0uV13Eaq4lt2W4aBEjcgMPeEBceAE48ACvB07Dbx2AmTn9WywERKfLnmc_fzHz269gwX8RpFN98uvr95Se5fne1_foBUM8Y38T3otgKp8taZEiapZS-dMI6SpPRJJlQeibcymtD6fb7j-vP77eXH2--_aI0qFF6V06xSqBULpf3dS1sLcVmUQ8wVTG7WhtMjsbDZJT0m2TyIBkMh29OjeQp_FFTlcql7CGNC-9NSojjhaiY62kjFCRzbSvmYWuXJLNsI9WyKsmg3z8hFZOKxp0CaP2PBhzzayv2MvafRHSeSy7ONF9XQvmgZEXJvNTKFdI4Gk_bCVU9l3xuw4Y_r-c2yoTjWGWWktZ40vpOOtvJsevEi8rAmGoNR6TxC7AYmnULNj5pBmqtSAgs-vglPaOWMIjMQH04BoQ3A3i-m3F6SvZ9HFoKDTJ08FzzlYuUnhVMLcUja_WmECxzIJKg3i7hjOA-BEHzcPSoQFAld0y4KKV5IssSKyJuzwfAUuet8LxAmAPnBVRp87c2exK5rYc7Z8Dhi80zneHgbO01dsjSJrcVrnBxUQOZPkzzKqytJsQxLRofccx3zxVYHGndq-3IwGrXnaixzj8VuooQANtCp6Esq89d4B7Qjo15pUPr5ABZWqpoAyqT0WAUVP7Kwnt5rLI2uscs9UyWu_AxLlXnFzrUQfin8ds_Pp1_PA" id="36" name="Picture"/>
            <a:graphic>
              <a:graphicData uri="http://schemas.openxmlformats.org/drawingml/2006/picture">
                <pic:pic>
                  <pic:nvPicPr>
                    <pic:cNvPr descr="C:/Users/15919/Desktop/论文草稿/temp/manuscript_figures_a76x2nun/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multi-view density bank</w:t>
      </w:r>
      <w:r>
        <w:t xml:space="preserve"> </w:t>
      </w:r>
      <m:oMath>
        <m:r>
          <m:t>M</m:t>
        </m:r>
      </m:oMath>
      <w:r>
        <w:t xml:space="preserve">, receptor information</w:t>
      </w:r>
      <w:r>
        <w:t xml:space="preserve"> </w:t>
      </w:r>
      <m:oMath>
        <m:r>
          <m:t>A</m:t>
        </m:r>
      </m:oMath>
      <w:r>
        <w:t xml:space="preserve"> </w:t>
      </w:r>
      <w:r>
        <w:t xml:space="preserve">around each blob and auxiliary information AUX from Find (see Methods). It matches the Find-predicted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to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same PDB entry. Here,</w:t>
      </w:r>
      <w:r>
        <w:t xml:space="preserve"> </w:t>
      </w:r>
      <m:oMath>
        <m:r>
          <m:t>K</m:t>
        </m:r>
      </m:oMath>
      <w:r>
        <w:t xml:space="preserve"> </w:t>
      </w:r>
      <w:r>
        <w:t xml:space="preserve">denotes the number of ligand identities present in that PDB entry. Match determines whether each blob is a false-positive Find prediction and, if it is not, assigns its ligand identity:</w:t>
      </w:r>
    </w:p>
    <w:p>
      <w:pPr>
        <w:pStyle w:val="BodyText"/>
        <w:keepLines/>
        <w:spacing w:line="240" w:lineRule="auto" w:before="180" w:after="220"/>
        <w:ind w:firstLine="0"/>
        <w:jc w:val="center"/>
      </w:pPr>
      <m:oMathPara>
        <m:oMathParaPr>
          <m:jc m:val="center"/>
        </m:oMathParaPr>
        <m:oMath>
          <m:eqArr>
            <m:e>
              <m:r>
                <w:rPr>
                  <w:sz w:val="19"/>
                </w:rPr>
                <m:t>&amp;</m:t>
              </m:r>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e>
            <m:e>
              <m:r>
                <w:rPr>
                  <w:sz w:val="19"/>
                </w:rPr>
                <m:t>&amp;</m:t>
              </m:r>
              <m:r>
                <w:rPr>
                  <w:sz w:val="19"/>
                </w:rPr>
                <m:t> </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m:t>
                            </m:r>
                          </m:e>
                          <m:e>
                            <m:r>
                              <w:rPr>
                                <w:sz w:val="19"/>
                              </w:rPr>
                              <m:t>&amp;</m:t>
                            </m:r>
                            <m:r>
                              <w:rPr>
                                <w:sz w:val="19"/>
                              </w:rPr>
                              <m:rPr>
                                <m:nor/>
                                <m:sty m:val="p"/>
                              </m:rPr>
                              <m:t>and has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(SMILES), downstream molecular docking tools can reconstruct the three-dimensional ligand pose. We provide interfaces to commonly used docking tools, allowing users to select the appropriate tool for their needs. We also minimally modified the PocketXMol architecture to use density information as additional docking guidance alongside receptor information. We then loaded its official weights for fine-tuning and adopted PocketXMol-tuned as the default Build model.</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the Find–Match–Build framework. a, Shared input representation. Density information is represented by four base density fields: experimental cryo-EM density M_{\mathrm{exp}}, simulated receptor density M_{\mathrm{sim}}, difference density M_{\mathrm{diff}} and positive difference density M_{\mathrm{diff}}^{+}.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 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 c, Foreground classification and ligand identity assignment in Match. The candidate encoder extracts a 48³ local grid centred on the geometric centre of each predicted blob. A U-Net produces the base voxel summary vector h_j^{\mathrm{vox}}. Find-derived blob features, the local binding pocket and pseudo-atom features are summarised by dual pooling and cross-attention. Feature-wise linear modulation (FiLM) adaptively enhances h_j^{\mathrm{vox}} to produce the candidate representation h_j.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 g_k. The foreground head predicts the foreground probability p_j^{\mathrm{fg}} from h_j. Learned linear projections and cosine similarity between h_j and g_k yield the J \times K identity-assignment score matrix s_{j,k}. J denotes the number of candidate regions, and K denotes the number of ligand identities. d, Pose reconstruction in Build. The predicted binding site p,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 title="MDPPTFIG_eJydUs1uEzEQfpXVnmm9SZuErEoklAKXFkVI3CxFrtebtbL-ke0kiwCJG-LADXHhBTjxACDB09D2MZhZb34qekCstPI3ns_fzHz269SyUKV5kt58-vH7y09yKUJliut3GBxbG5r0QZI64U29FgXypjmlL71wntLeYNwbU3ou_DIYS-ntt-_Xn9_ffvxw8_UXpVGQ0nsVNVMC1Uq5OFIt4Wh9ignF3HJlMTUYnfQGvawZjkbZycPszZmVPIc_aVStfc4e0bQKweaEeF4JxfyxsUJDsjROsQChW5DCsY3UC1WTfpYNiWJS07RTAK3_0YBjYeXETsb9k4gpS8nFueErJXSISk7ULEijfSWtp-mknVCvZ5LPXAz48_XMJYXwHKtMc9I6T1rjSec7ObSdBKEsjKlXcETaMAeDoVk_Z6Nh09crTeLGPMOvf2z1AgaRBaifZoDwXgDPtjNOzsiuj31LsUGGDl4YvvSJNtOK6YV47JzZVIIVHkR6qLdNeCt4iJuguT96UCCqkr9MuKqlfSrrGisibs9HwHIfnAi8QlgC5wVUafN3gh2J3NXDyFtw-GpzaQocnK2CwQ5Z3pRO4QoXlzSQQXdexbXVhH1MiyYkHPPdcwUWR1r3ajsysNp1K2qdD8-EUQkCYDvoNJZl6wsfuXu0ZWNem9g62UOW1zrZgMp40B9ElXtZeC9PdNHu7jDLA5P1dvsQ17rzCx3qIPyT9O0flBd-tQ" id="39" name="Picture"/>
            <a:graphic>
              <a:graphicData uri="http://schemas.openxmlformats.org/drawingml/2006/picture">
                <pic:pic>
                  <pic:nvPicPr>
                    <pic:cNvPr descr="C:/Users/15919/Desktop/论文草稿/temp/manuscript_figures_a76x2nun/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Find–Match–Build framework.</w:t>
      </w:r>
      <w:r>
        <w:rPr>
          <w:rFonts w:ascii="华文仿宋" w:hAnsi="华文仿宋" w:eastAsia="华文仿宋"/>
          <w:sz w:val="18"/>
        </w:rPr>
        <w:t xml:space="preserve"> </w:t>
      </w:r>
      <w:r>
        <w:rPr>
          <w:rFonts w:ascii="华文仿宋" w:hAnsi="华文仿宋" w:eastAsia="华文仿宋"/>
          <w:sz w:val="18"/>
        </w:rPr>
        <w:t xml:space="preserve">a, Shared input representation. Density information is represented by four base density fields: experimental cryo-EM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w:t>
      </w:r>
      <w:r>
        <w:rPr>
          <w:rFonts w:ascii="华文仿宋" w:hAnsi="华文仿宋" w:eastAsia="华文仿宋"/>
          <w:sz w:val="18"/>
        </w:rPr>
        <w:t xml:space="preserve"> </w:t>
      </w:r>
      <w:r>
        <w:rPr>
          <w:rFonts w:ascii="华文仿宋" w:hAnsi="华文仿宋" w:eastAsia="华文仿宋"/>
          <w:sz w:val="18"/>
        </w:rPr>
        <w:t xml:space="preserve">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w:t>
      </w:r>
      <w:r>
        <w:rPr>
          <w:rFonts w:ascii="华文仿宋" w:hAnsi="华文仿宋" w:eastAsia="华文仿宋"/>
          <w:sz w:val="18"/>
        </w:rPr>
        <w:t xml:space="preserve"> </w:t>
      </w:r>
      <w:r>
        <w:rPr>
          <w:rFonts w:ascii="华文仿宋" w:hAnsi="华文仿宋" w:eastAsia="华文仿宋"/>
          <w:sz w:val="18"/>
        </w:rPr>
        <w:t xml:space="preserve">c, Foreground classification and ligand identity assignment in Match. The candidate encoder extracts a 48³ local grid centred on the geometric centre of each predicted blob. A U-Net produces the base voxel summary vector</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features, the local binding pocket and pseudo-atom features are summarised by dual pooling and cross-attention. Feature-wise linear modulation (FiLM) adaptively enhances</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to produce the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The foreground head predicts the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Learned linear projections and cosine similarity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yield the</w:t>
      </w:r>
      <w:r>
        <w:rPr>
          <w:rFonts w:ascii="华文仿宋" w:hAnsi="华文仿宋" w:eastAsia="华文仿宋"/>
          <w:sz w:val="18"/>
        </w:rPr>
        <w:t xml:space="preserve"> </w:t>
      </w:r>
      <m:oMath>
        <m:r>
          <m:t>J</m:t>
        </m:r>
        <m:r>
          <m:rPr>
            <m:sty m:val="p"/>
          </m:rPr>
          <m:t>×</m:t>
        </m:r>
        <m:r>
          <m:t>K</m:t>
        </m:r>
      </m:oMath>
      <w:r>
        <w:rPr>
          <w:rFonts w:ascii="华文仿宋" w:hAnsi="华文仿宋" w:eastAsia="华文仿宋"/>
          <w:sz w:val="18"/>
        </w:rPr>
        <w:t xml:space="preserve"> </w:t>
      </w:r>
      <w:r>
        <w:rPr>
          <w:rFonts w:ascii="华文仿宋" w:hAnsi="华文仿宋" w:eastAsia="华文仿宋"/>
          <w:sz w:val="18"/>
        </w:rPr>
        <w:t xml:space="preserve">identity-assignment score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m:oMath>
        <m:r>
          <m:t>J</m:t>
        </m:r>
      </m:oMath>
      <w:r>
        <w:rPr>
          <w:rFonts w:ascii="华文仿宋" w:hAnsi="华文仿宋" w:eastAsia="华文仿宋"/>
          <w:sz w:val="18"/>
        </w:rPr>
        <w:t xml:space="preserve"> </w:t>
      </w:r>
      <w:r>
        <w:rPr>
          <w:rFonts w:ascii="华文仿宋" w:hAnsi="华文仿宋" w:eastAsia="华文仿宋"/>
          <w:sz w:val="18"/>
        </w:rPr>
        <w:t xml:space="preserve">denotes the number of candidate regions, and</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ascii="华文仿宋" w:hAnsi="华文仿宋" w:eastAsia="华文仿宋"/>
          <w:sz w:val="18"/>
        </w:rPr>
        <w:t xml:space="preserve">denotes the number of ligand identities.</w:t>
      </w:r>
      <w:r>
        <w:rPr>
          <w:rFonts w:ascii="华文仿宋" w:hAnsi="华文仿宋" w:eastAsia="华文仿宋"/>
          <w:sz w:val="18"/>
        </w:rPr>
        <w:t xml:space="preserve"> </w:t>
      </w:r>
      <w:r>
        <w:rPr>
          <w:rFonts w:ascii="华文仿宋" w:hAnsi="华文仿宋" w:eastAsia="华文仿宋"/>
          <w:sz w:val="18"/>
        </w:rPr>
        <w:t xml:space="preserve">d, Pose reconstruction in Build. The predicted binding site</w:t>
      </w:r>
      <w:r>
        <w:rPr>
          <w:rFonts w:ascii="华文仿宋" w:hAnsi="华文仿宋" w:eastAsia="华文仿宋"/>
          <w:sz w:val="18"/>
        </w:rPr>
        <w:t xml:space="preserve"> </w:t>
      </w:r>
      <m:oMath>
        <m:r>
          <m:t>p</m:t>
        </m:r>
      </m:oMath>
      <w:r>
        <w:rPr>
          <w:rFonts w:ascii="华文仿宋" w:hAnsi="华文仿宋" w:eastAsia="华文仿宋"/>
          <w:sz w:val="18"/>
        </w:rPr>
        <w:t xml:space="preserve">,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4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4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4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4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4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4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4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4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4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5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5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5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53">
        <w:r>
          <w:rPr>
            <w:rStyle w:val="a4"/>
          </w:rPr>
          <w:t xml:space="preserve">10.1021/acs.jmedchem.3c01134</w:t>
        </w:r>
      </w:hyperlink>
      <w:r>
        <w:t xml:space="preserve">.</w:t>
      </w:r>
    </w:p>
    <w:bookmarkEnd w:id="54"/>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2026-10-06T06:04:02Z</dcterms:created>
  <dcterms:modified xsi:type="dcterms:W3CDTF">2026-10-06T06:04:02Z</dcterms:modified>
</cp:coreProperties>
</file>

<file path=docProps/custom.xml><?xml version="1.0" encoding="utf-8"?>
<Properties xmlns="http://schemas.openxmlformats.org/officeDocument/2006/custom-properties" xmlns:vt="http://schemas.openxmlformats.org/officeDocument/2006/docPropsVTypes"/>
</file>