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It was substantially faster than EMERALD-ID and covered a broader range of ligands. For Build, we incorporated continuous cryo-EM density-field constraints into a receptor-based generative model and fine-tuned it. This reduced the median root-mean-square deviation (RMSD) of top-1 small-molecule poses from 1.81 Å to 1.21 Å. The success rate for accurate poses (RMSD &lt; 2 Å) increased from 54.9% to 74.7%. In end-to-end blind evaluation without deposited receptor structures as input, LigandSeek achieved success rates of 59.7% (RMSD &lt; 2 Å) and 67.5% (RMSD &lt; 3 Å) across 77 PDB entries. With deposited receptor structures, these rates increased to 66.2% and 71.4%, respectively. LigandSeek provides an efficient, fully automated workflow from continuous three-dimensional cryo-EM density maps to all-atom ligand poses.</w:t>
      </w:r>
    </w:p>
    <w:bookmarkEnd w:id="9"/>
    <w:bookmarkStart w:id="29"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Ligands bound in binding pockets often control catalysis, conformational switching and signalling cascades in these complexes. Their binding poses also underpin structure-based drug design</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non-redundant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The success rate at RMSD &lt; 2 Å increased from 54.9% to 74.7%. In end-to-end blind evaluation across 77 complexes containing organic small molecules, LigandSeek achieved single-attempt all-atom modelling success rates of 44.2% (RMSD &lt; 2 Å) and 53.2% (RMSD &lt; 3 Å). Within the first ten attempts, the corresponding success rates increased to 59.7% and 67.5%, respectively. LigandSeek connects ligand localisation, identity matching and pose reconstruction to generate accurate all-atom ligand poses from cryo-EM density maps. It provides a new tool for drug discovery and high-throughput cryo-EM screening.</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 title="MDPPTFIG_eJydUs1u1DAQfpUoZ1hvtl3ajcpKqAUuBa2QuFlauY6zsTaxLdtJFgESN-iBG-LCA8CJB6ASPA3tPgYzcfanKgdEpMifZz5_M_PZr2PDfBGnUXzz6er3l5_k-t3V-usHQANj_Cq-F8VWOF02IkPSaUrpSyesozQZT5IJpWfCLb02lK6__7j-_H798fLm2y9Kgxqld-UUqwRK5XJxXzfCNlK082aEqYrZZW0wOT46ODhMxqtkcpgcHx2_OTGSp_BHq6pULmUPaVx4b1JCHC9ExdxAG6EgmWtbMQ9buyCZZa1Ui6oko-HwAamYVDTuFUDrfzTgmK-t2MrYfxLReS65ONO8roTyQcmKknmplSukcTSedhOqZib5zIYNf97MbJQJx7HKaUo640nnO-ltJ_uuEy8qA2OqGo5I4-dgMTTr5qyuWjGXjoTAfIhfMjBqAYPIDNSTESC8GcCzzYzTE7LtY9dSaJChg-eaL12k9GnB1EI8sla3hWCZQ0HU2yScEdyHIGjuju4VCKrkjgkXpTRPZFliRcTd-QBY6rwVnhcIc-C8gCpd_tZmSyK39XDnDDh80T7TGQ7Oaq-xQ5auclvhChcXrSAzhGlehbXThDimxcpHHPP9cwUWR1r_ansysLp1I2qs80-FriIEwLbQaSjLmnMXuDu0YWNe6dA62UGWlipqQWUyHo2Dyl9ZeC-PVdZFt5ilnslyE97Hper9Qod6CP80fvsH2E5_8A" id="11" name="Picture"/>
            <a:graphic>
              <a:graphicData uri="http://schemas.openxmlformats.org/drawingml/2006/picture">
                <pic:pic>
                  <pic:nvPicPr>
                    <pic:cNvPr descr="C:/Users/15919/Desktop/论文草稿/temp/manuscript_figures_aumwe_is/figure_000001.png" id="12" name="Picture"/>
                    <pic:cNvPicPr>
                      <a:picLocks noChangeArrowheads="1" noChangeAspect="1"/>
                    </pic:cNvPicPr>
                  </pic:nvPicPr>
                  <pic:blipFill>
                    <a:blip r:embed="rId10"/>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the Find–Match–Build framework. a, Shared input representation. Density information is represented by four base density fields: experimental cryo-EM density M_{\mathrm{exp}}, simulated receptor density M_{\mathrm{sim}}, difference density M_{\mathrm{diff}} and positive difference density M_{\mathrm{diff}}^{+}.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 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 c, Foreground classification and ligand identity assignment in Match. The candidate encoder extracts a 48³ local grid centred on the geometric centre of each predicted blob. A U-Net produces the base voxel summary vector h_j^{\mathrm{vox}}. Find-derived blob features, the local binding pocket and pseudo-atom features are summarised by dual pooling and cross-attention. Feature-wise linear modulation (FiLM) adaptively enhances h_j^{\mathrm{vox}} to produce the candidate representation h_j.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 g_k. The foreground head predicts the foreground probability p_j^{\mathrm{fg}} from h_j. Learned linear projections and cosine similarity between h_j and g_k yield the J \times K identity-assignment score matrix s_{j,k}. J denotes the number of candidate regions, and K denotes the number of ligand identities. d, Pose reconstruction in Build. The predicted binding site p,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 title="MDPPTFIG_eJydUsuO0zAU_ZUoa6buY9Kq0VAJdYDNDKqQ2FmqPInTWI0fsp02CJDYIRbsRmz4AVZ8AEjwNczMZ3BvnD5GzAIRKfK5vsfn3nvsN7FhvozTKL69_vH7y09yyX2p85v3GPSM8U38KIotd7ra8Bx585TSV45bR-kgmQ6mlJ5zt_baUHr37fvN5w93nz7efv1FaRCk9EFFxSRHtUKsTmRLONmcYkIyu64NppLJaHQ6SJrxZDIcj_pvz4zIUvijRlbKpewxjUvvTUqIy0oumetpwxUkC20l8xDaFckt2wq1khUZ9vtjIplQNO4UQOt_NOCYry3fy9h_EtFFITJ-rrNacuWDkuUV80IrVwrjaDxrJ1SbhcgWNgTZi83CRjl3GVaZp6R1nrTGk853cmw78VwaGFPVcEQYvwSDoVm3ZLXc8qVwJGws-_gNe0atYBCRg_ogAYT3Anixm3F2RvZ9HFoKDTJ08EJnaxcpPS-ZWvEn1uptyVnuUBD1dglneObDJmgejh4VCKrkLxOuKmGeiarCiojb8wGw1HnLfVYiLIDzEqq0-XvBnkTu62HkDDh8tb3UOQ7Oaq-xQ5Y2hZW4wsVFDWT6MM3rsLaasI9p3vgow3z3XIGVIa17tR0ZWO26EzXW-edcywgBsC10GsqyzYUL3APasTGvdGidHCBLKxVtQWWaDJOg8iAL7-WpytvdPWapZ6LabR_jSnV-oUMdhH8Wv_sD_2h_VA" id="14" name="Picture"/>
            <a:graphic>
              <a:graphicData uri="http://schemas.openxmlformats.org/drawingml/2006/picture">
                <pic:pic>
                  <pic:nvPicPr>
                    <pic:cNvPr descr="C:/Users/15919/Desktop/论文草稿/temp/manuscript_figures_aumwe_is/figure_000002.png" id="15" name="Picture"/>
                    <pic:cNvPicPr>
                      <a:picLocks noChangeArrowheads="1" noChangeAspect="1"/>
                    </pic:cNvPicPr>
                  </pic:nvPicPr>
                  <pic:blipFill>
                    <a:blip r:embed="rId13"/>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the Find–Match–Build framework.</w:t>
      </w:r>
      <w:r>
        <w:rPr>
          <w:rFonts w:ascii="Times New Roman" w:hAnsi="Times New Roman"/>
          <w:sz w:val="24"/>
        </w:rPr>
        <w:t xml:space="preserve"> </w:t>
      </w:r>
      <w:r>
        <w:rPr>
          <w:rFonts w:ascii="Times New Roman" w:hAnsi="Times New Roman"/>
          <w:sz w:val="24"/>
        </w:rPr>
        <w:t xml:space="preserve">a, Shared input representation. Density information is represented by four base density fields: experimental cryo-EM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w:t>
      </w:r>
      <w:r>
        <w:rPr>
          <w:rFonts w:ascii="Times New Roman" w:hAnsi="Times New Roman"/>
          <w:sz w:val="24"/>
        </w:rPr>
        <w:t xml:space="preserve"> </w:t>
      </w:r>
      <w:r>
        <w:rPr>
          <w:rFonts w:ascii="Times New Roman" w:hAnsi="Times New Roman"/>
          <w:sz w:val="24"/>
        </w:rPr>
        <w:t xml:space="preserve">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w:t>
      </w:r>
      <w:r>
        <w:rPr>
          <w:rFonts w:ascii="Times New Roman" w:hAnsi="Times New Roman"/>
          <w:sz w:val="24"/>
        </w:rPr>
        <w:t xml:space="preserve"> </w:t>
      </w:r>
      <w:r>
        <w:rPr>
          <w:rFonts w:ascii="Times New Roman" w:hAnsi="Times New Roman"/>
          <w:sz w:val="24"/>
        </w:rPr>
        <w:t xml:space="preserve">c, Foreground classification and ligand identity assignment in Match. The candidate encoder extracts a 48³ local grid centred on the geometric centre of each predicted blob. A U-Net produces the base voxel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features, the local binding pocket and pseudo-atom features are summarised by dual pooling and cross-attention. Feature-wise linear modulation (FiLM) adaptively enhances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to produce the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The foreground head predicts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Learned linear projections and cosine similarity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yield the</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identity-assignment score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denotes the number of candidate regions,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w:t>
      </w:r>
      <w:r>
        <w:rPr>
          <w:rFonts w:ascii="Times New Roman" w:hAnsi="Times New Roman"/>
          <w:sz w:val="24"/>
        </w:rPr>
        <w:t xml:space="preserve"> </w:t>
      </w:r>
      <w:r>
        <w:rPr>
          <w:rFonts w:ascii="Times New Roman" w:hAnsi="Times New Roman"/>
          <w:sz w:val="24"/>
        </w:rPr>
        <w:t xml:space="preserve">d, Pose reconstruction in Build. The predicted binding site</w:t>
      </w:r>
      <w:r>
        <w:rPr>
          <w:rFonts w:ascii="Times New Roman" w:hAnsi="Times New Roman"/>
          <w:sz w:val="24"/>
        </w:rPr>
        <w:t xml:space="preserve"> </w:t>
      </w:r>
      <m:oMath>
        <m:r>
          <m:t>p</m:t>
        </m:r>
      </m:oMath>
      <w:r>
        <w:rPr>
          <w:rFonts w:ascii="Times New Roman" w:hAnsi="Times New Roman"/>
          <w:sz w:val="24"/>
        </w:rPr>
        <w:t xml:space="preserve">,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2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2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2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2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2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2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2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2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28">
        <w:r>
          <w:rPr>
            <w:rStyle w:val="Hyperlink"/>
          </w:rPr>
          <w:t xml:space="preserve">10.1021/acs.jmedchem.3c01134</w:t>
        </w:r>
      </w:hyperlink>
      <w:r>
        <w:rPr>
          <w:rFonts w:ascii="Times New Roman" w:hAnsi="Times New Roman"/>
          <w:sz w:val="24"/>
        </w:rPr>
        <w:t xml:space="preserve">.</w:t>
      </w:r>
    </w:p>
    <w:bookmarkEnd w:id="2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r5ZalFZZmp5fFlRjogfm5qSUZ-im6ZSW0tAEGtD2Y">
    <w:name w:val="MDFIGREF_eJyrrk7LTC9KTbMCUrr5ZalFZZmp5fFlRjogfm5qSUZ-im6ZSW0tAEGtD2Y"/>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25" Type="http://schemas.openxmlformats.org/officeDocument/2006/relationships/hyperlink" Target="https://doi.org/10.1016/j.cell.2026.01.003" TargetMode="External"/><Relationship Id="rId27" Type="http://schemas.openxmlformats.org/officeDocument/2006/relationships/hyperlink" Target="https://doi.org/10.1016/j.str.2020.04.018" TargetMode="External"/><Relationship Id="rId23" Type="http://schemas.openxmlformats.org/officeDocument/2006/relationships/hyperlink" Target="https://doi.org/10.1016/j.str.2025.07.002" TargetMode="External"/><Relationship Id="rId17" Type="http://schemas.openxmlformats.org/officeDocument/2006/relationships/hyperlink" Target="https://doi.org/10.1016/j.tibs.2014.10.005" TargetMode="External"/><Relationship Id="rId28" Type="http://schemas.openxmlformats.org/officeDocument/2006/relationships/hyperlink" Target="https://doi.org/10.1021/acs.jmedchem.3c01134" TargetMode="External"/><Relationship Id="rId16" Type="http://schemas.openxmlformats.org/officeDocument/2006/relationships/hyperlink" Target="https://doi.org/10.1038/d41586-020-00341-9" TargetMode="External"/><Relationship Id="rId26" Type="http://schemas.openxmlformats.org/officeDocument/2006/relationships/hyperlink" Target="https://doi.org/10.1038/s41467-023-36732-5" TargetMode="External"/><Relationship Id="rId18" Type="http://schemas.openxmlformats.org/officeDocument/2006/relationships/hyperlink" Target="https://doi.org/10.1038/s41586-024-07215-4" TargetMode="External"/><Relationship Id="rId20" Type="http://schemas.openxmlformats.org/officeDocument/2006/relationships/hyperlink" Target="https://doi.org/10.1038/s41594-025-01723-1" TargetMode="External"/><Relationship Id="rId21" Type="http://schemas.openxmlformats.org/officeDocument/2006/relationships/hyperlink" Target="https://doi.org/10.1126/science.aat4346" TargetMode="External"/><Relationship Id="rId22" Type="http://schemas.openxmlformats.org/officeDocument/2006/relationships/hyperlink" Target="https://doi.org/10.64898/2026.06.01.729423" TargetMode="External"/><Relationship Id="rId19" Type="http://schemas.openxmlformats.org/officeDocument/2006/relationships/hyperlink" Target="https://doi.org/10.65215/LTSpreprints.2026.04.14.000185" TargetMode="External"/><Relationship Id="rId2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25" Type="http://schemas.openxmlformats.org/officeDocument/2006/relationships/hyperlink" Target="https://doi.org/10.1016/j.cell.2026.01.003" TargetMode="External"/><Relationship Id="rId27" Type="http://schemas.openxmlformats.org/officeDocument/2006/relationships/hyperlink" Target="https://doi.org/10.1016/j.str.2020.04.018" TargetMode="External"/><Relationship Id="rId23" Type="http://schemas.openxmlformats.org/officeDocument/2006/relationships/hyperlink" Target="https://doi.org/10.1016/j.str.2025.07.002" TargetMode="External"/><Relationship Id="rId17" Type="http://schemas.openxmlformats.org/officeDocument/2006/relationships/hyperlink" Target="https://doi.org/10.1016/j.tibs.2014.10.005" TargetMode="External"/><Relationship Id="rId28" Type="http://schemas.openxmlformats.org/officeDocument/2006/relationships/hyperlink" Target="https://doi.org/10.1021/acs.jmedchem.3c01134" TargetMode="External"/><Relationship Id="rId16" Type="http://schemas.openxmlformats.org/officeDocument/2006/relationships/hyperlink" Target="https://doi.org/10.1038/d41586-020-00341-9" TargetMode="External"/><Relationship Id="rId26" Type="http://schemas.openxmlformats.org/officeDocument/2006/relationships/hyperlink" Target="https://doi.org/10.1038/s41467-023-36732-5" TargetMode="External"/><Relationship Id="rId18" Type="http://schemas.openxmlformats.org/officeDocument/2006/relationships/hyperlink" Target="https://doi.org/10.1038/s41586-024-07215-4" TargetMode="External"/><Relationship Id="rId20" Type="http://schemas.openxmlformats.org/officeDocument/2006/relationships/hyperlink" Target="https://doi.org/10.1038/s41594-025-01723-1" TargetMode="External"/><Relationship Id="rId21" Type="http://schemas.openxmlformats.org/officeDocument/2006/relationships/hyperlink" Target="https://doi.org/10.1126/science.aat4346" TargetMode="External"/><Relationship Id="rId22" Type="http://schemas.openxmlformats.org/officeDocument/2006/relationships/hyperlink" Target="https://doi.org/10.64898/2026.06.01.729423" TargetMode="External"/><Relationship Id="rId19" Type="http://schemas.openxmlformats.org/officeDocument/2006/relationships/hyperlink" Target="https://doi.org/10.65215/LTSpreprints.2026.04.14.000185" TargetMode="External"/><Relationship Id="rId24"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2026-10-05T14:34:25Z</dcterms:created>
  <dcterms:modified xsi:type="dcterms:W3CDTF">2026-10-05T14:34:25Z</dcterms:modified>
</cp:coreProperties>
</file>

<file path=docProps/custom.xml><?xml version="1.0" encoding="utf-8"?>
<Properties xmlns="http://schemas.openxmlformats.org/officeDocument/2006/custom-properties" xmlns:vt="http://schemas.openxmlformats.org/officeDocument/2006/docPropsVTypes"/>
</file>