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 one-to-one PRAUC@0.3 of 0.541, increasing to 0.663 with deposited receptor structures. Both exceeded the score of 0.255 achieved by the density-only method Emap2lig-Find. Match achieved 86.6% overall matching accuracy, with a mean matching time of 0.09 s per candidate region. It was substantially faster than EMERALD-ID and covered a broader range of ligands. For Build, we incorporated continuous cryo-EM density-field constraints into a receptor-based generative model and fine-tuned it. This reduced the median root-mean-square deviation (RMSD) of top-1 small-molecule poses from 1.81 Å to 1.21 Å. The success rate for accurate poses (RMSD &lt; 2 Å) increased from 54.9% to 74.7%. In end-to-end blind evaluation without deposited receptor structures as input, LigandSeek achieved success rates of 59.7% (RMSD &lt; 2 Å) and 67.5% (RMSD &lt; 3 Å) across 77 PDB entries. With deposited receptor structures, these rates increased to 66.2% and 71.4%, respectively. LigandSeek provides an efficient, fully automated workflow from continuous three-dimensional cryo-EM density maps to all-atom ligand poses.</w:t>
      </w:r>
    </w:p>
    <w:bookmarkEnd w:id="33"/>
    <w:bookmarkStart w:id="53"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Ligands bound in binding pockets often control catalysis, conformational switching and signalling cascades in these complexes. Their binding poses also underpin structure-based drug design</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fFlRjogfm5qSUZ-im6ZSW0tAEGtD2Y"/>
        </w:rPr>
        <w:t xml:space="preserve">Figs. 1–2</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non-redundant complexes comprising 2,502 ligand instances. Under blind evaluation conditions, only receptors modelled de novo by CryoAtom2 were used, with no deposited receptor structures provided as input. All three LigandSeek components outperformed their respective baselines. Find achieved a one-to-one PRAUC@0.3 of 0.541, compared with 0.255 for Emap2lig-Find. Match achieved 86.6% overall matching accuracy, with a mean matching time of 0.09 s per candidate region, substantially faster than conventional reverse docking. Build reduced the median root-mean-square deviation (RMSD) of top-1 poses from 1.81 Å with the official model to 1.21 Å. The success rate at RMSD &lt; 2 Å increased from 54.9% to 74.7%. In end-to-end blind evaluation across 77 complexes containing organic small molecules, LigandSeek achieved single-attempt all-atom modelling success rates of 44.2% (RMSD &lt; 2 Å) and 53.2% (RMSD &lt; 3 Å). Within the first ten attempts, the corresponding success rates increased to 59.7% and 67.5%, respectively. LigandSeek connects ligand localisation, identity matching and pose reconstruction to generate accurate all-atom ligand poses from cryo-EM density maps. It provides a new tool for drug discovery and high-throughput cryo-EM screening.</w:t>
      </w:r>
    </w:p>
    <w:p>
      <w:pPr>
        <w:pStyle w:val="CaptionedFigure"/>
        <w:keepNext/>
        <w:ind w:firstLine="0"/>
        <w:jc w:val="center"/>
      </w:pPr>
      <w:r>
        <w:drawing>
          <wp:inline>
            <wp:extent cx="5731510" cy="1941233"/>
            <wp:effectExtent b="0" l="0" r="0" t="0"/>
            <wp:docPr descr="Fig. 1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 title="MDPPTFIG_eJydUs2O0zAQfpUoZ6ibli40WiqhLnBZUIXEzVLldZzGamJbtpsGARI32AM3xIUHYE_7AKwET8NuH4OZOP1ZLQdEpMifZz5_M_PZb2PDfBGnUXzz5er3t5_k-sPV5vsnQD1jfBPfi2IrnC5rkSFpmlL62gnrKE1G42RM6YlwS68NpZvLH9dfP24-n99c_KI0qFF6V06xSqBULhf3dS1sLcV6Xg8wVTG7XBlMjh4Ok1HSb5Lxg2QwHL47NpKn8EdNVSqXssc0Lrw3KSGOF6JirqeNUJDMta2Yh61dkMyytVSLqiSDfv-IVEwqGncKoPU_GnDMr6zYydh_EtF5Lrk40XxVCeWDkhUl81IrV0jjaDxpJ1T1TPKZDRv-sp7ZKBOOY5VpSlrjSes76Wwnh64TLyoDY6oVHJHGz8FiaNbNl0YMH0ldkBCY9_FLekYtYBCZgfrwCBDeDODZdsbJMdn1sW8pNMjQwVPNly5SelowtRBPrNXrQrDMgUiCetuEM4L7EATN_dGDAkGV3DHhrJTmmSxLrIi4PR8AS523wvMCYQ6cV1Clzd_a7Ejkth7unAGHz9YvdIaDs5XX2CFLm9xWuMLFRQ1k-jDNm7C2mhDHtGh8xDHfPVdgcaR1r7YjA6tdt6LGOv9c6CpCAGwLnYayrD51gbtHWzbmlQ6tkz1kaamiNaiMR4NRUPkrC-_lqcra6A6z1DNZbsOHuFSdX-hQB-GfxO__AIsTf10" id="35" name="Picture"/>
            <a:graphic>
              <a:graphicData uri="http://schemas.openxmlformats.org/drawingml/2006/picture">
                <pic:pic>
                  <pic:nvPicPr>
                    <pic:cNvPr descr="C:/Users/15919/Desktop/论文草稿/temp/manuscript_figures_kpe38ioh/figure_000001.png" id="36" name="Picture"/>
                    <pic:cNvPicPr>
                      <a:picLocks noChangeArrowheads="1" noChangeAspect="1"/>
                    </pic:cNvPicPr>
                  </pic:nvPicPr>
                  <pic:blipFill>
                    <a:blip r:embed="rId34"/>
                    <a:stretch>
                      <a:fillRect/>
                    </a:stretch>
                  </pic:blipFill>
                  <pic:spPr bwMode="auto">
                    <a:xfrm>
                      <a:off x="0" y="0"/>
                      <a:ext cx="5731510" cy="1941233"/>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in the cryo-EM density map. Match identifies false-positive Find predictions and matches each candidate region against all ligand identities in the same PDB entry, represented by SMILES. B1 and B2 illustrate two distinct sites assigned the same ligand identity, whereas B5 illustrates a rejected candidate region. Build combines the ligand regions predicted by Find with the ligand identities assigned by Match to generate three-dimensional ligand poses using the selected molecular docking tool.</w:t>
      </w:r>
    </w:p>
    <w:p>
      <w:pPr>
        <w:pStyle w:val="CaptionedFigure"/>
        <w:keepNext/>
        <w:ind w:firstLine="0"/>
        <w:jc w:val="center"/>
      </w:pPr>
      <w:r>
        <w:drawing>
          <wp:inline>
            <wp:extent cx="5731510" cy="6770380"/>
            <wp:effectExtent b="0" l="0" r="0" t="0"/>
            <wp:docPr descr="Fig. 2 | Network architecture and data flow of the Find–Match–Build framework. a, Shared input representation. Density information is represented by four base density fields: experimental cryo-EM density M_{\mathrm{exp}}, simulated receptor density M_{\mathrm{sim}}, difference density M_{\mathrm{diff}} and positive difference density M_{\mathrm{diff}}^{+}.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 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 c, Foreground classification and ligand identity assignment in Match. The candidate encoder extracts a 48³ local grid centred on the geometric centre of each predicted blob. A U-Net produces the base voxel summary vector h_j^{\mathrm{vox}}. Find-derived blob features, the local binding pocket and pseudo-atom features are summarised by dual pooling and cross-attention. Feature-wise linear modulation (FiLM) adaptively enhances h_j^{\mathrm{vox}} to produce the candidate representation h_j.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 g_k. The foreground head predicts the foreground probability p_j^{\mathrm{fg}} from h_j. Learned linear projections and cosine similarity between h_j and g_k yield the J \times K identity-assignment score matrix s_{j,k}. J denotes the number of candidate regions, and K denotes the number of ligand identities. d, Pose reconstruction in Build. The predicted binding site p,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 title="MDPPTFIG_eJydUs1uEzEQfpXVnmm8SUjbrEoklAKXFkVI3CxFrtebtbL-ke0kiwCJG-LADXHhBTjxACDB09D2MZhZb34qekCstPI3ns_fzHz269SyUKV5kt58-vH7y09yKUJliut3GPSsDU36IEmd8KZeiwJ505zSl144T2l_NO6PKT0XfhmMpfT22_frz-9vP364-fqL0ihI6b2KmimBaqVcHKmWcLR-iAnF3HJlMTU6GfZH_aw5PjnJhqfZmzMreQ5_0qha-5w9omkVgs0J8bwSivmesUJDsjROsQChW5DCsY3UC1WTQZYdE8WkpmmnAFr_owHHwsqJnYz7JxFTlpKLc8NXSugQlZyoWZBG-0paT9NJO6FezySfuRjw5-uZSwrhOVaZ5qR1nrTGk853cmg7CUJZGFOv4Ii0YQ4GQ7N-vrRieCpNReLGPMNv0LN6AYPIAtSHY0B4L4Bn2xknZ2TXx76l2CBDBy8MX_pEm2nF9EI8ds5sKsEKDyJ91NsmvBU8xE3Q3B89KBBVyV8mXNXSPpV1jRURt-cjYLkPTgReISyB8wKqtPk7wY5E7uph5C04fLW5NAUOzlbBYIcsb0qncIWLSxrIZDDNq7i2mrCPadGEhGO-e67A4kjrXm1HBla7bkWt8-GZMCpBAGwHncaybH3hI3ePtmzMaxNbJ3vI8lonG1AZjwajqHIvC-_liS7a3R1meWCy3m4f4lp3fqFDHYR_kr79A_P9ft8" id="38" name="Picture"/>
            <a:graphic>
              <a:graphicData uri="http://schemas.openxmlformats.org/drawingml/2006/picture">
                <pic:pic>
                  <pic:nvPicPr>
                    <pic:cNvPr descr="C:/Users/15919/Desktop/论文草稿/temp/manuscript_figures_kpe38ioh/figure_000002.png" id="39" name="Picture"/>
                    <pic:cNvPicPr>
                      <a:picLocks noChangeArrowheads="1" noChangeAspect="1"/>
                    </pic:cNvPicPr>
                  </pic:nvPicPr>
                  <pic:blipFill>
                    <a:blip r:embed="rId37"/>
                    <a:stretch>
                      <a:fillRect/>
                    </a:stretch>
                  </pic:blipFill>
                  <pic:spPr bwMode="auto">
                    <a:xfrm>
                      <a:off x="0" y="0"/>
                      <a:ext cx="5731510" cy="677038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Network architecture and data flow of the Find–Match–Build framework.</w:t>
      </w:r>
      <w:r>
        <w:rPr>
          <w:rFonts w:ascii="华文仿宋" w:hAnsi="华文仿宋" w:eastAsia="华文仿宋"/>
          <w:sz w:val="18"/>
        </w:rPr>
        <w:t xml:space="preserve"> </w:t>
      </w:r>
      <w:r>
        <w:rPr>
          <w:rFonts w:ascii="华文仿宋" w:hAnsi="华文仿宋" w:eastAsia="华文仿宋"/>
          <w:sz w:val="18"/>
        </w:rPr>
        <w:t xml:space="preserve">a, Shared input representation. Density information is represented by four base density fields: experimental cryo-EM density</w:t>
      </w:r>
      <w:r>
        <w:rPr>
          <w:rFonts w:ascii="华文仿宋" w:hAnsi="华文仿宋" w:eastAsia="华文仿宋"/>
          <w:sz w:val="18"/>
        </w:rPr>
        <w:t xml:space="preserve"> </w:t>
      </w:r>
      <m:oMath>
        <m:sSub>
          <m:e>
            <m:r>
              <m:t>M</m:t>
            </m:r>
          </m:e>
          <m:sub>
            <m:r>
              <m:rPr>
                <m:sty m:val="p"/>
              </m:rPr>
              <m:t>e</m:t>
            </m:r>
            <m:r>
              <m:rPr>
                <m:sty m:val="p"/>
              </m:rPr>
              <m:t>x</m:t>
            </m:r>
            <m:r>
              <m:rPr>
                <m:sty m:val="p"/>
              </m:rPr>
              <m:t>p</m:t>
            </m:r>
          </m:sub>
        </m:sSub>
      </m:oMath>
      <w:r>
        <w:rPr>
          <w:rFonts w:ascii="华文仿宋" w:hAnsi="华文仿宋" w:eastAsia="华文仿宋"/>
          <w:sz w:val="18"/>
        </w:rPr>
        <w:t xml:space="preserve">, simulated receptor density</w:t>
      </w:r>
      <w:r>
        <w:rPr>
          <w:rFonts w:ascii="华文仿宋" w:hAnsi="华文仿宋" w:eastAsia="华文仿宋"/>
          <w:sz w:val="18"/>
        </w:rPr>
        <w:t xml:space="preserve"> </w:t>
      </w:r>
      <m:oMath>
        <m:sSub>
          <m:e>
            <m:r>
              <m:t>M</m:t>
            </m:r>
          </m:e>
          <m:sub>
            <m:r>
              <m:rPr>
                <m:sty m:val="p"/>
              </m:rPr>
              <m:t>s</m:t>
            </m:r>
            <m:r>
              <m:rPr>
                <m:sty m:val="p"/>
              </m:rPr>
              <m:t>i</m:t>
            </m:r>
            <m:r>
              <m:rPr>
                <m:sty m:val="p"/>
              </m:rPr>
              <m:t>m</m:t>
            </m:r>
          </m:sub>
        </m:sSub>
      </m:oMath>
      <w:r>
        <w:rPr>
          <w:rFonts w:ascii="华文仿宋" w:hAnsi="华文仿宋" w:eastAsia="华文仿宋"/>
          <w:sz w:val="18"/>
        </w:rPr>
        <w:t xml:space="preserve">, difference density</w:t>
      </w:r>
      <w:r>
        <w:rPr>
          <w:rFonts w:ascii="华文仿宋" w:hAnsi="华文仿宋" w:eastAsia="华文仿宋"/>
          <w:sz w:val="18"/>
        </w:rPr>
        <w:t xml:space="preserve"> </w:t>
      </w:r>
      <m:oMath>
        <m:sSub>
          <m:e>
            <m:r>
              <m:t>M</m:t>
            </m:r>
          </m:e>
          <m:sub>
            <m:r>
              <m:rPr>
                <m:sty m:val="p"/>
              </m:rPr>
              <m:t>d</m:t>
            </m:r>
            <m:r>
              <m:rPr>
                <m:sty m:val="p"/>
              </m:rPr>
              <m:t>i</m:t>
            </m:r>
            <m:r>
              <m:rPr>
                <m:sty m:val="p"/>
              </m:rPr>
              <m:t>f</m:t>
            </m:r>
            <m:r>
              <m:rPr>
                <m:sty m:val="p"/>
              </m:rPr>
              <m:t>f</m:t>
            </m:r>
          </m:sub>
        </m:sSub>
      </m:oMath>
      <w:r>
        <w:rPr>
          <w:rFonts w:ascii="华文仿宋" w:hAnsi="华文仿宋" w:eastAsia="华文仿宋"/>
          <w:sz w:val="18"/>
        </w:rPr>
        <w:t xml:space="preserve"> </w:t>
      </w:r>
      <w:r>
        <w:rPr>
          <w:rFonts w:ascii="华文仿宋" w:hAnsi="华文仿宋" w:eastAsia="华文仿宋"/>
          <w:sz w:val="18"/>
        </w:rPr>
        <w:t xml:space="preserve">and positive difference density</w:t>
      </w:r>
      <w:r>
        <w:rPr>
          <w:rFonts w:ascii="华文仿宋" w:hAnsi="华文仿宋" w:eastAsia="华文仿宋"/>
          <w:sz w:val="18"/>
        </w:rPr>
        <w:t xml:space="preserve"> </w:t>
      </w:r>
      <m:oMath>
        <m:sSubSup>
          <m:e>
            <m:r>
              <m:t>M</m:t>
            </m:r>
          </m:e>
          <m:sub>
            <m:r>
              <m:rPr>
                <m:sty m:val="p"/>
              </m:rPr>
              <m:t>d</m:t>
            </m:r>
            <m:r>
              <m:rPr>
                <m:sty m:val="p"/>
              </m:rPr>
              <m:t>i</m:t>
            </m:r>
            <m:r>
              <m:rPr>
                <m:sty m:val="p"/>
              </m:rPr>
              <m:t>f</m:t>
            </m:r>
            <m:r>
              <m:rPr>
                <m:sty m:val="p"/>
              </m:rPr>
              <m:t>f</m:t>
            </m:r>
          </m:sub>
          <m:sup>
            <m:r>
              <m:rPr>
                <m:sty m:val="p"/>
              </m:rPr>
              <m:t>+</m:t>
            </m:r>
          </m:sup>
        </m:sSubSup>
      </m:oMath>
      <w:r>
        <w:rPr>
          <w:rFonts w:ascii="华文仿宋" w:hAnsi="华文仿宋" w:eastAsia="华文仿宋"/>
          <w:sz w:val="18"/>
        </w:rPr>
        <w:t xml:space="preserve">. Each field retains both an unnormalised representation and a z-score-normalised representation. Seven deterministic spatial transformations comprise identity mapping, three-dimensional Gaussian smoothing, difference-of-Gaussians (DoG) filtering and receptor-neighbourhood suppression. These representations and transformations form a 56-channel multi-view density bank that captures multiscale geometry and local background. Protein and nucleic acid receptor atoms are represented by 50-dimensional feature vectors. These encode element type, residue category, physicochemical properties, relative mass, local packing density within concentric shells and backbone indicators.</w:t>
      </w:r>
      <w:r>
        <w:rPr>
          <w:rFonts w:ascii="华文仿宋" w:hAnsi="华文仿宋" w:eastAsia="华文仿宋"/>
          <w:sz w:val="18"/>
        </w:rPr>
        <w:t xml:space="preserve"> </w:t>
      </w:r>
      <w:r>
        <w:rPr>
          <w:rFonts w:ascii="华文仿宋" w:hAnsi="华文仿宋" w:eastAsia="华文仿宋"/>
          <w:sz w:val="18"/>
        </w:rPr>
        <w:t xml:space="preserve">b, Joint voxel and point-cloud localisation in Find. The voxel branch uses a 3D U-Net to fuse the 56-channel density features with encoded receptor-atom features. Self-attention at the low-resolution bottleneck establishes long-range dependencies, and the main decoder head predicts voxelwise ligand-region probabilities. The point-cloud branch uses Point Transformer V3 to encode the geometry and chemistry of receptor atoms and pseudo-atoms sampled from high-probability binding regions. Multiscale feature sampling incorporates information from the voxel branch. Predicted receptor-atom binding probabilities are used to score candidate ligand regions (blobs) during inference. An AlphaFold3-style recycling mechanism iteratively improves predictions across the voxel and point-cloud branches. Blobs and pseudo-atoms provide local cues for Match.</w:t>
      </w:r>
      <w:r>
        <w:rPr>
          <w:rFonts w:ascii="华文仿宋" w:hAnsi="华文仿宋" w:eastAsia="华文仿宋"/>
          <w:sz w:val="18"/>
        </w:rPr>
        <w:t xml:space="preserve"> </w:t>
      </w:r>
      <w:r>
        <w:rPr>
          <w:rFonts w:ascii="华文仿宋" w:hAnsi="华文仿宋" w:eastAsia="华文仿宋"/>
          <w:sz w:val="18"/>
        </w:rPr>
        <w:t xml:space="preserve">c, Foreground classification and ligand identity assignment in Match. The candidate encoder extracts a 48³ local grid centred on the geometric centre of each predicted blob. A U-Net produces the base voxel summary vector</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Find-derived blob features, the local binding pocket and pseudo-atom features are summarised by dual pooling and cross-attention. Feature-wise linear modulation (FiLM) adaptively enhances</w:t>
      </w:r>
      <w:r>
        <w:rPr>
          <w:rFonts w:ascii="华文仿宋" w:hAnsi="华文仿宋" w:eastAsia="华文仿宋"/>
          <w:sz w:val="18"/>
        </w:rPr>
        <w:t xml:space="preserve"> </w:t>
      </w:r>
      <m:oMath>
        <m:sSubSup>
          <m:e>
            <m:r>
              <m:t>h</m:t>
            </m:r>
          </m:e>
          <m:sub>
            <m:r>
              <m:t>j</m:t>
            </m:r>
          </m:sub>
          <m:sup>
            <m:r>
              <m:rPr>
                <m:sty m:val="p"/>
              </m:rPr>
              <m:t>v</m:t>
            </m:r>
            <m:r>
              <m:rPr>
                <m:sty m:val="p"/>
              </m:rPr>
              <m:t>o</m:t>
            </m:r>
            <m:r>
              <m:rPr>
                <m:sty m:val="p"/>
              </m:rPr>
              <m:t>x</m:t>
            </m:r>
          </m:sup>
        </m:sSubSup>
      </m:oMath>
      <w:r>
        <w:rPr>
          <w:rFonts w:ascii="华文仿宋" w:hAnsi="华文仿宋" w:eastAsia="华文仿宋"/>
          <w:sz w:val="18"/>
        </w:rPr>
        <w:t xml:space="preserve"> </w:t>
      </w:r>
      <w:r>
        <w:rPr>
          <w:rFonts w:ascii="华文仿宋" w:hAnsi="华文仿宋" w:eastAsia="华文仿宋"/>
          <w:sz w:val="18"/>
        </w:rPr>
        <w:t xml:space="preserve">to produce the candidate representation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The identity encoder uses embeddings from the ligand language model SMI-TED as queries. Graph attention integrates features of the ligand’s own molecular graph, constructed with RDKit and encoded by a graph neural network (GNN). Context attention incorporates information from other ligand identities in the same PDB entry to produce the identity representation</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The foreground head predicts the foreground probability</w:t>
      </w:r>
      <w:r>
        <w:rPr>
          <w:rFonts w:ascii="华文仿宋" w:hAnsi="华文仿宋" w:eastAsia="华文仿宋"/>
          <w:sz w:val="18"/>
        </w:rPr>
        <w:t xml:space="preserve"> </w:t>
      </w:r>
      <m:oMath>
        <m:sSubSup>
          <m:e>
            <m:r>
              <m:t>p</m:t>
            </m:r>
          </m:e>
          <m:sub>
            <m:r>
              <m:t>j</m:t>
            </m:r>
          </m:sub>
          <m:sup>
            <m:r>
              <m:rPr>
                <m:sty m:val="p"/>
              </m:rPr>
              <m:t>f</m:t>
            </m:r>
            <m:r>
              <m:rPr>
                <m:sty m:val="p"/>
              </m:rPr>
              <m:t>g</m:t>
            </m:r>
          </m:sup>
        </m:sSubSup>
      </m:oMath>
      <w:r>
        <w:rPr>
          <w:rFonts w:ascii="华文仿宋" w:hAnsi="华文仿宋" w:eastAsia="华文仿宋"/>
          <w:sz w:val="18"/>
        </w:rPr>
        <w:t xml:space="preserve"> </w:t>
      </w:r>
      <w:r>
        <w:rPr>
          <w:rFonts w:ascii="华文仿宋" w:hAnsi="华文仿宋" w:eastAsia="华文仿宋"/>
          <w:sz w:val="18"/>
        </w:rPr>
        <w:t xml:space="preserve">from</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Learned linear projections and cosine similarity between</w:t>
      </w:r>
      <w:r>
        <w:rPr>
          <w:rFonts w:ascii="华文仿宋" w:hAnsi="华文仿宋" w:eastAsia="华文仿宋"/>
          <w:sz w:val="18"/>
        </w:rPr>
        <w:t xml:space="preserve"> </w:t>
      </w:r>
      <m:oMath>
        <m:sSub>
          <m:e>
            <m:r>
              <m:t>h</m:t>
            </m:r>
          </m:e>
          <m:sub>
            <m:r>
              <m:t>j</m:t>
            </m:r>
          </m:sub>
        </m:sSub>
      </m:oMath>
      <w:r>
        <w:rPr>
          <w:rFonts w:ascii="华文仿宋" w:hAnsi="华文仿宋" w:eastAsia="华文仿宋"/>
          <w:sz w:val="18"/>
        </w:rPr>
        <w:t xml:space="preserve"> </w:t>
      </w:r>
      <w:r>
        <w:rPr>
          <w:rFonts w:ascii="华文仿宋" w:hAnsi="华文仿宋" w:eastAsia="华文仿宋"/>
          <w:sz w:val="18"/>
        </w:rPr>
        <w:t xml:space="preserve">and</w:t>
      </w:r>
      <w:r>
        <w:rPr>
          <w:rFonts w:ascii="华文仿宋" w:hAnsi="华文仿宋" w:eastAsia="华文仿宋"/>
          <w:sz w:val="18"/>
        </w:rPr>
        <w:t xml:space="preserve"> </w:t>
      </w:r>
      <m:oMath>
        <m:sSub>
          <m:e>
            <m:r>
              <m:t>g</m:t>
            </m:r>
          </m:e>
          <m:sub>
            <m:r>
              <m:t>k</m:t>
            </m:r>
          </m:sub>
        </m:sSub>
      </m:oMath>
      <w:r>
        <w:rPr>
          <w:rFonts w:ascii="华文仿宋" w:hAnsi="华文仿宋" w:eastAsia="华文仿宋"/>
          <w:sz w:val="18"/>
        </w:rPr>
        <w:t xml:space="preserve"> </w:t>
      </w:r>
      <w:r>
        <w:rPr>
          <w:rFonts w:ascii="华文仿宋" w:hAnsi="华文仿宋" w:eastAsia="华文仿宋"/>
          <w:sz w:val="18"/>
        </w:rPr>
        <w:t xml:space="preserve">yield the</w:t>
      </w:r>
      <w:r>
        <w:rPr>
          <w:rFonts w:ascii="华文仿宋" w:hAnsi="华文仿宋" w:eastAsia="华文仿宋"/>
          <w:sz w:val="18"/>
        </w:rPr>
        <w:t xml:space="preserve"> </w:t>
      </w:r>
      <m:oMath>
        <m:r>
          <m:t>J</m:t>
        </m:r>
        <m:r>
          <m:rPr>
            <m:sty m:val="p"/>
          </m:rPr>
          <m:t>×</m:t>
        </m:r>
        <m:r>
          <m:t>K</m:t>
        </m:r>
      </m:oMath>
      <w:r>
        <w:rPr>
          <w:rFonts w:ascii="华文仿宋" w:hAnsi="华文仿宋" w:eastAsia="华文仿宋"/>
          <w:sz w:val="18"/>
        </w:rPr>
        <w:t xml:space="preserve"> </w:t>
      </w:r>
      <w:r>
        <w:rPr>
          <w:rFonts w:ascii="华文仿宋" w:hAnsi="华文仿宋" w:eastAsia="华文仿宋"/>
          <w:sz w:val="18"/>
        </w:rPr>
        <w:t xml:space="preserve">identity-assignment score matrix</w:t>
      </w:r>
      <w:r>
        <w:rPr>
          <w:rFonts w:ascii="华文仿宋" w:hAnsi="华文仿宋" w:eastAsia="华文仿宋"/>
          <w:sz w:val="18"/>
        </w:rPr>
        <w:t xml:space="preserve"> </w:t>
      </w:r>
      <m:oMath>
        <m:sSub>
          <m:e>
            <m:r>
              <m:t>s</m:t>
            </m:r>
          </m:e>
          <m:sub>
            <m:r>
              <m:t>j</m:t>
            </m:r>
            <m:r>
              <m:rPr>
                <m:sty m:val="p"/>
              </m:rPr>
              <m:t>,</m:t>
            </m:r>
            <m:r>
              <m:t>k</m:t>
            </m:r>
          </m:sub>
        </m:sSub>
      </m:oMath>
      <w:r>
        <w:rPr>
          <w:rFonts w:ascii="华文仿宋" w:hAnsi="华文仿宋" w:eastAsia="华文仿宋"/>
          <w:sz w:val="18"/>
        </w:rPr>
        <w:t xml:space="preserve">.</w:t>
      </w:r>
      <w:r>
        <w:rPr>
          <w:rFonts w:ascii="华文仿宋" w:hAnsi="华文仿宋" w:eastAsia="华文仿宋"/>
          <w:sz w:val="18"/>
        </w:rPr>
        <w:t xml:space="preserve"> </w:t>
      </w:r>
      <m:oMath>
        <m:r>
          <m:t>J</m:t>
        </m:r>
      </m:oMath>
      <w:r>
        <w:rPr>
          <w:rFonts w:ascii="华文仿宋" w:hAnsi="华文仿宋" w:eastAsia="华文仿宋"/>
          <w:sz w:val="18"/>
        </w:rPr>
        <w:t xml:space="preserve"> </w:t>
      </w:r>
      <w:r>
        <w:rPr>
          <w:rFonts w:ascii="华文仿宋" w:hAnsi="华文仿宋" w:eastAsia="华文仿宋"/>
          <w:sz w:val="18"/>
        </w:rPr>
        <w:t xml:space="preserve">denotes the number of candidate regions, and</w:t>
      </w:r>
      <w:r>
        <w:rPr>
          <w:rFonts w:ascii="华文仿宋" w:hAnsi="华文仿宋" w:eastAsia="华文仿宋"/>
          <w:sz w:val="18"/>
        </w:rPr>
        <w:t xml:space="preserve"> </w:t>
      </w:r>
      <m:oMath>
        <m:r>
          <m:t>K</m:t>
        </m:r>
      </m:oMath>
      <w:r>
        <w:rPr>
          <w:rFonts w:ascii="华文仿宋" w:hAnsi="华文仿宋" w:eastAsia="华文仿宋"/>
          <w:sz w:val="18"/>
        </w:rPr>
        <w:t xml:space="preserve"> </w:t>
      </w:r>
      <w:r>
        <w:rPr>
          <w:rFonts w:ascii="华文仿宋" w:hAnsi="华文仿宋" w:eastAsia="华文仿宋"/>
          <w:sz w:val="18"/>
        </w:rPr>
        <w:t xml:space="preserve">denotes the number of ligand identities.</w:t>
      </w:r>
      <w:r>
        <w:rPr>
          <w:rFonts w:ascii="华文仿宋" w:hAnsi="华文仿宋" w:eastAsia="华文仿宋"/>
          <w:sz w:val="18"/>
        </w:rPr>
        <w:t xml:space="preserve"> </w:t>
      </w:r>
      <w:r>
        <w:rPr>
          <w:rFonts w:ascii="华文仿宋" w:hAnsi="华文仿宋" w:eastAsia="华文仿宋"/>
          <w:sz w:val="18"/>
        </w:rPr>
        <w:t xml:space="preserve">d, Pose reconstruction in Build. The predicted binding site</w:t>
      </w:r>
      <w:r>
        <w:rPr>
          <w:rFonts w:ascii="华文仿宋" w:hAnsi="华文仿宋" w:eastAsia="华文仿宋"/>
          <w:sz w:val="18"/>
        </w:rPr>
        <w:t xml:space="preserve"> </w:t>
      </w:r>
      <m:oMath>
        <m:r>
          <m:t>p</m:t>
        </m:r>
      </m:oMath>
      <w:r>
        <w:rPr>
          <w:rFonts w:ascii="华文仿宋" w:hAnsi="华文仿宋" w:eastAsia="华文仿宋"/>
          <w:sz w:val="18"/>
        </w:rPr>
        <w:t xml:space="preserve">, defined as the blob geometric centre, the Match-assigned ligand identity and the receptor pocket environment are supplied to downstream docking tools. These tools generate all-atom three-dimensional ligand poses. The default tool is PocketXMol fine-tuned with density guidance; Vina, DiffDock and EMERALD are also supported.</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40">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41">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42">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43">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44">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45">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46">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47">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48">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49">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50">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51">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52">
        <w:r>
          <w:rPr>
            <w:rStyle w:val="a4"/>
          </w:rPr>
          <w:t xml:space="preserve">10.1021/acs.jmedchem.3c01134</w:t>
        </w:r>
      </w:hyperlink>
      <w:r>
        <w:t xml:space="preserve">.</w:t>
      </w:r>
    </w:p>
    <w:bookmarkEnd w:id="53"/>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kguqsxPLMnPNYo3MjAyjQUAOC8FwQ">
    <w:name w:val="MDCITE_eJyLdkguqsxPLMnPNYo3MjAyjQUAOC8FwQ"/>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hKzE3MyTQyMDLJzU9JzUnMS0_NyY8FAGkQCLY">
    <w:name w:val="MDCITE_eJyLdshKzE3MyTQyMDLJzU9JzUnMS0_NyY8FAGkQCLY"/>
    <w:basedOn w:val="BodyTextChar"/>
  </w:style>
  <w:style w:type="character" w:customStyle="1" w:styleId="MDFIGREF_eJyrrk7LTC9KTbMCUrr5ZalFZZmp5fFlRjogfm5qSUZ-im6ZSW0tAEGtD2Y">
    <w:name w:val="MDFIGREF_eJyrrk7LTC9KTbMCUrr5ZalFZZmp5fFlRjogfm5qSUZ-im6ZSW0tAEGtD2Y"/>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4" Type="http://schemas.openxmlformats.org/officeDocument/2006/relationships/image" Target="media/rId34.png"/><Relationship Id="rId37" Type="http://schemas.openxmlformats.org/officeDocument/2006/relationships/image" Target="media/rId37.png"/><Relationship Id="rId49" Type="http://schemas.openxmlformats.org/officeDocument/2006/relationships/hyperlink" Target="https://doi.org/10.1016/j.cell.2026.01.003" TargetMode="External"/><Relationship Id="rId51" Type="http://schemas.openxmlformats.org/officeDocument/2006/relationships/hyperlink" Target="https://doi.org/10.1016/j.str.2020.04.018" TargetMode="External"/><Relationship Id="rId47" Type="http://schemas.openxmlformats.org/officeDocument/2006/relationships/hyperlink" Target="https://doi.org/10.1016/j.str.2025.07.002" TargetMode="External"/><Relationship Id="rId41" Type="http://schemas.openxmlformats.org/officeDocument/2006/relationships/hyperlink" Target="https://doi.org/10.1016/j.tibs.2014.10.005" TargetMode="External"/><Relationship Id="rId52" Type="http://schemas.openxmlformats.org/officeDocument/2006/relationships/hyperlink" Target="https://doi.org/10.1021/acs.jmedchem.3c01134" TargetMode="External"/><Relationship Id="rId40" Type="http://schemas.openxmlformats.org/officeDocument/2006/relationships/hyperlink" Target="https://doi.org/10.1038/d41586-020-00341-9" TargetMode="External"/><Relationship Id="rId50" Type="http://schemas.openxmlformats.org/officeDocument/2006/relationships/hyperlink" Target="https://doi.org/10.1038/s41467-023-36732-5" TargetMode="External"/><Relationship Id="rId42" Type="http://schemas.openxmlformats.org/officeDocument/2006/relationships/hyperlink" Target="https://doi.org/10.1038/s41586-024-07215-4" TargetMode="External"/><Relationship Id="rId44" Type="http://schemas.openxmlformats.org/officeDocument/2006/relationships/hyperlink" Target="https://doi.org/10.1038/s41594-025-01723-1" TargetMode="External"/><Relationship Id="rId45" Type="http://schemas.openxmlformats.org/officeDocument/2006/relationships/hyperlink" Target="https://doi.org/10.1126/science.aat4346" TargetMode="External"/><Relationship Id="rId46" Type="http://schemas.openxmlformats.org/officeDocument/2006/relationships/hyperlink" Target="https://doi.org/10.64898/2026.06.01.729423" TargetMode="External"/><Relationship Id="rId43" Type="http://schemas.openxmlformats.org/officeDocument/2006/relationships/hyperlink" Target="https://doi.org/10.65215/LTSpreprints.2026.04.14.000185" TargetMode="External"/><Relationship Id="rId48" Type="http://schemas.openxmlformats.org/officeDocument/2006/relationships/hyperlink" Target="https://openreview.net/forum?id=kKF8_K-mBbS"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16/j.cell.2026.01.003" TargetMode="External"/><Relationship Id="rId51" Type="http://schemas.openxmlformats.org/officeDocument/2006/relationships/hyperlink" Target="https://doi.org/10.1016/j.str.2020.04.018" TargetMode="External"/><Relationship Id="rId47" Type="http://schemas.openxmlformats.org/officeDocument/2006/relationships/hyperlink" Target="https://doi.org/10.1016/j.str.2025.07.002" TargetMode="External"/><Relationship Id="rId41" Type="http://schemas.openxmlformats.org/officeDocument/2006/relationships/hyperlink" Target="https://doi.org/10.1016/j.tibs.2014.10.005" TargetMode="External"/><Relationship Id="rId52" Type="http://schemas.openxmlformats.org/officeDocument/2006/relationships/hyperlink" Target="https://doi.org/10.1021/acs.jmedchem.3c01134" TargetMode="External"/><Relationship Id="rId40" Type="http://schemas.openxmlformats.org/officeDocument/2006/relationships/hyperlink" Target="https://doi.org/10.1038/d41586-020-00341-9" TargetMode="External"/><Relationship Id="rId50" Type="http://schemas.openxmlformats.org/officeDocument/2006/relationships/hyperlink" Target="https://doi.org/10.1038/s41467-023-36732-5" TargetMode="External"/><Relationship Id="rId42" Type="http://schemas.openxmlformats.org/officeDocument/2006/relationships/hyperlink" Target="https://doi.org/10.1038/s41586-024-07215-4" TargetMode="External"/><Relationship Id="rId44" Type="http://schemas.openxmlformats.org/officeDocument/2006/relationships/hyperlink" Target="https://doi.org/10.1038/s41594-025-01723-1" TargetMode="External"/><Relationship Id="rId45" Type="http://schemas.openxmlformats.org/officeDocument/2006/relationships/hyperlink" Target="https://doi.org/10.1126/science.aat4346" TargetMode="External"/><Relationship Id="rId46" Type="http://schemas.openxmlformats.org/officeDocument/2006/relationships/hyperlink" Target="https://doi.org/10.64898/2026.06.01.729423" TargetMode="External"/><Relationship Id="rId43" Type="http://schemas.openxmlformats.org/officeDocument/2006/relationships/hyperlink" Target="https://doi.org/10.65215/LTSpreprints.2026.04.14.000185" TargetMode="External"/><Relationship Id="rId48" Type="http://schemas.openxmlformats.org/officeDocument/2006/relationships/hyperlink" Target="https://openreview.net/forum?id=kKF8_K-mBbS"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38162</TotalTime>
  <Pages>25</Pages>
  <Words>2822</Words>
  <Characters>16086</Characters>
  <Application>Microsoft Office Word</Application>
  <DocSecurity>0</DocSecurity>
  <Lines>134</Lines>
  <Paragraphs>37</Paragraphs>
  <ScaleCrop>false</ScaleCrop>
  <Company/>
  <LinksUpToDate>false</LinksUpToDate>
  <CharactersWithSpaces>18871</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2026-10-05T14:34:57Z</dcterms:created>
  <dcterms:modified xsi:type="dcterms:W3CDTF">2026-10-05T14:34:57Z</dcterms:modified>
</cp:coreProperties>
</file>

<file path=docProps/custom.xml><?xml version="1.0" encoding="utf-8"?>
<Properties xmlns="http://schemas.openxmlformats.org/officeDocument/2006/custom-properties" xmlns:vt="http://schemas.openxmlformats.org/officeDocument/2006/docPropsVTypes"/>
</file>