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D1B2B">
      <w:pPr>
        <w:jc w:val="center"/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  <w:t>实验报告</w:t>
      </w:r>
    </w:p>
    <w:p w14:paraId="2BA67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一、rent.ipynb 分析</w:t>
      </w:r>
    </w:p>
    <w:p w14:paraId="582B7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一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运行与可复现性</w:t>
      </w:r>
    </w:p>
    <w:p w14:paraId="15AE9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目前</w:t>
      </w:r>
      <w:r>
        <w:rPr>
          <w:rFonts w:hint="eastAsia" w:ascii="仿宋" w:hAnsi="仿宋" w:eastAsia="仿宋" w:cs="仿宋"/>
          <w:sz w:val="32"/>
          <w:szCs w:val="32"/>
        </w:rPr>
        <w:t>，rent.ipynb 的运行是顺畅且可控的。Notebook 可以从头到尾依次执行，各单元格之间依赖关系清晰，最终会打印出处理完成的提示以及保存的数据文件路径。中间每一步都会输出数据形状、字段列表以及关键处理步骤的日志，这样一来，即便隔一段时间再回头看，也能大致还原当时的处理过程和思路。</w:t>
      </w:r>
    </w:p>
    <w:p w14:paraId="260F9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如果重新运行同一版本的 Notebook，在相同的随机种子设置下，可以复现相同的缺失值填充量、异常值删除数量以及最终特征列数等结果，说明整个流程在“可复现性”这一点上是达标的。</w:t>
      </w:r>
    </w:p>
    <w:p w14:paraId="11AC6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二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数据预处理流程</w:t>
      </w:r>
    </w:p>
    <w:p w14:paraId="32F08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缺失值处理</w:t>
      </w:r>
    </w:p>
    <w:p w14:paraId="3035F6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缺失值的处理总体比较稳妥，尤其对关键特征基本都只依赖训练集的信息。比如，“室 / 厅 / 卫”等户型相关变量，是用训练集的统计量（如中位数）来填补，而没有用到测试集的分布；付款方式、配套设施等字段，也是在训练集上统计高频值，再据此去填空。这种做法符合建模中“训练集决定规则，测试集只做评估”的原则，可以避免明显的数据泄漏。</w:t>
      </w:r>
    </w:p>
    <w:p w14:paraId="4C544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对于配套设施，Notebook 并没有简单地把缺失当作“无”，而是先分析训练集中高频出现的设施组合，再用诸如“床、衣柜、空调、洗衣机、热水器”等典型配置去填补空缺。这种处理方式在一定程度上把“字段缺失”理解为“录入不完整”，而不是“房子真的没有配套”，更贴合实际业务场景。</w:t>
      </w:r>
    </w:p>
    <w:p w14:paraId="1C723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异常值处理</w:t>
      </w:r>
    </w:p>
    <w:p w14:paraId="23D89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异常值部分分为两层：一层是基于业务常识的硬规则，比如把“室数 &gt; 10”的记录视作脏数据，或者过滤掉面积明显离谱的样本；另一层是在对价格取对数以后，用 3σ 原则识别离群点。最终删除的样本量占比大约在千分之一量级，对整体数据分布影响有限，但可以减少极端值对模型拟合的干扰。</w:t>
      </w:r>
    </w:p>
    <w:p w14:paraId="54BBE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有一点需要留意：异常值删除是在合并后的数据上统一进行的，也就是说训练集和测试集里的极端值会一起被剔除。严格从“评估集不参与任何阈值确定”的角度看，可以考虑只用训练集来确定异常阈值，再把规则应用到全量数据。不过考虑到被删掉的记录大概率是录入错误或非常极端的样本，这种处理在实际项目里也是可以接受的。</w:t>
      </w:r>
    </w:p>
    <w:p w14:paraId="3D1CA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特征工程</w:t>
      </w:r>
    </w:p>
    <w:p w14:paraId="2AB27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rent.ipynb 在特征工程上做了不少细致的拆分和扩展：</w:t>
      </w:r>
    </w:p>
    <w:p w14:paraId="24A02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户型字段被拆解成“室 / 厅 / 卫”等数值列，并保留了类似“是否有阳台”这类信息；</w:t>
      </w:r>
    </w:p>
    <w:p w14:paraId="64DD5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楼层信息被归类为“低层 / 中层 / 高层 / 地下室”，同时配合“总楼层”和“是否有电梯”生成了多组哑变量；</w:t>
      </w:r>
    </w:p>
    <w:p w14:paraId="3EF98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付款方式统一换算成“折算到月租”的价格，例如年付、季付等都按月份均摊，避免不同付款周期之间不可比；</w:t>
      </w:r>
    </w:p>
    <w:p w14:paraId="2A3D7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配套设施不仅统计了“是否有某个设施”，还把设施数量、典型组合等信息编码成特征。</w:t>
      </w:r>
    </w:p>
    <w:p w14:paraId="2A0A2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最终，数据从最初的少量原始字段扩展到了几十个与租金相关的特征，既包含面积、户型、楼层这类硬指标，也包含付款方式、配套设施等软信息，特征维度比较丰富。</w:t>
      </w:r>
    </w:p>
    <w:p w14:paraId="119722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</w:rPr>
        <w:t>数据保存逻辑</w:t>
      </w:r>
    </w:p>
    <w:p w14:paraId="0ADDB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Notebook 在每一个主要处理阶段都会把中间结果落地为 rent1.csv、rent2.csv …… 最终汇总到 rent9.csv，并在日志里打印出文件名和维度信息。训练 / 测试划分标记 is_train 会从头保留到最终数据，这对后续在别的 Notebook 中复用数据非常方便，也有利于排查问题。</w:t>
      </w:r>
    </w:p>
    <w:p w14:paraId="157DD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三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样本划分与数据泄漏检查</w:t>
      </w:r>
    </w:p>
    <w:p w14:paraId="443E2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rent.ipynb 在预处理的比较早期就进行了 80/20 的训练集与测试集划分，并采用了按照价格分箱后的分层抽样。实际划分出来的两部分样本，在不同价格区间上的占比基本一致，避免了“训练集几乎没有高价房”这种极端情况。</w:t>
      </w:r>
    </w:p>
    <w:p w14:paraId="5833F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在后续所有需要统计量（均值、中位数、众数等）的步骤中，代码都依赖 is_train 标识，只用训练集的数据来算填充值，再把这些规则应用到合并后的数据上。这包括：</w:t>
      </w:r>
    </w:p>
    <w:p w14:paraId="1B14E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按照城市分组计算的租金中位数；</w:t>
      </w:r>
    </w:p>
    <w:p w14:paraId="315F8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付款方式的众数填补；</w:t>
      </w:r>
    </w:p>
    <w:p w14:paraId="23721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楼层、电梯状态等字段的缺失补全。</w:t>
      </w:r>
    </w:p>
    <w:p w14:paraId="5E211E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整体来说，rent.ipynb 在“先划分、后建规则，再统一应用”的流程上是比较规范的，只是在异常值统一删除这一点上略微宽松，可以在更严格的场景下再做收紧。</w:t>
      </w:r>
    </w:p>
    <w:p w14:paraId="19ADF3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二、price.ipynb 分析</w:t>
      </w:r>
    </w:p>
    <w:p w14:paraId="485AF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一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样本划分策略</w:t>
      </w:r>
    </w:p>
    <w:p w14:paraId="36334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price.ipynb 读入原始成交数据后，会先用 train_test_split 把 20% 的样本划为测试集，并打上 is_train 标记。后续所有清洗、编码和特征工程的操作都建立在这一标记之上，整体思路仍然是“先定评估集，再做处理”。</w:t>
      </w:r>
    </w:p>
    <w:p w14:paraId="4B8F2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在城市等类别变量的编码上，price.ipynb 采用了 One-Hot 方式，并检查了各虚拟变量在训练集和测试集中的出现情况，确保不会出现某个城市在测试集中完全缺失的情况。基准城市的选择则是基于整体频率统计完成的，从结果看并不会对模型产生明显偏差。</w:t>
      </w:r>
    </w:p>
    <w:p w14:paraId="37FB3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二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数据泄漏防范</w:t>
      </w:r>
    </w:p>
    <w:p w14:paraId="334EE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与 rent.ipynb 类似，price.ipynb 里凡是需要用到统计量（例如价格分布、面积分布、异常值阈值等）的地方，基本都限定在 is_train==1 的子集上计算，然后把结果应用到全量数据。</w:t>
      </w:r>
    </w:p>
    <w:p w14:paraId="7295EF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板块聚类这一块，代码的做法是：先在训练集的有坐标板块上进行聚类，得到若干类中心；再把测试集样本按照地理坐标映射到最近的训练簇。对于没有坐标的板块，干脆在聚类阶段就剔除掉，在实际预测时也跳过这部分。这样既保证了聚类特征只依赖训练集信息，又避免了把测试集的位置分布“泄漏”到聚类过程中。</w:t>
      </w:r>
    </w:p>
    <w:p w14:paraId="5D0C1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对于极端成交价，price.ipynb 同样给出了过滤规则。和 rent.ipynb 一样，更严格的做法是只用训练集的价格分布去计算异常阈值，然后统一应用。不过考虑到异常样本数量很少，对测试集评估的影响有限，目前的处理在课程作业或一般性分析中可以接受。</w:t>
      </w:r>
    </w:p>
    <w:p w14:paraId="24C7B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三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特征维度与可解释性</w:t>
      </w:r>
    </w:p>
    <w:p w14:paraId="12B74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price.ipynb 最终生成的特征数量非常多，主要是因为有大量类别变量做了 One-Hot 编码（比如城市、小区、板块等）。这样的高维特征对树模型（如 GBDT、随机森林等）来说问题不大，但会增加训练时间，也会给后续上线部署带来一定负担。</w:t>
      </w:r>
    </w:p>
    <w:p w14:paraId="3CFD2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从可解释性的角度看，目前的特征设计已经覆盖了大多数影响房价的因素：包括地理位置（城市、板块）、小区属性、房屋面积和户型、楼层与电梯、装修情况等。如果后续要进一步简化模型，可以考虑在保持效果基本不变的前提下，适当合并或压缩部分类别。</w:t>
      </w:r>
    </w:p>
    <w:p w14:paraId="27989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三、综合改进建议</w:t>
      </w:r>
    </w:p>
    <w:p w14:paraId="50501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一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控制特征维度</w:t>
      </w:r>
    </w:p>
    <w:p w14:paraId="74AE9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对取值非常多的类别变量（例如小区、板块），可以尝试用目标统计编码、频数编码或聚类后的簇编号来替代完全 One-Hot，从而把上百维降到个位数或十几维；</w:t>
      </w:r>
    </w:p>
    <w:p w14:paraId="52DAC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城市这种类别较少的字段，可以继续保持 One-Hot，不必过度压缩；</w:t>
      </w:r>
    </w:p>
    <w:p w14:paraId="4647B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在做目标编码时，要注意严格在交叉验证或训练集内部计算，避免把测试集的目标信息泄漏进来。</w:t>
      </w:r>
    </w:p>
    <w:p w14:paraId="3E11D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二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丰富数值特征处理</w:t>
      </w:r>
    </w:p>
    <w:p w14:paraId="2684F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价格相关的建模可以考虑直接预测 log(Price)，这样能缓和极端高价样本的影响，让残差分布更接近正态；</w:t>
      </w:r>
    </w:p>
    <w:p w14:paraId="576C0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如果后续尝试神经网络或 KNN 等模型，可以对连续特征做标准化或归一化，并单独保存训练集的缩放参数，用于测试集变换。</w:t>
      </w:r>
    </w:p>
    <w:p w14:paraId="0D719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三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增加交互与衍生特征</w:t>
      </w:r>
    </w:p>
    <w:p w14:paraId="20570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在现有特征基础上，还可以构造一些更贴近直觉的衍生指标，例如：</w:t>
      </w:r>
    </w:p>
    <w:p w14:paraId="390E2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“建筑面积 / 室数”——反映每个卧室的平均使用面积；</w:t>
      </w:r>
    </w:p>
    <w:p w14:paraId="7729B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“房屋总数 / 楼栋总数”——近似刻画小区密度；</w:t>
      </w:r>
    </w:p>
    <w:p w14:paraId="1F320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楼层与电梯状态的交互（高层且无电梯、低层且有电梯等），这类组合在实际定价时往往有明显差异。</w:t>
      </w:r>
    </w:p>
    <w:p w14:paraId="50901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四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更严格地规避潜在数据泄漏</w:t>
      </w:r>
    </w:p>
    <w:p w14:paraId="0DA7D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异常值阈值：建议在两个 Notebook 中都只用训练集来计算 3σ 边界，再统一应用到全量数据；</w:t>
      </w:r>
    </w:p>
    <w:p w14:paraId="06792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虚拟变量基准选择：如果有需要，可以改为完全基于训练集频率来选定基准类别，虽然在当前数据量下影响不大，但这样写在报告里会更严谨。</w:t>
      </w:r>
    </w:p>
    <w:p w14:paraId="40AAF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五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代码组织与可视化</w:t>
      </w:r>
    </w:p>
    <w:p w14:paraId="020B6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从代码维护和展示结果的角度，还可以做一些工程上的改进：</w:t>
      </w:r>
    </w:p>
    <w:p w14:paraId="037A7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把重复出现的处理步骤（如缺失值填补、异常值检测、日志打印）封装成函数，在 rent.ipynb 和 price.ipynb 之间复用；</w:t>
      </w:r>
    </w:p>
    <w:p w14:paraId="41C6C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增加一些简单的可视化，例如面积与价格的散点图、不同城市/装修档次的箱线图、分层抽样前后价格分布对比等，有助于肉眼检查是否存在明显的数据异常，也方便在报告中展示关键结论。</w:t>
      </w:r>
    </w:p>
    <w:p w14:paraId="1F6F9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六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</w:rPr>
        <w:t>模型层面的探索</w:t>
      </w:r>
    </w:p>
    <w:p w14:paraId="6E33C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在当前预处理已经比较充分的前提下，后续可以把精力更多地放到模型本身上：</w:t>
      </w:r>
    </w:p>
    <w:p w14:paraId="19202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尝试多种模型（线性模型、树模型、集成模型等），比较不同模型在同一份特征上的表现；</w:t>
      </w:r>
    </w:p>
    <w:p w14:paraId="23DF9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用特征重要性或 SHAP 值分析哪些变量对预测最关键，从而决定是否需要进一步增加特征或删减冗余特征；</w:t>
      </w:r>
    </w:p>
    <w:p w14:paraId="65824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对表现稳定的模型做一些超参数调优，并记录调参过程和结果，形成一套完整的建模与评估闭环。</w:t>
      </w:r>
    </w:p>
    <w:p w14:paraId="7D52C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总体来说，rent.ipynb 和 price.ipynb 在数据清洗、特征工程和样本划分方面已经达到了一个比较规范的水平，离实际项目可用只差一些工程细节和模型调优上的打磨。</w:t>
      </w:r>
    </w:p>
    <w:sectPr>
      <w:pgSz w:w="12240" w:h="15840"/>
      <w:pgMar w:top="2098" w:right="1531" w:bottom="1984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AB0E6BEF-F4E7-E6C8-CA40-1F690A24379A}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CB4B33"/>
    <w:rsid w:val="33C4441D"/>
    <w:rsid w:val="777B19B7"/>
    <w:rsid w:val="7F6C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儷宋 Pro" w:hAnsi="儷宋 Pro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儷宋 Pro" w:hAnsi="儷宋 Pro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1209</Words>
  <Characters>1327</Characters>
  <Lines>0</Lines>
  <Paragraphs>0</Paragraphs>
  <TotalTime>11</TotalTime>
  <ScaleCrop>false</ScaleCrop>
  <LinksUpToDate>false</LinksUpToDate>
  <CharactersWithSpaces>1371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WPS_1694081312</cp:lastModifiedBy>
  <dcterms:modified xsi:type="dcterms:W3CDTF">2025-11-21T00:24:42Z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eyJoZGlkIjoiMTFlYTExYThjOGQ2N2RiNzhjZWZiZGNkNDJmYWUxMzYiLCJ1c2VySWQiOiI5MjQ4MTI5MTkifQ==</vt:lpwstr>
  </property>
  <property fmtid="{D5CDD505-2E9C-101B-9397-08002B2CF9AE}" pid="3" name="KSOProductBuildVer">
    <vt:lpwstr>2052-12.1.22553.22553</vt:lpwstr>
  </property>
  <property fmtid="{D5CDD505-2E9C-101B-9397-08002B2CF9AE}" pid="4" name="ICV">
    <vt:lpwstr>A9D6484473CD6794CA401F6918CE7061_43</vt:lpwstr>
  </property>
</Properties>
</file>