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704" w:right="0" w:firstLine="0"/>
        <w:jc w:val="left"/>
      </w:pPr>
      <w:r>
        <w:rPr>
          <w:rFonts w:ascii="Calibri" w:hAnsi="Calibri" w:eastAsia="Calibri"/>
          <w:b w:val="0"/>
          <w:i w:val="0"/>
          <w:color w:val="17365D"/>
          <w:sz w:val="52"/>
        </w:rPr>
        <w:t xml:space="preserve">Manual de Pruebas RFC 2544 </w:t>
      </w:r>
    </w:p>
    <w:p>
      <w:pPr>
        <w:autoSpaceDN w:val="0"/>
        <w:autoSpaceDE w:val="0"/>
        <w:widowControl/>
        <w:spacing w:line="197" w:lineRule="auto" w:before="9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Guía para pruebas - redes Ethernet/MPLS </w:t>
      </w:r>
    </w:p>
    <w:p>
      <w:pPr>
        <w:autoSpaceDN w:val="0"/>
        <w:autoSpaceDE w:val="0"/>
        <w:widowControl/>
        <w:spacing w:line="240" w:lineRule="auto" w:before="38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1290" cy="1957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95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56" w:right="1246" w:bottom="1440" w:left="1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1. Contexto y alcance </w:t>
      </w:r>
    </w:p>
    <w:p>
      <w:pPr>
        <w:autoSpaceDN w:val="0"/>
        <w:autoSpaceDE w:val="0"/>
        <w:widowControl/>
        <w:spacing w:line="245" w:lineRule="auto" w:before="38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RFC 2544 (IETF, 1999) define procedimientos para caracterizar el rendimiento de equipos de red a nivel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capa 2/3. Aunque nació para entornos de laboratorio, su uso se ha extendido a validaciones de campo 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pruebas de aceptación. Este documento cubre desde conceptos esenciales hasta plantillas de plan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pruebas y criterios de aceptación. </w:t>
      </w:r>
    </w:p>
    <w:p>
      <w:pPr>
        <w:autoSpaceDN w:val="0"/>
        <w:autoSpaceDE w:val="0"/>
        <w:widowControl/>
        <w:spacing w:line="245" w:lineRule="auto" w:before="33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Importante: RFC 2544 está centrada en un único flujo y no contempla de forma nativa escenarios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multiservicio o de activación de servicios; para estos casos, ITU-T Y.1564 (Ethernet Service Activation Test)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suele ser más adecuado. </w:t>
      </w:r>
    </w:p>
    <w:p>
      <w:pPr>
        <w:autoSpaceDN w:val="0"/>
        <w:autoSpaceDE w:val="0"/>
        <w:widowControl/>
        <w:spacing w:line="197" w:lineRule="auto" w:before="5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2. Terminología y métricas clave </w:t>
      </w:r>
    </w:p>
    <w:p>
      <w:pPr>
        <w:autoSpaceDN w:val="0"/>
        <w:autoSpaceDE w:val="0"/>
        <w:widowControl/>
        <w:spacing w:line="197" w:lineRule="auto" w:before="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Throughput: tasa máxima de transferencia sin pérdida de tramas.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Latencia (RTT o one-way si hay sincronización): diferencia temporal entre envío y recepción.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Pérdida de tramas: porcentaje de tramas no recibidas respecto de las enviadas. </w:t>
      </w:r>
    </w:p>
    <w:p>
      <w:pPr>
        <w:autoSpaceDN w:val="0"/>
        <w:autoSpaceDE w:val="0"/>
        <w:widowControl/>
        <w:spacing w:line="197" w:lineRule="auto" w:before="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Back-to-Back: capacidad para procesar ráfagas sucesivas sin pérdida.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Reset del sistema: tiempo hasta recuperar forwarding tras un reinicio.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Responsividad: tiempo que tarda en aplicar cambios de configuración. </w:t>
      </w:r>
    </w:p>
    <w:p>
      <w:pPr>
        <w:autoSpaceDN w:val="0"/>
        <w:autoSpaceDE w:val="0"/>
        <w:widowControl/>
        <w:spacing w:line="245" w:lineRule="auto" w:before="48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Tamaños de trama estandarizados: 64, 128, 256, 512, 1024, 1280 y 1518 bytes (También se suele utilizar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9000 para Jumbo Frames pero no es parte de RFC 2544).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Line rate: capacidad nominal del enlace (1G, 10G, 25G, 40G, 100G, 400G). </w:t>
      </w:r>
    </w:p>
    <w:p>
      <w:pPr>
        <w:autoSpaceDN w:val="0"/>
        <w:autoSpaceDE w:val="0"/>
        <w:widowControl/>
        <w:spacing w:line="197" w:lineRule="auto" w:before="5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3. Arquitectura de prueba y equipamiento </w:t>
      </w:r>
    </w:p>
    <w:p>
      <w:pPr>
        <w:autoSpaceDN w:val="0"/>
        <w:autoSpaceDE w:val="0"/>
        <w:widowControl/>
        <w:spacing w:line="245" w:lineRule="auto" w:before="37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Componentes típicos: generador/analizador de tráfico (p.ej., IXIA, Spirent, Viavi), equipo bajo prueba (DUT),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cables y ópticas adecuadas, sincronización de tiempo si se requiere latencia one-way, y un entorno que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minimice pérdidas ajenas a la prueba. </w:t>
      </w: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43550" cy="280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80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2"/>
        </w:rPr>
        <w:t>Figura: Topologías básicas Tester–DUT.</w:t>
      </w:r>
    </w:p>
    <w:p>
      <w:pPr>
        <w:sectPr>
          <w:pgSz w:w="12240" w:h="15840"/>
          <w:pgMar w:top="532" w:right="1224" w:bottom="622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Notas de cableado: verifique modos (breakout, autonegociación, FEC), transceptores compatibles 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parámetros de interfaz (MTU, VLAN, pausas). </w:t>
      </w:r>
    </w:p>
    <w:p>
      <w:pPr>
        <w:autoSpaceDN w:val="0"/>
        <w:autoSpaceDE w:val="0"/>
        <w:widowControl/>
        <w:spacing w:line="197" w:lineRule="auto" w:before="5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4. Preparación metodológica </w:t>
      </w:r>
    </w:p>
    <w:p>
      <w:pPr>
        <w:autoSpaceDN w:val="0"/>
        <w:autoSpaceDE w:val="0"/>
        <w:widowControl/>
        <w:spacing w:line="197" w:lineRule="auto" w:before="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Definir alcance y criterios de aceptación. </w:t>
      </w:r>
    </w:p>
    <w:p>
      <w:pPr>
        <w:autoSpaceDN w:val="0"/>
        <w:autoSpaceDE w:val="0"/>
        <w:widowControl/>
        <w:spacing w:line="197" w:lineRule="auto" w:before="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Seleccionar tamaños de trama y cargas objetivo (porcentaje de line rate). </w:t>
      </w:r>
    </w:p>
    <w:p>
      <w:pPr>
        <w:autoSpaceDN w:val="0"/>
        <w:autoSpaceDE w:val="0"/>
        <w:widowControl/>
        <w:spacing w:line="197" w:lineRule="auto" w:before="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Establecer duración por punto (p.ej., 60 s) y número de repeticiones. </w:t>
      </w:r>
    </w:p>
    <w:p>
      <w:pPr>
        <w:autoSpaceDN w:val="0"/>
        <w:autoSpaceDE w:val="0"/>
        <w:widowControl/>
        <w:spacing w:line="245" w:lineRule="auto" w:before="90" w:after="306"/>
        <w:ind w:left="0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Documentar configuraciones (versiones, perfiles QoS, colas, policing/shaping in/out).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Asegurar condiciones constantes entre corridas para comparabilidad.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943"/>
        <w:gridCol w:w="1943"/>
        <w:gridCol w:w="1943"/>
        <w:gridCol w:w="1943"/>
        <w:gridCol w:w="1943"/>
      </w:tblGrid>
      <w:tr>
        <w:trPr>
          <w:trHeight w:hRule="exact" w:val="41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Caso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Tamaño (B)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Carga (%)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3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Duración (s)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Repeticiones </w:t>
            </w:r>
          </w:p>
        </w:tc>
      </w:tr>
      <w:tr>
        <w:trPr>
          <w:trHeight w:hRule="exact" w:val="52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Prueba #1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4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64..1518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4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10..100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1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4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  <w:tr>
        <w:trPr>
          <w:trHeight w:hRule="exact" w:val="5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Prueba #2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4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64..1518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4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10..100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4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  <w:tr>
        <w:trPr>
          <w:trHeight w:hRule="exact" w:val="5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Prueba #3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4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64..1518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4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10..100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1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4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  <w:tr>
        <w:trPr>
          <w:trHeight w:hRule="exact" w:val="44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Prueba #4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4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64..1518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4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10..100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2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4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97" w:lineRule="auto" w:before="7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5. Tipos de pruebas </w:t>
      </w:r>
    </w:p>
    <w:p>
      <w:pPr>
        <w:autoSpaceDN w:val="0"/>
        <w:autoSpaceDE w:val="0"/>
        <w:widowControl/>
        <w:spacing w:line="197" w:lineRule="auto" w:before="3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4F81BD"/>
          <w:sz w:val="26"/>
        </w:rPr>
        <w:t xml:space="preserve">5.1 Throughput </w:t>
      </w:r>
    </w:p>
    <w:p>
      <w:pPr>
        <w:autoSpaceDN w:val="0"/>
        <w:autoSpaceDE w:val="0"/>
        <w:widowControl/>
        <w:spacing w:line="250" w:lineRule="auto" w:before="37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Determina la tasa máxima sin pérdida. Se barre la carga (p.ej., búsqueda binaria) para cada tamaño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trama hasta encontrar el punto de cero pérdida. Registrar tasa, utilización, CPU del DUT (si disponible) 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colas/descartes.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5130" cy="2585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58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86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2"/>
        </w:rPr>
        <w:t>Figura: Ejemplo ilustrativo de Throughput vs tamaño de trama (10GbE).</w:t>
      </w:r>
    </w:p>
    <w:p>
      <w:pPr>
        <w:sectPr>
          <w:pgSz w:w="12240" w:h="15840"/>
          <w:pgMar w:top="526" w:right="1228" w:bottom="594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4F81BD"/>
          <w:sz w:val="26"/>
        </w:rPr>
        <w:t xml:space="preserve">5.2 Latencia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latencia se mide como RTT si no hay sincronización GPS/PTP en testers. Con sincronización se puede </w:t>
      </w:r>
    </w:p>
    <w:p>
      <w:pPr>
        <w:autoSpaceDN w:val="0"/>
        <w:autoSpaceDE w:val="0"/>
        <w:widowControl/>
        <w:spacing w:line="197" w:lineRule="auto" w:before="8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medir one-way. La latencia típica crece con el tamaño de trama y la carga; usar percentiles (p95/p99) si la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herramienta los provee. 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94100" cy="2368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36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48429" cy="351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8429" cy="35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00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Figura: Latencia RTT conceptual (T2 − T1). </w:t>
      </w:r>
    </w:p>
    <w:p>
      <w:pPr>
        <w:autoSpaceDN w:val="0"/>
        <w:autoSpaceDE w:val="0"/>
        <w:widowControl/>
        <w:spacing w:line="350" w:lineRule="auto" w:before="80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4F81BD"/>
          <w:sz w:val="26"/>
        </w:rPr>
        <w:t xml:space="preserve">5.3 Pérdida de tramas (Frame Loss)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 inyecta carga creciente y se observa la tasa de pérdida. Útil para caracterizar buffers y colas. La curva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suele ser plana (0%) hasta un umbral a partir del cual la pérdida crece rápidamente. 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3520" cy="26047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84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2"/>
        </w:rPr>
        <w:t>Figura: Ejemplo de pérdida vs carga.</w:t>
      </w:r>
    </w:p>
    <w:p>
      <w:pPr>
        <w:sectPr>
          <w:pgSz w:w="12240" w:h="15840"/>
          <w:pgMar w:top="530" w:right="1230" w:bottom="516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4F81BD"/>
          <w:sz w:val="26"/>
        </w:rPr>
        <w:t xml:space="preserve">5.4 Back-to-Back (Ráfagas) </w:t>
      </w:r>
    </w:p>
    <w:p>
      <w:pPr>
        <w:autoSpaceDN w:val="0"/>
        <w:autoSpaceDE w:val="0"/>
        <w:widowControl/>
        <w:spacing w:line="245" w:lineRule="auto" w:before="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Evalúa la capacidad del DUT para manejar ráfagas de tramas sin pérdida. Ajustar el tamaño y separación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entre ráfagas y considerar mecanismos de control de congestión y buffers internos.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3520" cy="20624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84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2"/>
        </w:rPr>
        <w:t>Figura: Patrón temporal de ráfagas back-to-back.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4F81BD"/>
          <w:sz w:val="26"/>
        </w:rPr>
        <w:t xml:space="preserve">5.5 System Reset </w:t>
      </w:r>
    </w:p>
    <w:p>
      <w:pPr>
        <w:autoSpaceDN w:val="0"/>
        <w:autoSpaceDE w:val="0"/>
        <w:widowControl/>
        <w:spacing w:line="245" w:lineRule="auto" w:before="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Cuantifica el tiempo de recuperación del DUT tras un reinicio o failover. Debe incluir estabilidad del plano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control y restablecimiento de forwarding, con verificaciones de ruta y estado de interfaces. </w:t>
      </w:r>
    </w:p>
    <w:p>
      <w:pPr>
        <w:autoSpaceDN w:val="0"/>
        <w:autoSpaceDE w:val="0"/>
        <w:widowControl/>
        <w:spacing w:line="197" w:lineRule="auto" w:before="37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4F81BD"/>
          <w:sz w:val="26"/>
        </w:rPr>
        <w:t xml:space="preserve">5.6 Responsividad (Response Time) </w:t>
      </w:r>
    </w:p>
    <w:p>
      <w:pPr>
        <w:autoSpaceDN w:val="0"/>
        <w:autoSpaceDE w:val="0"/>
        <w:widowControl/>
        <w:spacing w:line="245" w:lineRule="auto" w:before="3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Mide el tiempo que tarda el DUT en aplicar cambios (p.ej., políticas QoS, rutas). Se recomiendan múltiples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corridas y medición bajo distintas cargas para observar efectos en control-plane. </w:t>
      </w:r>
    </w:p>
    <w:p>
      <w:pPr>
        <w:autoSpaceDN w:val="0"/>
        <w:autoSpaceDE w:val="0"/>
        <w:widowControl/>
        <w:spacing w:line="197" w:lineRule="auto" w:before="5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6. Consideraciones de configuración </w:t>
      </w:r>
    </w:p>
    <w:p>
      <w:pPr>
        <w:autoSpaceDN w:val="0"/>
        <w:autoSpaceDE w:val="0"/>
        <w:widowControl/>
        <w:spacing w:line="197" w:lineRule="auto" w:before="3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MTU/Jumbo: alinear MTUs entre tester y DUT. </w:t>
      </w:r>
    </w:p>
    <w:p>
      <w:pPr>
        <w:autoSpaceDN w:val="0"/>
        <w:autoSpaceDE w:val="0"/>
        <w:widowControl/>
        <w:spacing w:line="245" w:lineRule="auto" w:before="86" w:after="0"/>
        <w:ind w:left="0" w:right="27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VLAN/EVPN/MPLS: etiquetado correcto y consistencia de encapsulados.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QoS: colas, scheduling, WRED, policers y shapers pueden afectar métricas. </w:t>
      </w:r>
    </w:p>
    <w:p>
      <w:pPr>
        <w:autoSpaceDN w:val="0"/>
        <w:autoSpaceDE w:val="0"/>
        <w:widowControl/>
        <w:spacing w:line="245" w:lineRule="auto" w:before="88" w:after="0"/>
        <w:ind w:left="0" w:right="34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PFC/PAUSE: cuidado con pausas propensas a propagar congestión.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Rutas estáticas/VRF: verificar resolución ARP/ND y next-hops. </w:t>
      </w:r>
    </w:p>
    <w:p>
      <w:pPr>
        <w:autoSpaceDN w:val="0"/>
        <w:autoSpaceDE w:val="0"/>
        <w:widowControl/>
        <w:spacing w:line="197" w:lineRule="auto" w:before="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Seguridad: ACLs/CoPP pueden limitar throughput/latencia. </w:t>
      </w:r>
    </w:p>
    <w:p>
      <w:pPr>
        <w:autoSpaceDN w:val="0"/>
        <w:autoSpaceDE w:val="0"/>
        <w:widowControl/>
        <w:spacing w:line="245" w:lineRule="auto" w:before="36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escenarios L3, confirme reachability (ARP, routing) y que el tráfico de prueba no sea filtrado por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firewalls/ACLs. </w:t>
      </w:r>
    </w:p>
    <w:p>
      <w:pPr>
        <w:sectPr>
          <w:pgSz w:w="12240" w:h="15840"/>
          <w:pgMar w:top="530" w:right="1230" w:bottom="1312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7. Limitaciones y comparación con Y.1564 </w:t>
      </w:r>
    </w:p>
    <w:p>
      <w:pPr>
        <w:autoSpaceDN w:val="0"/>
        <w:autoSpaceDE w:val="0"/>
        <w:widowControl/>
        <w:spacing w:line="250" w:lineRule="auto" w:before="3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RFC 2544 no modela múltiples servicios simultáneos ni objetivos de SLA por clase; Y.1564 permite validar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activación de servicios con perfiles de CIR/EIR, verificación de KPIs (latencia, pérdida, jitter) por flujo 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pruebas de rampa.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29200" cy="2468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86" w:after="0"/>
        <w:ind w:left="212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>Figura: Escenario multiservicio ilustrativo (latencia por flujo).</w:t>
      </w:r>
    </w:p>
    <w:p>
      <w:pPr>
        <w:autoSpaceDN w:val="0"/>
        <w:autoSpaceDE w:val="0"/>
        <w:widowControl/>
        <w:spacing w:line="197" w:lineRule="auto" w:before="5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8. Buenas prácticas y errores comunes </w:t>
      </w:r>
    </w:p>
    <w:p>
      <w:pPr>
        <w:autoSpaceDN w:val="0"/>
        <w:autoSpaceDE w:val="0"/>
        <w:widowControl/>
        <w:spacing w:line="245" w:lineRule="auto" w:before="380" w:after="0"/>
        <w:ind w:left="0" w:right="60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Buenas prácticas: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Llevar el DUT a estado de régimen. </w:t>
      </w:r>
    </w:p>
    <w:p>
      <w:pPr>
        <w:autoSpaceDN w:val="0"/>
        <w:autoSpaceDE w:val="0"/>
        <w:widowControl/>
        <w:spacing w:line="197" w:lineRule="auto" w:before="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Asegurar estabilidad de reloj y temperatura. </w:t>
      </w:r>
    </w:p>
    <w:p>
      <w:pPr>
        <w:autoSpaceDN w:val="0"/>
        <w:autoSpaceDE w:val="0"/>
        <w:widowControl/>
        <w:spacing w:line="245" w:lineRule="auto" w:before="88" w:after="0"/>
        <w:ind w:left="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Registrar versiones de software/firmware y configuraciones.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Usar puertos dedicados y evitar tráfico parásito.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Automatizar recolección de KPIs y logs.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Validar resultados con repeticiones y controles negativos. </w:t>
      </w:r>
    </w:p>
    <w:p>
      <w:pPr>
        <w:autoSpaceDN w:val="0"/>
        <w:autoSpaceDE w:val="0"/>
        <w:widowControl/>
        <w:spacing w:line="250" w:lineRule="auto" w:before="366" w:after="0"/>
        <w:ind w:left="0" w:right="54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Errores frecuentes: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Probar la carga bidireccional sin aclararlo.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Ignorar impacto de tamaño de trama. </w:t>
      </w:r>
    </w:p>
    <w:p>
      <w:pPr>
        <w:autoSpaceDN w:val="0"/>
        <w:autoSpaceDE w:val="0"/>
        <w:widowControl/>
        <w:spacing w:line="197" w:lineRule="auto" w:before="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No resetear contadores entre corridas. </w:t>
      </w:r>
    </w:p>
    <w:p>
      <w:pPr>
        <w:autoSpaceDN w:val="0"/>
        <w:autoSpaceDE w:val="0"/>
        <w:widowControl/>
        <w:spacing w:line="245" w:lineRule="auto" w:before="90" w:after="0"/>
        <w:ind w:left="0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Tomar un único valor “pico” sin estadísticas.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No alinear QoS/encapsulados entre extremos. </w:t>
      </w:r>
    </w:p>
    <w:p>
      <w:pPr>
        <w:sectPr>
          <w:pgSz w:w="12240" w:h="15840"/>
          <w:pgMar w:top="532" w:right="1440" w:bottom="1440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9. Criterios de aceptación típicos (ejemplo) </w:t>
      </w:r>
    </w:p>
    <w:p>
      <w:pPr>
        <w:autoSpaceDN w:val="0"/>
        <w:autoSpaceDE w:val="0"/>
        <w:widowControl/>
        <w:spacing w:line="197" w:lineRule="auto" w:before="3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Throughput ≥ 99% de line rate a MTU estándar sin pérdida.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Latencia RTT ≤ 1 ms a 1G, ≤ 300 µs a 10G, proporcional a plataforma.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Pérdida ≤ 0.01% hasta 90% de carga. </w:t>
      </w:r>
    </w:p>
    <w:p>
      <w:pPr>
        <w:autoSpaceDN w:val="0"/>
        <w:autoSpaceDE w:val="0"/>
        <w:widowControl/>
        <w:spacing w:line="245" w:lineRule="auto" w:before="86" w:after="0"/>
        <w:ind w:left="0" w:right="24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Back-to-Back: sin pérdida hasta N tramas en ráfaga (definir N por plataforma).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Reset: recuperación de forwarding &lt; 60 s (definir según HA). </w:t>
      </w:r>
    </w:p>
    <w:p>
      <w:pPr>
        <w:autoSpaceDN w:val="0"/>
        <w:autoSpaceDE w:val="0"/>
        <w:widowControl/>
        <w:spacing w:line="197" w:lineRule="auto" w:before="5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10. Plantilla de plan de pruebas </w:t>
      </w:r>
    </w:p>
    <w:p>
      <w:pPr>
        <w:autoSpaceDN w:val="0"/>
        <w:autoSpaceDE w:val="0"/>
        <w:widowControl/>
        <w:spacing w:line="264" w:lineRule="auto" w:before="380" w:after="0"/>
        <w:ind w:left="0" w:right="41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1) Objetivo y alcance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2) Topología y equipamiento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3) Matriz de casos (tamaños, cargas, duración, repeticiones)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4) Procedimiento paso a paso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5) KPIs a recolectar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6) Criterios de aceptación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7) Gestión de riesgos y retrocesos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8) Evidencia (capturas, logs, archivos de resultados) </w:t>
      </w:r>
    </w:p>
    <w:p>
      <w:pPr>
        <w:autoSpaceDN w:val="0"/>
        <w:autoSpaceDE w:val="0"/>
        <w:widowControl/>
        <w:spacing w:line="197" w:lineRule="auto" w:before="5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11. Procedimiento paso a paso </w:t>
      </w:r>
    </w:p>
    <w:p>
      <w:pPr>
        <w:autoSpaceDN w:val="0"/>
        <w:autoSpaceDE w:val="0"/>
        <w:widowControl/>
        <w:spacing w:line="245" w:lineRule="auto" w:before="380" w:after="0"/>
        <w:ind w:left="0" w:right="316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1. Configurar interfaces en tester y DUT (speed/duplex, MTU, VLAN/L3).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 Verificar conectividad (ARP/ND, ping) y counters en cero. </w:t>
      </w:r>
    </w:p>
    <w:p>
      <w:pPr>
        <w:autoSpaceDN w:val="0"/>
        <w:autoSpaceDE w:val="0"/>
        <w:widowControl/>
        <w:spacing w:line="245" w:lineRule="auto" w:before="90" w:after="0"/>
        <w:ind w:left="0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3. Ejecutar Throughput por tamaño de trama con búsqueda binaria.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4. Medir latencia a diferentes cargas (25/50/75/100%).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5. Realizar prueba de pérdida vs carga (rampa 10→100%).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 Ejecutar Back-to-Back con ráfagas crecientes.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7. (Opcional) Prueba de reset y responsividad. </w:t>
      </w:r>
    </w:p>
    <w:p>
      <w:pPr>
        <w:autoSpaceDN w:val="0"/>
        <w:autoSpaceDE w:val="0"/>
        <w:widowControl/>
        <w:spacing w:line="197" w:lineRule="auto" w:before="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8. Exportar resultados y generar informe con tablas y gráficos. </w:t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12. Interpretación y reporte </w:t>
      </w:r>
    </w:p>
    <w:p>
      <w:pPr>
        <w:autoSpaceDN w:val="0"/>
        <w:autoSpaceDE w:val="0"/>
        <w:widowControl/>
        <w:spacing w:line="250" w:lineRule="auto" w:before="37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Recomendaciones: incluir para cada caso media, p95, p99, desviación estándar, y capturas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colas/descartes. Comparar contra baseline histórico y valores del fabricante cuando estén disponibles.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Resaltar hallazgos, limitaciones y próximos pasos. </w:t>
      </w:r>
    </w:p>
    <w:p>
      <w:pPr>
        <w:sectPr>
          <w:pgSz w:w="12240" w:h="15840"/>
          <w:pgMar w:top="532" w:right="1226" w:bottom="1440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97" w:lineRule="auto" w:before="0" w:after="526"/>
        <w:ind w:left="118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13. Apéndice A: Tabla modelo de resultados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rHeight w:hRule="exact" w:val="568"/>
        </w:trPr>
        <w:tc>
          <w:tcPr>
            <w:tcW w:type="dxa" w:w="1608"/>
            <w:tcBorders>
              <w:start w:sz="8.0" w:val="single" w:color="#4F81BC"/>
              <w:top w:sz="8.0" w:val="single" w:color="#4F81BC"/>
              <w:end w:sz="8.0" w:val="single" w:color="#4F81BC"/>
              <w:bottom w:sz="17.600000000000023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Tamaño (B) </w:t>
            </w:r>
          </w:p>
        </w:tc>
        <w:tc>
          <w:tcPr>
            <w:tcW w:type="dxa" w:w="1608"/>
            <w:tcBorders>
              <w:start w:sz="8.0" w:val="single" w:color="#4F81BC"/>
              <w:top w:sz="8.0" w:val="single" w:color="#4F81BC"/>
              <w:end w:sz="7.199999999999818" w:val="single" w:color="#4F81BC"/>
              <w:bottom w:sz="17.600000000000023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Carga (%) </w:t>
            </w:r>
          </w:p>
        </w:tc>
        <w:tc>
          <w:tcPr>
            <w:tcW w:type="dxa" w:w="1608"/>
            <w:tcBorders>
              <w:start w:sz="7.199999999999818" w:val="single" w:color="#4F81BC"/>
              <w:top w:sz="8.0" w:val="single" w:color="#4F81BC"/>
              <w:end w:sz="7.200000000000273" w:val="single" w:color="#4F81BC"/>
              <w:bottom w:sz="17.600000000000023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0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Throughput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(Gbps) </w:t>
            </w:r>
          </w:p>
        </w:tc>
        <w:tc>
          <w:tcPr>
            <w:tcW w:type="dxa" w:w="1610"/>
            <w:tcBorders>
              <w:start w:sz="7.200000000000273" w:val="single" w:color="#4F81BC"/>
              <w:top w:sz="8.0" w:val="single" w:color="#4F81BC"/>
              <w:end w:sz="8.0" w:val="single" w:color="#4F81BC"/>
              <w:bottom w:sz="17.600000000000023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98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Latencia p95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(µs) </w:t>
            </w:r>
          </w:p>
        </w:tc>
        <w:tc>
          <w:tcPr>
            <w:tcW w:type="dxa" w:w="1608"/>
            <w:tcBorders>
              <w:start w:sz="8.0" w:val="single" w:color="#4F81BC"/>
              <w:top w:sz="8.0" w:val="single" w:color="#4F81BC"/>
              <w:end w:sz="8.0" w:val="single" w:color="#4F81BC"/>
              <w:bottom w:sz="17.600000000000023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Pérdida (%) </w:t>
            </w:r>
          </w:p>
        </w:tc>
        <w:tc>
          <w:tcPr>
            <w:tcW w:type="dxa" w:w="1608"/>
            <w:tcBorders>
              <w:start w:sz="8.0" w:val="single" w:color="#4F81BC"/>
              <w:top w:sz="8.0" w:val="single" w:color="#4F81BC"/>
              <w:end w:sz="8.0" w:val="single" w:color="#4F81BC"/>
              <w:bottom w:sz="17.600000000000023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Notas </w:t>
            </w:r>
          </w:p>
        </w:tc>
      </w:tr>
      <w:tr>
        <w:trPr>
          <w:trHeight w:hRule="exact" w:val="304"/>
        </w:trPr>
        <w:tc>
          <w:tcPr>
            <w:tcW w:type="dxa" w:w="1608"/>
            <w:tcBorders>
              <w:start w:sz="8.0" w:val="single" w:color="#4F81BC"/>
              <w:top w:sz="17.600000000000023" w:val="single" w:color="#4F81BC"/>
              <w:end w:sz="8.0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1608"/>
            <w:tcBorders>
              <w:start w:sz="8.0" w:val="single" w:color="#4F81BC"/>
              <w:top w:sz="17.600000000000023" w:val="single" w:color="#4F81BC"/>
              <w:end w:sz="7.199999999999818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1608"/>
            <w:tcBorders>
              <w:start w:sz="7.199999999999818" w:val="single" w:color="#4F81BC"/>
              <w:top w:sz="17.600000000000023" w:val="single" w:color="#4F81BC"/>
              <w:end w:sz="7.200000000000273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10"/>
            <w:tcBorders>
              <w:start w:sz="7.200000000000273" w:val="single" w:color="#4F81BC"/>
              <w:top w:sz="17.600000000000023" w:val="single" w:color="#4F81BC"/>
              <w:end w:sz="8.0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17.600000000000023" w:val="single" w:color="#4F81BC"/>
              <w:end w:sz="8.0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17.600000000000023" w:val="single" w:color="#4F81BC"/>
              <w:end w:sz="8.0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128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7.199999999999818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1608"/>
            <w:tcBorders>
              <w:start w:sz="7.199999999999818" w:val="single" w:color="#4F81BC"/>
              <w:top w:sz="7.2000000000000455" w:val="single" w:color="#4F81BC"/>
              <w:end w:sz="7.200000000000273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10"/>
            <w:tcBorders>
              <w:start w:sz="7.200000000000273" w:val="single" w:color="#4F81BC"/>
              <w:top w:sz="7.2000000000000455" w:val="single" w:color="#4F81BC"/>
              <w:end w:sz="8.0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256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7.199999999999818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1608"/>
            <w:tcBorders>
              <w:start w:sz="7.199999999999818" w:val="single" w:color="#4F81BC"/>
              <w:top w:sz="7.2000000000000455" w:val="single" w:color="#4F81BC"/>
              <w:end w:sz="7.200000000000273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10"/>
            <w:tcBorders>
              <w:start w:sz="7.200000000000273" w:val="single" w:color="#4F81BC"/>
              <w:top w:sz="7.2000000000000455" w:val="single" w:color="#4F81BC"/>
              <w:end w:sz="8.0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7.2000000000000455" w:val="single" w:color="#4F81BC"/>
            </w:tcBorders>
            <w:shd w:fill="d2df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512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7.199999999999818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1608"/>
            <w:tcBorders>
              <w:start w:sz="7.199999999999818" w:val="single" w:color="#4F81BC"/>
              <w:top w:sz="7.2000000000000455" w:val="single" w:color="#4F81BC"/>
              <w:end w:sz="7.200000000000273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10"/>
            <w:tcBorders>
              <w:start w:sz="7.200000000000273" w:val="single" w:color="#4F81BC"/>
              <w:top w:sz="7.2000000000000455" w:val="single" w:color="#4F81BC"/>
              <w:end w:sz="8.0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608"/>
            <w:tcBorders>
              <w:start w:sz="8.0" w:val="single" w:color="#4F81BC"/>
              <w:top w:sz="7.199999999999818" w:val="single" w:color="#4F81BC"/>
              <w:end w:sz="8.0" w:val="single" w:color="#4F81BC"/>
              <w:bottom w:sz="7.199999999999818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1024 </w:t>
            </w:r>
          </w:p>
        </w:tc>
        <w:tc>
          <w:tcPr>
            <w:tcW w:type="dxa" w:w="1608"/>
            <w:tcBorders>
              <w:start w:sz="8.0" w:val="single" w:color="#4F81BC"/>
              <w:top w:sz="7.199999999999818" w:val="single" w:color="#4F81BC"/>
              <w:end w:sz="7.199999999999818" w:val="single" w:color="#4F81BC"/>
              <w:bottom w:sz="7.199999999999818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1608"/>
            <w:tcBorders>
              <w:start w:sz="7.199999999999818" w:val="single" w:color="#4F81BC"/>
              <w:top w:sz="7.199999999999818" w:val="single" w:color="#4F81BC"/>
              <w:end w:sz="7.200000000000273" w:val="single" w:color="#4F81BC"/>
              <w:bottom w:sz="7.199999999999818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10"/>
            <w:tcBorders>
              <w:start w:sz="7.200000000000273" w:val="single" w:color="#4F81BC"/>
              <w:top w:sz="7.199999999999818" w:val="single" w:color="#4F81BC"/>
              <w:end w:sz="8.0" w:val="single" w:color="#4F81BC"/>
              <w:bottom w:sz="7.199999999999818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199999999999818" w:val="single" w:color="#4F81BC"/>
              <w:end w:sz="8.0" w:val="single" w:color="#4F81BC"/>
              <w:bottom w:sz="7.199999999999818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199999999999818" w:val="single" w:color="#4F81BC"/>
              <w:end w:sz="8.0" w:val="single" w:color="#4F81BC"/>
              <w:bottom w:sz="7.199999999999818" w:val="single" w:color="#4F81BC"/>
            </w:tcBorders>
            <w:shd w:fill="d2df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608"/>
            <w:tcBorders>
              <w:start w:sz="8.0" w:val="single" w:color="#4F81BC"/>
              <w:top w:sz="7.199999999999818" w:val="single" w:color="#4F81BC"/>
              <w:end w:sz="8.0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1280 </w:t>
            </w:r>
          </w:p>
        </w:tc>
        <w:tc>
          <w:tcPr>
            <w:tcW w:type="dxa" w:w="1608"/>
            <w:tcBorders>
              <w:start w:sz="8.0" w:val="single" w:color="#4F81BC"/>
              <w:top w:sz="7.199999999999818" w:val="single" w:color="#4F81BC"/>
              <w:end w:sz="7.199999999999818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1608"/>
            <w:tcBorders>
              <w:start w:sz="7.199999999999818" w:val="single" w:color="#4F81BC"/>
              <w:top w:sz="7.199999999999818" w:val="single" w:color="#4F81BC"/>
              <w:end w:sz="7.200000000000273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10"/>
            <w:tcBorders>
              <w:start w:sz="7.200000000000273" w:val="single" w:color="#4F81BC"/>
              <w:top w:sz="7.199999999999818" w:val="single" w:color="#4F81BC"/>
              <w:end w:sz="8.0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199999999999818" w:val="single" w:color="#4F81BC"/>
              <w:end w:sz="8.0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199999999999818" w:val="single" w:color="#4F81BC"/>
              <w:end w:sz="8.0" w:val="single" w:color="#4F81BC"/>
              <w:bottom w:sz="7.2000000000000455" w:val="single" w:color="#4F81B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8.0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1518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7.199999999999818" w:val="single" w:color="#4F81BC"/>
              <w:bottom w:sz="8.0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</w:t>
            </w:r>
          </w:p>
        </w:tc>
        <w:tc>
          <w:tcPr>
            <w:tcW w:type="dxa" w:w="1608"/>
            <w:tcBorders>
              <w:start w:sz="7.199999999999818" w:val="single" w:color="#4F81BC"/>
              <w:top w:sz="7.2000000000000455" w:val="single" w:color="#4F81BC"/>
              <w:end w:sz="7.200000000000273" w:val="single" w:color="#4F81BC"/>
              <w:bottom w:sz="8.0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10"/>
            <w:tcBorders>
              <w:start w:sz="7.200000000000273" w:val="single" w:color="#4F81BC"/>
              <w:top w:sz="7.2000000000000455" w:val="single" w:color="#4F81BC"/>
              <w:end w:sz="8.0" w:val="single" w:color="#4F81BC"/>
              <w:bottom w:sz="8.0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8.0" w:val="single" w:color="#4F81BC"/>
            </w:tcBorders>
            <w:shd w:fill="d2df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— </w:t>
            </w:r>
          </w:p>
        </w:tc>
        <w:tc>
          <w:tcPr>
            <w:tcW w:type="dxa" w:w="1608"/>
            <w:tcBorders>
              <w:start w:sz="8.0" w:val="single" w:color="#4F81BC"/>
              <w:top w:sz="7.2000000000000455" w:val="single" w:color="#4F81BC"/>
              <w:end w:sz="8.0" w:val="single" w:color="#4F81BC"/>
              <w:bottom w:sz="8.0" w:val="single" w:color="#4F81BC"/>
            </w:tcBorders>
            <w:shd w:fill="d2dfed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7" w:lineRule="auto" w:before="538" w:after="0"/>
        <w:ind w:left="118" w:right="0" w:firstLine="0"/>
        <w:jc w:val="left"/>
      </w:pPr>
      <w:r>
        <w:rPr>
          <w:rFonts w:ascii="Calibri" w:hAnsi="Calibri" w:eastAsia="Calibri"/>
          <w:b/>
          <w:i w:val="0"/>
          <w:color w:val="365F91"/>
          <w:sz w:val="28"/>
        </w:rPr>
        <w:t xml:space="preserve">14. Apéndice B: Glosario </w:t>
      </w:r>
    </w:p>
    <w:p>
      <w:pPr>
        <w:autoSpaceDN w:val="0"/>
        <w:autoSpaceDE w:val="0"/>
        <w:widowControl/>
        <w:spacing w:line="197" w:lineRule="auto" w:before="378" w:after="0"/>
        <w:ind w:left="1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DUT: Device Under Test. </w:t>
      </w:r>
    </w:p>
    <w:p>
      <w:pPr>
        <w:autoSpaceDN w:val="0"/>
        <w:autoSpaceDE w:val="0"/>
        <w:widowControl/>
        <w:spacing w:line="197" w:lineRule="auto" w:before="88" w:after="0"/>
        <w:ind w:left="1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KPIs: Indicadores clave de rendimiento. </w:t>
      </w:r>
    </w:p>
    <w:p>
      <w:pPr>
        <w:autoSpaceDN w:val="0"/>
        <w:autoSpaceDE w:val="0"/>
        <w:widowControl/>
        <w:spacing w:line="197" w:lineRule="auto" w:before="86" w:after="0"/>
        <w:ind w:left="1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CIR/EIR: Tasa comprometida y excedente (Y.1564). </w:t>
      </w:r>
    </w:p>
    <w:p>
      <w:pPr>
        <w:autoSpaceDN w:val="0"/>
        <w:autoSpaceDE w:val="0"/>
        <w:widowControl/>
        <w:spacing w:line="197" w:lineRule="auto" w:before="90" w:after="0"/>
        <w:ind w:left="1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PTP: Precision Time Protocol (IEEE 1588). </w:t>
      </w:r>
    </w:p>
    <w:sectPr w:rsidR="00FC693F" w:rsidRPr="0006063C" w:rsidSect="00034616">
      <w:pgSz w:w="12240" w:h="15840"/>
      <w:pgMar w:top="532" w:right="1372" w:bottom="1440" w:left="11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