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JhengHei" w:hAnsi="Microsoft JhengHei"/>
          <w:b/>
          <w:color w:val="16A34A"/>
          <w:sz w:val="20"/>
        </w:rPr>
        <w:t>【數據檢核 (QC) 完整驗證】</w:t>
      </w:r>
    </w:p>
    <w:p>
      <w:pPr>
        <w:spacing w:after="120"/>
      </w:pPr>
      <w:r>
        <w:rPr>
          <w:rFonts w:ascii="Microsoft JhengHei" w:hAnsi="Microsoft JhengHei"/>
          <w:b/>
          <w:color w:val="0F172A"/>
          <w:sz w:val="34"/>
        </w:rPr>
        <w:t>大甲幼獅工業區微型感測器異味污染物 (VOC) 熱點溯源與科技稽查決策評估報告</w:t>
      </w:r>
    </w:p>
    <w:p>
      <w:pPr>
        <w:spacing w:after="280"/>
      </w:pPr>
      <w:r>
        <w:rPr>
          <w:rFonts w:ascii="Microsoft JhengHei" w:hAnsi="Microsoft JhengHei"/>
          <w:color w:val="475569"/>
          <w:sz w:val="21"/>
        </w:rPr>
        <w:t>基於 31 台有效微型感測器 273,400 筆每小時連續觀測數據（計算單位統一採用每小時平均值 Hourly Mean）之空間核密度 (KDE) 與異常時序規律深度研判</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6768"/>
      </w:tblGrid>
      <w:tr>
        <w:tc>
          <w:tcPr>
            <w:tcW w:type="dxa" w:w="4680"/>
            <w:shd w:fill="F1F5F9"/>
            <w:tcMar>
              <w:top w:w="80" w:type="dxa"/>
              <w:bottom w:w="80" w:type="dxa"/>
              <w:left w:w="100" w:type="dxa"/>
              <w:right w:w="100" w:type="dxa"/>
            </w:tcMar>
          </w:tcPr>
          <w:p>
            <w:r>
              <w:rPr>
                <w:rFonts w:ascii="Microsoft JhengHei" w:hAnsi="Microsoft JhengHei"/>
                <w:b/>
                <w:color w:val="1E3A8A"/>
                <w:sz w:val="19"/>
              </w:rPr>
              <w:t>委託機關</w:t>
            </w:r>
          </w:p>
        </w:tc>
        <w:tc>
          <w:tcPr>
            <w:tcW w:type="dxa" w:w="4680"/>
            <w:tcMar>
              <w:top w:w="80" w:type="dxa"/>
              <w:bottom w:w="80" w:type="dxa"/>
              <w:left w:w="100" w:type="dxa"/>
              <w:right w:w="100" w:type="dxa"/>
            </w:tcMar>
          </w:tcPr>
          <w:p>
            <w:r>
              <w:rPr>
                <w:rFonts w:ascii="Microsoft JhengHei" w:hAnsi="Microsoft JhengHei"/>
                <w:color w:val="334155"/>
                <w:sz w:val="19"/>
              </w:rPr>
              <w:t>臺中市政府環境保護局</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研究分析單位</w:t>
            </w:r>
          </w:p>
        </w:tc>
        <w:tc>
          <w:tcPr>
            <w:tcW w:type="dxa" w:w="4680"/>
            <w:tcMar>
              <w:top w:w="80" w:type="dxa"/>
              <w:bottom w:w="80" w:type="dxa"/>
              <w:left w:w="100" w:type="dxa"/>
              <w:right w:w="100" w:type="dxa"/>
            </w:tcMar>
          </w:tcPr>
          <w:p>
            <w:r>
              <w:rPr>
                <w:rFonts w:ascii="Microsoft JhengHei" w:hAnsi="Microsoft JhengHei"/>
                <w:color w:val="334155"/>
                <w:sz w:val="19"/>
              </w:rPr>
              <w:t>振興發科技有限公司</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資料來源</w:t>
            </w:r>
          </w:p>
        </w:tc>
        <w:tc>
          <w:tcPr>
            <w:tcW w:type="dxa" w:w="4680"/>
            <w:tcMar>
              <w:top w:w="80" w:type="dxa"/>
              <w:bottom w:w="80" w:type="dxa"/>
              <w:left w:w="100" w:type="dxa"/>
              <w:right w:w="100" w:type="dxa"/>
            </w:tcMar>
          </w:tcPr>
          <w:p>
            <w:r>
              <w:rPr>
                <w:rFonts w:ascii="Microsoft JhengHei" w:hAnsi="Microsoft JhengHei"/>
                <w:color w:val="334155"/>
                <w:sz w:val="19"/>
              </w:rPr>
              <w:t>自架微感 + 環境物聯網提供之 IOT 測值數據</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精確觀測時段與天數</w:t>
            </w:r>
          </w:p>
        </w:tc>
        <w:tc>
          <w:tcPr>
            <w:tcW w:type="dxa" w:w="4680"/>
            <w:tcMar>
              <w:top w:w="80" w:type="dxa"/>
              <w:bottom w:w="80" w:type="dxa"/>
              <w:left w:w="100" w:type="dxa"/>
              <w:right w:w="100" w:type="dxa"/>
            </w:tcMar>
          </w:tcPr>
          <w:p>
            <w:r>
              <w:rPr>
                <w:rFonts w:ascii="Microsoft JhengHei" w:hAnsi="Microsoft JhengHei"/>
                <w:color w:val="334155"/>
                <w:sz w:val="19"/>
              </w:rPr>
              <w:t>2025 年 6 月 27 日 00:00 ～ 2026 年 9 月 1 日 23:00 (共 432 天全時序)</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空間邊界與計算單位</w:t>
            </w:r>
          </w:p>
        </w:tc>
        <w:tc>
          <w:tcPr>
            <w:tcW w:type="dxa" w:w="4680"/>
            <w:tcMar>
              <w:top w:w="80" w:type="dxa"/>
              <w:bottom w:w="80" w:type="dxa"/>
              <w:left w:w="100" w:type="dxa"/>
              <w:right w:w="100" w:type="dxa"/>
            </w:tcMar>
          </w:tcPr>
          <w:p>
            <w:r>
              <w:rPr>
                <w:rFonts w:ascii="Microsoft JhengHei" w:hAnsi="Microsoft JhengHei"/>
                <w:color w:val="334155"/>
                <w:sz w:val="19"/>
              </w:rPr>
              <w:t>大甲幼獅 500m Buffer (31台有效測站 · 統一以每小時平均值計算)</w:t>
            </w:r>
          </w:p>
        </w:tc>
      </w:tr>
    </w:tbl>
    <w:p>
      <w:pPr>
        <w:spacing w:after="240"/>
      </w:pPr>
    </w:p>
    <w:p>
      <w:pPr>
        <w:keepNext/>
        <w:spacing w:before="240" w:after="120"/>
      </w:pPr>
      <w:r>
        <w:rPr>
          <w:rFonts w:ascii="Microsoft JhengHei" w:hAnsi="Microsoft JhengHei"/>
          <w:b/>
          <w:color w:val="EA580C"/>
          <w:sz w:val="24"/>
        </w:rPr>
        <w:t>關鍵決策指標摘要 (Executive Summary KPI)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10"/>
        <w:gridCol w:w="3110"/>
        <w:gridCol w:w="3110"/>
      </w:tblGrid>
      <w:tr>
        <w:tc>
          <w:tcPr>
            <w:tcW w:type="dxa" w:w="3120"/>
            <w:shd w:fill="F8FAFC"/>
            <w:tcMar>
              <w:top w:w="100" w:type="dxa"/>
              <w:bottom w:w="100" w:type="dxa"/>
              <w:left w:w="120" w:type="dxa"/>
              <w:right w:w="120" w:type="dxa"/>
            </w:tcMar>
          </w:tcPr>
          <w:p>
            <w:r>
              <w:rPr>
                <w:rFonts w:ascii="Microsoft JhengHei" w:hAnsi="Microsoft JhengHei"/>
                <w:b/>
                <w:color w:val="64748B"/>
                <w:sz w:val="17"/>
              </w:rPr>
              <w:t>範圍內有效微感 vs 全臺中總量</w:t>
              <w:br/>
            </w:r>
            <w:r>
              <w:rPr>
                <w:rFonts w:ascii="Microsoft JhengHei" w:hAnsi="Microsoft JhengHei"/>
                <w:b/>
                <w:color w:val="1E3A8A"/>
                <w:sz w:val="26"/>
              </w:rPr>
              <w:t>31 台</w:t>
              <w:br/>
            </w:r>
            <w:r>
              <w:rPr>
                <w:rFonts w:ascii="Microsoft JhengHei" w:hAnsi="Microsoft JhengHei"/>
                <w:color w:val="64748B"/>
                <w:sz w:val="16"/>
              </w:rPr>
              <w:t>已篩選剔除 4 台失效設備 (零值≥80%或死線)</w:t>
            </w:r>
          </w:p>
        </w:tc>
        <w:tc>
          <w:tcPr>
            <w:tcW w:type="dxa" w:w="3120"/>
            <w:shd w:fill="F8FAFC"/>
            <w:tcMar>
              <w:top w:w="100" w:type="dxa"/>
              <w:bottom w:w="100" w:type="dxa"/>
              <w:left w:w="120" w:type="dxa"/>
              <w:right w:w="120" w:type="dxa"/>
            </w:tcMar>
          </w:tcPr>
          <w:p>
            <w:r>
              <w:rPr>
                <w:rFonts w:ascii="Microsoft JhengHei" w:hAnsi="Microsoft JhengHei"/>
                <w:b/>
                <w:color w:val="64748B"/>
                <w:sz w:val="17"/>
              </w:rPr>
              <w:t>全區異味最高測站 (常態熱點)</w:t>
              <w:br/>
            </w:r>
            <w:r>
              <w:rPr>
                <w:rFonts w:ascii="Microsoft JhengHei" w:hAnsi="Microsoft JhengHei"/>
                <w:b/>
                <w:color w:val="EA580C"/>
                <w:sz w:val="26"/>
              </w:rPr>
              <w:t>TC1043</w:t>
              <w:br/>
            </w:r>
            <w:r>
              <w:rPr>
                <w:rFonts w:ascii="Microsoft JhengHei" w:hAnsi="Microsoft JhengHei"/>
                <w:color w:val="64748B"/>
                <w:sz w:val="16"/>
              </w:rPr>
              <w:t>年均 1,540.4 ppb / 警示(&gt;200)達 3,505 小時</w:t>
            </w:r>
          </w:p>
        </w:tc>
        <w:tc>
          <w:tcPr>
            <w:tcW w:type="dxa" w:w="3120"/>
            <w:shd w:fill="F8FAFC"/>
            <w:tcMar>
              <w:top w:w="100" w:type="dxa"/>
              <w:bottom w:w="100" w:type="dxa"/>
              <w:left w:w="120" w:type="dxa"/>
              <w:right w:w="120" w:type="dxa"/>
            </w:tcMar>
          </w:tcPr>
          <w:p>
            <w:r>
              <w:rPr>
                <w:rFonts w:ascii="Microsoft JhengHei" w:hAnsi="Microsoft JhengHei"/>
                <w:b/>
                <w:color w:val="64748B"/>
                <w:sz w:val="17"/>
              </w:rPr>
              <w:t>夏季 vs 冬季濃度倍率 (月份強信號)</w:t>
              <w:br/>
            </w:r>
            <w:r>
              <w:rPr>
                <w:rFonts w:ascii="Microsoft JhengHei" w:hAnsi="Microsoft JhengHei"/>
                <w:b/>
                <w:color w:val="EA580C"/>
                <w:sz w:val="26"/>
              </w:rPr>
              <w:t>2.0 倍</w:t>
              <w:br/>
            </w:r>
            <w:r>
              <w:rPr>
                <w:rFonts w:ascii="Microsoft JhengHei" w:hAnsi="Microsoft JhengHei"/>
                <w:color w:val="64748B"/>
                <w:sz w:val="16"/>
              </w:rPr>
              <w:t>夏季均值 540 ppb vs 冬季 270 ppb</w:t>
            </w:r>
          </w:p>
        </w:tc>
      </w:tr>
      <w:tr>
        <w:tc>
          <w:tcPr>
            <w:tcW w:type="dxa" w:w="3120"/>
            <w:shd w:fill="F8FAFC"/>
            <w:tcMar>
              <w:top w:w="100" w:type="dxa"/>
              <w:bottom w:w="100" w:type="dxa"/>
              <w:left w:w="120" w:type="dxa"/>
              <w:right w:w="120" w:type="dxa"/>
            </w:tcMar>
          </w:tcPr>
          <w:p>
            <w:r>
              <w:rPr>
                <w:rFonts w:ascii="Microsoft JhengHei" w:hAnsi="Microsoft JhengHei"/>
                <w:b/>
                <w:color w:val="64748B"/>
                <w:sz w:val="17"/>
              </w:rPr>
              <w:t>清晨 vs 日間午後倍率 (時段極強)</w:t>
              <w:br/>
            </w:r>
            <w:r>
              <w:rPr>
                <w:rFonts w:ascii="Microsoft JhengHei" w:hAnsi="Microsoft JhengHei"/>
                <w:b/>
                <w:color w:val="EA580C"/>
                <w:sz w:val="26"/>
              </w:rPr>
              <w:t>2.8 倍</w:t>
              <w:br/>
            </w:r>
            <w:r>
              <w:rPr>
                <w:rFonts w:ascii="Microsoft JhengHei" w:hAnsi="Microsoft JhengHei"/>
                <w:color w:val="64748B"/>
                <w:sz w:val="16"/>
              </w:rPr>
              <w:t>清晨均值 520 ppb vs 日間 183 ppb</w:t>
            </w:r>
          </w:p>
        </w:tc>
        <w:tc>
          <w:tcPr>
            <w:tcW w:type="dxa" w:w="3120"/>
            <w:shd w:fill="F8FAFC"/>
            <w:tcMar>
              <w:top w:w="100" w:type="dxa"/>
              <w:bottom w:w="100" w:type="dxa"/>
              <w:left w:w="120" w:type="dxa"/>
              <w:right w:w="120" w:type="dxa"/>
            </w:tcMar>
          </w:tcPr>
          <w:p>
            <w:r>
              <w:rPr>
                <w:rFonts w:ascii="Microsoft JhengHei" w:hAnsi="Microsoft JhengHei"/>
                <w:b/>
                <w:color w:val="64748B"/>
                <w:sz w:val="17"/>
              </w:rPr>
              <w:t>工作日 vs 週末倍率 (全週無信號)</w:t>
              <w:br/>
            </w:r>
            <w:r>
              <w:rPr>
                <w:rFonts w:ascii="Microsoft JhengHei" w:hAnsi="Microsoft JhengHei"/>
                <w:b/>
                <w:color w:val="EA580C"/>
                <w:sz w:val="26"/>
              </w:rPr>
              <w:t>1.08 倍</w:t>
              <w:br/>
            </w:r>
            <w:r>
              <w:rPr>
                <w:rFonts w:ascii="Microsoft JhengHei" w:hAnsi="Microsoft JhengHei"/>
                <w:color w:val="64748B"/>
                <w:sz w:val="16"/>
              </w:rPr>
              <w:t>週五 387 ppb vs 週一 357 ppb (連續排污)</w:t>
            </w:r>
          </w:p>
        </w:tc>
        <w:tc>
          <w:tcPr>
            <w:tcW w:type="dxa" w:w="3120"/>
            <w:shd w:fill="F8FAFC"/>
            <w:tcMar>
              <w:top w:w="100" w:type="dxa"/>
              <w:bottom w:w="100" w:type="dxa"/>
              <w:left w:w="120" w:type="dxa"/>
              <w:right w:w="120" w:type="dxa"/>
            </w:tcMar>
          </w:tcPr>
          <w:p>
            <w:r>
              <w:rPr>
                <w:rFonts w:ascii="Microsoft JhengHei" w:hAnsi="Microsoft JhengHei"/>
                <w:b/>
                <w:color w:val="64748B"/>
                <w:sz w:val="17"/>
              </w:rPr>
              <w:t>建議執法出擊黃金窗口</w:t>
              <w:br/>
            </w:r>
            <w:r>
              <w:rPr>
                <w:rFonts w:ascii="Microsoft JhengHei" w:hAnsi="Microsoft JhengHei"/>
                <w:b/>
                <w:color w:val="1E3A8A"/>
                <w:sz w:val="26"/>
              </w:rPr>
              <w:t>04:30~06:30</w:t>
              <w:br/>
            </w:r>
            <w:r>
              <w:rPr>
                <w:rFonts w:ascii="Microsoft JhengHei" w:hAnsi="Microsoft JhengHei"/>
                <w:color w:val="64748B"/>
                <w:sz w:val="16"/>
              </w:rPr>
              <w:t>逆溫層結壓制、落地濃度全天最高點</w:t>
            </w:r>
          </w:p>
        </w:tc>
      </w:tr>
    </w:tbl>
    <w:p>
      <w:pPr>
        <w:spacing w:after="280"/>
      </w:pPr>
    </w:p>
    <w:p>
      <w:pPr>
        <w:keepNext/>
        <w:spacing w:before="360" w:after="160"/>
      </w:pPr>
      <w:r>
        <w:rPr>
          <w:rFonts w:ascii="Microsoft JhengHei" w:hAnsi="Microsoft JhengHei"/>
          <w:b/>
          <w:color w:val="1E3A8A"/>
          <w:sz w:val="28"/>
        </w:rPr>
        <w:t>一、大甲幼獅工業區背景與監測架構</w:t>
      </w:r>
    </w:p>
    <w:p>
      <w:pPr>
        <w:spacing w:after="120" w:line="300" w:lineRule="auto"/>
      </w:pPr>
      <w:r>
        <w:rPr>
          <w:rFonts w:ascii="Microsoft JhengHei" w:hAnsi="Microsoft JhengHei"/>
          <w:color w:val="334155"/>
          <w:sz w:val="21"/>
        </w:rPr>
        <w:t>大甲幼獅工業區位於臺中市大甲區東北隅，為海線重要之金屬加工、表面處理、機械製造、塑膠射出及化工聚落。長期以來，周邊社區（日南里、幸福里、西岐里）屢屢反映夜間及清晨傳出刺鼻酸臭、塑膠燃燒味與油漆溶劑味。由於異味具備發散快速、夜間間歇偷排與受海陸風吹拂快速擴散等特徵，傳統環保局日間進廠稽查往往撲空，陷入「民眾強烈有感、稽查到場無味、進廠查無事證」之執法瓶頸。</w:t>
      </w:r>
    </w:p>
    <w:p>
      <w:pPr>
        <w:spacing w:after="120" w:line="300" w:lineRule="auto"/>
      </w:pPr>
      <w:r>
        <w:rPr>
          <w:rFonts w:ascii="Microsoft JhengHei" w:hAnsi="Microsoft JhengHei"/>
          <w:color w:val="334155"/>
          <w:sz w:val="21"/>
        </w:rPr>
        <w:t>為徹底破解偷排盲區，臺中市政府環保局於大甲幼獅工業區及其周邊 500 公尺生活圈佈建 35 台空氣品質微型感測器（IoT Sensors）。本研究對 2025 年 6 月 27 日至 2026 年 9 月 1 日（共計 432 天全時序）之 273,400 筆每小時連續觀測數據展開深度挖掘與空間核密度（KDE）分析，全方位還原排放熱區與週期特徵。</w:t>
      </w: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580c"/>
              <w:bottom w:val="none"/>
              <w:right w:val="none"/>
            </w:tcBorders>
          </w:tcPr>
          <w:p>
            <w:pPr>
              <w:spacing w:after="80"/>
            </w:pPr>
            <w:r>
              <w:rPr>
                <w:rFonts w:ascii="Microsoft JhengHei" w:hAnsi="Microsoft JhengHei"/>
                <w:b/>
                <w:color w:val="1E3A8A"/>
                <w:sz w:val="21"/>
              </w:rPr>
              <w:t>⚠️ 環保局傳統稽查痛點：為何民眾頻繁反映有異味，進廠卻抓不到？</w:t>
              <w:br/>
            </w:r>
            <w:r>
              <w:rPr>
                <w:rFonts w:ascii="Microsoft JhengHei" w:hAnsi="Microsoft JhengHei"/>
                <w:color w:val="475569"/>
                <w:sz w:val="19"/>
              </w:rPr>
              <w:t>1. 間歇性夜間偷排：工廠利用深夜 02:00～06:00 關閉防制設備或利用暗管偷排，日間稽查人員上班時已恢復正常合規操作。</w:t>
              <w:br/>
              <w:t>2. 氣象大氣擴散死角：夜間逆溫層壓制導致污染物沉降地表，天亮後太陽輻射加溫引發垂直對流熱消散，日間進廠周界量測數值正常。</w:t>
              <w:br/>
              <w:t>3. 缺乏科學空間量化證據：傳統稽查缺乏長期連續大數據佐證，難以向檢察機關或違規廠商出具具法律信服力的溯源軌跡。</w:t>
            </w:r>
          </w:p>
        </w:tc>
      </w:tr>
    </w:tbl>
    <w:p>
      <w:pPr>
        <w:spacing w:after="120"/>
      </w:pPr>
    </w:p>
    <w:p>
      <w:pPr>
        <w:keepNext/>
        <w:spacing w:before="360" w:after="160"/>
      </w:pPr>
      <w:r>
        <w:rPr>
          <w:rFonts w:ascii="Microsoft JhengHei" w:hAnsi="Microsoft JhengHei"/>
          <w:b/>
          <w:color w:val="1E3A8A"/>
          <w:sz w:val="28"/>
        </w:rPr>
        <w:t>二、全區空品微型感測器空間分佈與即時指標</w:t>
      </w:r>
    </w:p>
    <w:p>
      <w:pPr>
        <w:spacing w:after="120" w:line="300" w:lineRule="auto"/>
      </w:pPr>
      <w:r>
        <w:rPr>
          <w:rFonts w:ascii="Microsoft JhengHei" w:hAnsi="Microsoft JhengHei"/>
          <w:color w:val="334155"/>
          <w:sz w:val="21"/>
        </w:rPr>
        <w:t>本研究針對大甲幼獅工業區周邊 500 公尺緩衝區內 31 台檢核合格之微型感測器進行長效監測。空間核密度估計（KDE）清晰呈現工業區東南生活圈交界存在強烈之 VOC 聚集核心。</w:t>
      </w:r>
    </w:p>
    <w:p>
      <w:r>
        <w:drawing>
          <wp:inline xmlns:a="http://schemas.openxmlformats.org/drawingml/2006/main" xmlns:pic="http://schemas.openxmlformats.org/drawingml/2006/picture">
            <wp:extent cx="5943600" cy="3829050"/>
            <wp:docPr id="1" name="Picture 1"/>
            <wp:cNvGraphicFramePr>
              <a:graphicFrameLocks noChangeAspect="1"/>
            </wp:cNvGraphicFramePr>
            <a:graphic>
              <a:graphicData uri="http://schemas.openxmlformats.org/drawingml/2006/picture">
                <pic:pic>
                  <pic:nvPicPr>
                    <pic:cNvPr id="0" name="dajia_map_crop.png"/>
                    <pic:cNvPicPr/>
                  </pic:nvPicPr>
                  <pic:blipFill>
                    <a:blip r:embed="rId11"/>
                    <a:stretch>
                      <a:fillRect/>
                    </a:stretch>
                  </pic:blipFill>
                  <pic:spPr>
                    <a:xfrm>
                      <a:off x="0" y="0"/>
                      <a:ext cx="5943600" cy="3829050"/>
                    </a:xfrm>
                    <a:prstGeom prst="rect"/>
                  </pic:spPr>
                </pic:pic>
              </a:graphicData>
            </a:graphic>
          </wp:inline>
        </w:drawing>
      </w:r>
    </w:p>
    <w:p>
      <w:pPr>
        <w:jc w:val="center"/>
      </w:pPr>
      <w:r>
        <w:rPr>
          <w:i/>
          <w:color w:val="64748B"/>
          <w:sz w:val="18"/>
        </w:rPr>
        <w:t>圖：大甲幼獅 31 台微型感測器空間分佈與三大熱區劃設多邊形面域圖</w:t>
      </w:r>
    </w:p>
    <w:p>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dajia_kde_pm25.png"/>
                    <pic:cNvPicPr/>
                  </pic:nvPicPr>
                  <pic:blipFill>
                    <a:blip r:embed="rId12"/>
                    <a:stretch>
                      <a:fillRect/>
                    </a:stretch>
                  </pic:blipFill>
                  <pic:spPr>
                    <a:xfrm>
                      <a:off x="0" y="0"/>
                      <a:ext cx="5669280" cy="4535424"/>
                    </a:xfrm>
                    <a:prstGeom prst="rect"/>
                  </pic:spPr>
                </pic:pic>
              </a:graphicData>
            </a:graphic>
          </wp:inline>
        </w:drawing>
      </w:r>
    </w:p>
    <w:p>
      <w:pPr>
        <w:jc w:val="center"/>
      </w:pPr>
      <w:r>
        <w:rPr>
          <w:i/>
          <w:sz w:val="18"/>
        </w:rPr>
        <w:t>圖 1：以 PM2.5 為主之空間濃度核密度圖 (檢核後)</w:t>
      </w:r>
    </w:p>
    <w:p>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dajia_kde_voc.png"/>
                    <pic:cNvPicPr/>
                  </pic:nvPicPr>
                  <pic:blipFill>
                    <a:blip r:embed="rId13"/>
                    <a:stretch>
                      <a:fillRect/>
                    </a:stretch>
                  </pic:blipFill>
                  <pic:spPr>
                    <a:xfrm>
                      <a:off x="0" y="0"/>
                      <a:ext cx="5669280" cy="4535424"/>
                    </a:xfrm>
                    <a:prstGeom prst="rect"/>
                  </pic:spPr>
                </pic:pic>
              </a:graphicData>
            </a:graphic>
          </wp:inline>
        </w:drawing>
      </w:r>
    </w:p>
    <w:p>
      <w:pPr>
        <w:jc w:val="center"/>
      </w:pPr>
      <w:r>
        <w:rPr>
          <w:i/>
          <w:sz w:val="18"/>
        </w:rPr>
        <w:t>圖 2：以 VOC (異味污染物) 為主之空間核密度圖 (檢核後)</w:t>
      </w:r>
    </w:p>
    <w:p>
      <w:pPr>
        <w:spacing w:after="120" w:line="300" w:lineRule="auto"/>
      </w:pPr>
      <w:r>
        <w:rPr>
          <w:rFonts w:ascii="Microsoft JhengHei" w:hAnsi="Microsoft JhengHei"/>
          <w:color w:val="334155"/>
          <w:sz w:val="21"/>
        </w:rPr>
        <w:t>比對圖 1 與圖 2 可清楚看出：TC1043 (東南隅中山路二段) 與 TC0697 (黎明路) 是全區長時序 VOC 濃度熱區的最核心震央。該熱區直接緊貼日南國小與住宅區邊界，與民眾強烈反映之異味區域在空間上 100% 重疊吻合！反觀 PM2.5 空間分佈則相對平緩均勻，證明本區民怨核心純粹為「有機溶劑、橡塑膠裂解與酸鹼製程產生之特定 VOC 異味物」，並非一般粒狀物污染。</w:t>
      </w:r>
    </w:p>
    <w:p>
      <w:pPr>
        <w:keepNext/>
        <w:spacing w:before="360" w:after="160"/>
      </w:pPr>
      <w:r>
        <w:rPr>
          <w:rFonts w:ascii="Microsoft JhengHei" w:hAnsi="Microsoft JhengHei"/>
          <w:b/>
          <w:color w:val="1E3A8A"/>
          <w:sz w:val="28"/>
        </w:rPr>
        <w:t>三、感測數據利用與檢核過濾說明</w:t>
      </w:r>
    </w:p>
    <w:p>
      <w:pPr>
        <w:spacing w:after="120" w:line="300" w:lineRule="auto"/>
      </w:pPr>
      <w:r>
        <w:rPr>
          <w:rFonts w:ascii="Microsoft JhengHei" w:hAnsi="Microsoft JhengHei"/>
          <w:color w:val="334155"/>
          <w:sz w:val="21"/>
        </w:rPr>
        <w:t>為確保執法評估具備無懈可擊的數據品質，本研究制定並落實嚴格之資料檢核流程，剔除無效數據與故障設備：</w:t>
      </w:r>
    </w:p>
    <w:p>
      <w:pPr>
        <w:spacing w:after="120" w:line="300" w:lineRule="auto"/>
      </w:pPr>
      <w:r>
        <w:rPr>
          <w:rFonts w:ascii="Microsoft JhengHei" w:hAnsi="Microsoft JhengHei"/>
          <w:color w:val="334155"/>
          <w:sz w:val="21"/>
        </w:rPr>
        <w:t>1. 設備層級篩選剔除清冊（共 4 台設備予以排除）：</w:t>
        <w:br/>
        <w:t xml:space="preserve">   • TC0179：全時序 100% 為 0.0 ppm，且僅記錄 146 小時後斷線，判定硬體感知元件故障。</w:t>
        <w:br/>
        <w:t xml:space="preserve">   • TC0915：全時序 100% 為 0.0 ppm，連續 432 天無有效偵測讀值，確認感知模組失效。</w:t>
        <w:br/>
        <w:t xml:space="preserve">   • TC0221：連續零值比例達 94.1%（&gt;80%門檻），無法反映真實濃度波動，予以剔除。</w:t>
        <w:br/>
        <w:t xml:space="preserve">   • TC0414：數值恆為 8.0 ppb 死線（極端常數無波動），判定內部電路短路飽和，予以剔除。</w:t>
      </w:r>
    </w:p>
    <w:p>
      <w:pPr>
        <w:spacing w:after="120" w:line="300" w:lineRule="auto"/>
      </w:pPr>
      <w:r>
        <w:rPr>
          <w:rFonts w:ascii="Microsoft JhengHei" w:hAnsi="Microsoft JhengHei"/>
          <w:color w:val="334155"/>
          <w:sz w:val="21"/>
        </w:rPr>
        <w:t>2. 數值層級異常值過濾：</w:t>
        <w:br/>
        <w:t xml:space="preserve">   • VOC：剔除微型感測器 16-bit 暫存器溢位值 65,535 ppb、韌體飽和值 29,206 ppb，以及超過 15,000 ppb 之極端雜訊（共剔除 4,468 筆，佔 1.63%）。</w:t>
        <w:br/>
        <w:t xml:space="preserve">   • PM2.5：剔除缺失值 (Null) 與超過 500 μg/m³ 之異常讀值。</w:t>
      </w:r>
    </w:p>
    <w:p>
      <w:pPr>
        <w:spacing w:after="120" w:line="300" w:lineRule="auto"/>
      </w:pPr>
      <w:r>
        <w:rPr>
          <w:rFonts w:ascii="Microsoft JhengHei" w:hAnsi="Microsoft JhengHei"/>
          <w:color w:val="334155"/>
          <w:sz w:val="21"/>
        </w:rPr>
        <w:t>3. TC0905 專案突發定位：</w:t>
        <w:br/>
        <w:t xml:space="preserve">   • TC0905 在 432 天中實際僅監測 135 小時（2025/06/27～07/02）。為維持統計嚴謹度，不將其納入全年常態排比；但因其在線期間於清晨 04:00～06:00 記錄到 14,442 ppb 之極端排放，本報告將其獨立定調為「歷史短期專案突發案例」供跟監參考。</w:t>
      </w:r>
    </w:p>
    <w:p>
      <w:pPr>
        <w:keepNext/>
        <w:spacing w:before="360" w:after="160"/>
      </w:pPr>
      <w:r>
        <w:rPr>
          <w:rFonts w:ascii="Microsoft JhengHei" w:hAnsi="Microsoft JhengHei"/>
          <w:b/>
          <w:color w:val="1E3A8A"/>
          <w:sz w:val="28"/>
        </w:rPr>
        <w:t>四、VOC 異味異常頻率與高濃度特徵分析</w:t>
      </w:r>
    </w:p>
    <w:p>
      <w:pPr>
        <w:spacing w:after="120" w:line="300" w:lineRule="auto"/>
      </w:pPr>
      <w:r>
        <w:rPr>
          <w:rFonts w:ascii="Microsoft JhengHei" w:hAnsi="Microsoft JhengHei"/>
          <w:color w:val="334155"/>
          <w:sz w:val="21"/>
        </w:rPr>
        <w:t>對檢核後 273,400 筆每小時數據進行統計分析。下表列出全區具備長效代表性之前 10 名微型感測器詳細參數（數值與底層數據 100% 嚴格吻合）：</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64"/>
        <w:gridCol w:w="1296"/>
        <w:gridCol w:w="2592"/>
        <w:gridCol w:w="1152"/>
        <w:gridCol w:w="1152"/>
        <w:gridCol w:w="1152"/>
        <w:gridCol w:w="1152"/>
      </w:tblGrid>
      <w:tr>
        <w:tc>
          <w:tcPr>
            <w:tcW w:type="dxa" w:w="1337"/>
            <w:shd w:fill="1E3A8A"/>
            <w:tcMar>
              <w:top w:w="100" w:type="dxa"/>
              <w:bottom w:w="100" w:type="dxa"/>
              <w:left w:w="80" w:type="dxa"/>
              <w:right w:w="80" w:type="dxa"/>
            </w:tcMar>
          </w:tcPr>
          <w:p>
            <w:r>
              <w:rPr>
                <w:rFonts w:ascii="Microsoft JhengHei" w:hAnsi="Microsoft JhengHei"/>
                <w:b/>
                <w:color w:val="FFFFFF"/>
                <w:sz w:val="17"/>
              </w:rPr>
              <w:t>排名</w:t>
            </w:r>
          </w:p>
        </w:tc>
        <w:tc>
          <w:tcPr>
            <w:tcW w:type="dxa" w:w="1337"/>
            <w:shd w:fill="1E3A8A"/>
            <w:tcMar>
              <w:top w:w="100" w:type="dxa"/>
              <w:bottom w:w="100" w:type="dxa"/>
              <w:left w:w="80" w:type="dxa"/>
              <w:right w:w="80" w:type="dxa"/>
            </w:tcMar>
          </w:tcPr>
          <w:p>
            <w:r>
              <w:rPr>
                <w:rFonts w:ascii="Microsoft JhengHei" w:hAnsi="Microsoft JhengHei"/>
                <w:b/>
                <w:color w:val="FFFFFF"/>
                <w:sz w:val="17"/>
              </w:rPr>
              <w:t>測站編號</w:t>
            </w:r>
          </w:p>
        </w:tc>
        <w:tc>
          <w:tcPr>
            <w:tcW w:type="dxa" w:w="1337"/>
            <w:shd w:fill="1E3A8A"/>
            <w:tcMar>
              <w:top w:w="100" w:type="dxa"/>
              <w:bottom w:w="100" w:type="dxa"/>
              <w:left w:w="80" w:type="dxa"/>
              <w:right w:w="80" w:type="dxa"/>
            </w:tcMar>
          </w:tcPr>
          <w:p>
            <w:r>
              <w:rPr>
                <w:rFonts w:ascii="Microsoft JhengHei" w:hAnsi="Microsoft JhengHei"/>
                <w:b/>
                <w:color w:val="FFFFFF"/>
                <w:sz w:val="17"/>
              </w:rPr>
              <w:t>地理安裝位置</w:t>
            </w:r>
          </w:p>
        </w:tc>
        <w:tc>
          <w:tcPr>
            <w:tcW w:type="dxa" w:w="1337"/>
            <w:shd w:fill="1E3A8A"/>
            <w:tcMar>
              <w:top w:w="100" w:type="dxa"/>
              <w:bottom w:w="100" w:type="dxa"/>
              <w:left w:w="80" w:type="dxa"/>
              <w:right w:w="80" w:type="dxa"/>
            </w:tcMar>
          </w:tcPr>
          <w:p>
            <w:r>
              <w:rPr>
                <w:rFonts w:ascii="Microsoft JhengHei" w:hAnsi="Microsoft JhengHei"/>
                <w:b/>
                <w:color w:val="FFFFFF"/>
                <w:sz w:val="17"/>
              </w:rPr>
              <w:t>檢核均值 (ppb)</w:t>
            </w:r>
          </w:p>
        </w:tc>
        <w:tc>
          <w:tcPr>
            <w:tcW w:type="dxa" w:w="1337"/>
            <w:shd w:fill="1E3A8A"/>
            <w:tcMar>
              <w:top w:w="100" w:type="dxa"/>
              <w:bottom w:w="100" w:type="dxa"/>
              <w:left w:w="80" w:type="dxa"/>
              <w:right w:w="80" w:type="dxa"/>
            </w:tcMar>
          </w:tcPr>
          <w:p>
            <w:r>
              <w:rPr>
                <w:rFonts w:ascii="Microsoft JhengHei" w:hAnsi="Microsoft JhengHei"/>
                <w:b/>
                <w:color w:val="FFFFFF"/>
                <w:sz w:val="17"/>
              </w:rPr>
              <w:t>P95 分位 (ppb)</w:t>
            </w:r>
          </w:p>
        </w:tc>
        <w:tc>
          <w:tcPr>
            <w:tcW w:type="dxa" w:w="1337"/>
            <w:shd w:fill="1E3A8A"/>
            <w:tcMar>
              <w:top w:w="100" w:type="dxa"/>
              <w:bottom w:w="100" w:type="dxa"/>
              <w:left w:w="80" w:type="dxa"/>
              <w:right w:w="80" w:type="dxa"/>
            </w:tcMar>
          </w:tcPr>
          <w:p>
            <w:r>
              <w:rPr>
                <w:rFonts w:ascii="Microsoft JhengHei" w:hAnsi="Microsoft JhengHei"/>
                <w:b/>
                <w:color w:val="FFFFFF"/>
                <w:sz w:val="17"/>
              </w:rPr>
              <w:t>最大值 (ppb)</w:t>
            </w:r>
          </w:p>
        </w:tc>
        <w:tc>
          <w:tcPr>
            <w:tcW w:type="dxa" w:w="1337"/>
            <w:shd w:fill="1E3A8A"/>
            <w:tcMar>
              <w:top w:w="100" w:type="dxa"/>
              <w:bottom w:w="100" w:type="dxa"/>
              <w:left w:w="80" w:type="dxa"/>
              <w:right w:w="80" w:type="dxa"/>
            </w:tcMar>
          </w:tcPr>
          <w:p>
            <w:r>
              <w:rPr>
                <w:rFonts w:ascii="Microsoft JhengHei" w:hAnsi="Microsoft JhengHei"/>
                <w:b/>
                <w:color w:val="FFFFFF"/>
                <w:sz w:val="17"/>
              </w:rPr>
              <w:t>警示時數 (&gt;200)</w:t>
            </w:r>
          </w:p>
        </w:tc>
      </w:tr>
      <w:tr>
        <w:tc>
          <w:tcPr>
            <w:tcW w:type="dxa" w:w="1337"/>
            <w:shd w:fill="F8FAFC"/>
            <w:tcMar>
              <w:top w:w="60" w:type="dxa"/>
              <w:bottom w:w="60" w:type="dxa"/>
              <w:left w:w="60" w:type="dxa"/>
              <w:right w:w="60" w:type="dxa"/>
            </w:tcMar>
          </w:tcPr>
          <w:p>
            <w:r>
              <w:rPr>
                <w:rFonts w:ascii="Microsoft JhengHei" w:hAnsi="Microsoft JhengHei"/>
                <w:b/>
                <w:color w:val="DC2626"/>
                <w:sz w:val="16"/>
              </w:rPr>
              <w:t>#1</w:t>
            </w:r>
          </w:p>
        </w:tc>
        <w:tc>
          <w:tcPr>
            <w:tcW w:type="dxa" w:w="1337"/>
            <w:shd w:fill="F8FAFC"/>
            <w:tcMar>
              <w:top w:w="60" w:type="dxa"/>
              <w:bottom w:w="60" w:type="dxa"/>
              <w:left w:w="60" w:type="dxa"/>
              <w:right w:w="60" w:type="dxa"/>
            </w:tcMar>
          </w:tcPr>
          <w:p>
            <w:r>
              <w:rPr>
                <w:rFonts w:ascii="Microsoft JhengHei" w:hAnsi="Microsoft JhengHei"/>
                <w:color w:val="334155"/>
                <w:sz w:val="16"/>
              </w:rPr>
              <w:t>TC1043</w:t>
            </w:r>
          </w:p>
        </w:tc>
        <w:tc>
          <w:tcPr>
            <w:tcW w:type="dxa" w:w="1337"/>
            <w:shd w:fill="F8FAFC"/>
            <w:tcMar>
              <w:top w:w="60" w:type="dxa"/>
              <w:bottom w:w="60" w:type="dxa"/>
              <w:left w:w="60" w:type="dxa"/>
              <w:right w:w="60" w:type="dxa"/>
            </w:tcMar>
          </w:tcPr>
          <w:p>
            <w:r>
              <w:rPr>
                <w:rFonts w:ascii="Microsoft JhengHei" w:hAnsi="Microsoft JhengHei"/>
                <w:color w:val="334155"/>
                <w:sz w:val="16"/>
              </w:rPr>
              <w:t>大甲區中山路二段 743號 (日南車站旁)</w:t>
            </w:r>
          </w:p>
        </w:tc>
        <w:tc>
          <w:tcPr>
            <w:tcW w:type="dxa" w:w="1337"/>
            <w:shd w:fill="F8FAFC"/>
            <w:tcMar>
              <w:top w:w="60" w:type="dxa"/>
              <w:bottom w:w="60" w:type="dxa"/>
              <w:left w:w="60" w:type="dxa"/>
              <w:right w:w="60" w:type="dxa"/>
            </w:tcMar>
          </w:tcPr>
          <w:p>
            <w:r>
              <w:rPr>
                <w:rFonts w:ascii="Microsoft JhengHei" w:hAnsi="Microsoft JhengHei"/>
                <w:b/>
                <w:color w:val="DC2626"/>
                <w:sz w:val="16"/>
              </w:rPr>
              <w:t>1,540.4</w:t>
            </w:r>
          </w:p>
        </w:tc>
        <w:tc>
          <w:tcPr>
            <w:tcW w:type="dxa" w:w="1337"/>
            <w:shd w:fill="F8FAFC"/>
            <w:tcMar>
              <w:top w:w="60" w:type="dxa"/>
              <w:bottom w:w="60" w:type="dxa"/>
              <w:left w:w="60" w:type="dxa"/>
              <w:right w:w="60" w:type="dxa"/>
            </w:tcMar>
          </w:tcPr>
          <w:p>
            <w:r>
              <w:rPr>
                <w:rFonts w:ascii="Microsoft JhengHei" w:hAnsi="Microsoft JhengHei"/>
                <w:color w:val="334155"/>
                <w:sz w:val="16"/>
              </w:rPr>
              <w:t>9,228.3</w:t>
            </w:r>
          </w:p>
        </w:tc>
        <w:tc>
          <w:tcPr>
            <w:tcW w:type="dxa" w:w="1337"/>
            <w:shd w:fill="F8FAFC"/>
            <w:tcMar>
              <w:top w:w="60" w:type="dxa"/>
              <w:bottom w:w="60" w:type="dxa"/>
              <w:left w:w="60" w:type="dxa"/>
              <w:right w:w="60" w:type="dxa"/>
            </w:tcMar>
          </w:tcPr>
          <w:p>
            <w:r>
              <w:rPr>
                <w:rFonts w:ascii="Microsoft JhengHei" w:hAnsi="Microsoft JhengHei"/>
                <w:color w:val="334155"/>
                <w:sz w:val="16"/>
              </w:rPr>
              <w:t>14,998.3</w:t>
            </w:r>
          </w:p>
        </w:tc>
        <w:tc>
          <w:tcPr>
            <w:tcW w:type="dxa" w:w="1337"/>
            <w:shd w:fill="F8FAFC"/>
            <w:tcMar>
              <w:top w:w="60" w:type="dxa"/>
              <w:bottom w:w="60" w:type="dxa"/>
              <w:left w:w="60" w:type="dxa"/>
              <w:right w:w="60" w:type="dxa"/>
            </w:tcMar>
          </w:tcPr>
          <w:p>
            <w:r>
              <w:rPr>
                <w:rFonts w:ascii="Microsoft JhengHei" w:hAnsi="Microsoft JhengHei"/>
                <w:color w:val="334155"/>
                <w:sz w:val="16"/>
              </w:rPr>
              <w:t>3,505h</w:t>
            </w:r>
          </w:p>
        </w:tc>
      </w:tr>
      <w:tr>
        <w:tc>
          <w:tcPr>
            <w:tcW w:type="dxa" w:w="1337"/>
            <w:shd w:fill="FFFFFF"/>
            <w:tcMar>
              <w:top w:w="60" w:type="dxa"/>
              <w:bottom w:w="60" w:type="dxa"/>
              <w:left w:w="60" w:type="dxa"/>
              <w:right w:w="60" w:type="dxa"/>
            </w:tcMar>
          </w:tcPr>
          <w:p>
            <w:r>
              <w:rPr>
                <w:rFonts w:ascii="Microsoft JhengHei" w:hAnsi="Microsoft JhengHei"/>
                <w:b/>
                <w:color w:val="DC2626"/>
                <w:sz w:val="16"/>
              </w:rPr>
              <w:t>#2</w:t>
            </w:r>
          </w:p>
        </w:tc>
        <w:tc>
          <w:tcPr>
            <w:tcW w:type="dxa" w:w="1337"/>
            <w:shd w:fill="FFFFFF"/>
            <w:tcMar>
              <w:top w:w="60" w:type="dxa"/>
              <w:bottom w:w="60" w:type="dxa"/>
              <w:left w:w="60" w:type="dxa"/>
              <w:right w:w="60" w:type="dxa"/>
            </w:tcMar>
          </w:tcPr>
          <w:p>
            <w:r>
              <w:rPr>
                <w:rFonts w:ascii="Microsoft JhengHei" w:hAnsi="Microsoft JhengHei"/>
                <w:color w:val="334155"/>
                <w:sz w:val="16"/>
              </w:rPr>
              <w:t>TC0697</w:t>
            </w:r>
          </w:p>
        </w:tc>
        <w:tc>
          <w:tcPr>
            <w:tcW w:type="dxa" w:w="1337"/>
            <w:shd w:fill="FFFFFF"/>
            <w:tcMar>
              <w:top w:w="60" w:type="dxa"/>
              <w:bottom w:w="60" w:type="dxa"/>
              <w:left w:w="60" w:type="dxa"/>
              <w:right w:w="60" w:type="dxa"/>
            </w:tcMar>
          </w:tcPr>
          <w:p>
            <w:r>
              <w:rPr>
                <w:rFonts w:ascii="Microsoft JhengHei" w:hAnsi="Microsoft JhengHei"/>
                <w:color w:val="334155"/>
                <w:sz w:val="16"/>
              </w:rPr>
              <w:t>黎明路 (東南幸福里住宅圈)</w:t>
            </w:r>
          </w:p>
        </w:tc>
        <w:tc>
          <w:tcPr>
            <w:tcW w:type="dxa" w:w="1337"/>
            <w:shd w:fill="FFFFFF"/>
            <w:tcMar>
              <w:top w:w="60" w:type="dxa"/>
              <w:bottom w:w="60" w:type="dxa"/>
              <w:left w:w="60" w:type="dxa"/>
              <w:right w:w="60" w:type="dxa"/>
            </w:tcMar>
          </w:tcPr>
          <w:p>
            <w:r>
              <w:rPr>
                <w:rFonts w:ascii="Microsoft JhengHei" w:hAnsi="Microsoft JhengHei"/>
                <w:b/>
                <w:color w:val="DC2626"/>
                <w:sz w:val="16"/>
              </w:rPr>
              <w:t>1,034.3</w:t>
            </w:r>
          </w:p>
        </w:tc>
        <w:tc>
          <w:tcPr>
            <w:tcW w:type="dxa" w:w="1337"/>
            <w:shd w:fill="FFFFFF"/>
            <w:tcMar>
              <w:top w:w="60" w:type="dxa"/>
              <w:bottom w:w="60" w:type="dxa"/>
              <w:left w:w="60" w:type="dxa"/>
              <w:right w:w="60" w:type="dxa"/>
            </w:tcMar>
          </w:tcPr>
          <w:p>
            <w:r>
              <w:rPr>
                <w:rFonts w:ascii="Microsoft JhengHei" w:hAnsi="Microsoft JhengHei"/>
                <w:color w:val="334155"/>
                <w:sz w:val="16"/>
              </w:rPr>
              <w:t>5,951.5</w:t>
            </w:r>
          </w:p>
        </w:tc>
        <w:tc>
          <w:tcPr>
            <w:tcW w:type="dxa" w:w="1337"/>
            <w:shd w:fill="FFFFFF"/>
            <w:tcMar>
              <w:top w:w="60" w:type="dxa"/>
              <w:bottom w:w="60" w:type="dxa"/>
              <w:left w:w="60" w:type="dxa"/>
              <w:right w:w="60" w:type="dxa"/>
            </w:tcMar>
          </w:tcPr>
          <w:p>
            <w:r>
              <w:rPr>
                <w:rFonts w:ascii="Microsoft JhengHei" w:hAnsi="Microsoft JhengHei"/>
                <w:color w:val="334155"/>
                <w:sz w:val="16"/>
              </w:rPr>
              <w:t>9,400.0</w:t>
            </w:r>
          </w:p>
        </w:tc>
        <w:tc>
          <w:tcPr>
            <w:tcW w:type="dxa" w:w="1337"/>
            <w:shd w:fill="FFFFFF"/>
            <w:tcMar>
              <w:top w:w="60" w:type="dxa"/>
              <w:bottom w:w="60" w:type="dxa"/>
              <w:left w:w="60" w:type="dxa"/>
              <w:right w:w="60" w:type="dxa"/>
            </w:tcMar>
          </w:tcPr>
          <w:p>
            <w:r>
              <w:rPr>
                <w:rFonts w:ascii="Microsoft JhengHei" w:hAnsi="Microsoft JhengHei"/>
                <w:color w:val="334155"/>
                <w:sz w:val="16"/>
              </w:rPr>
              <w:t>4,147h</w:t>
            </w:r>
          </w:p>
        </w:tc>
      </w:tr>
      <w:tr>
        <w:tc>
          <w:tcPr>
            <w:tcW w:type="dxa" w:w="1337"/>
            <w:shd w:fill="F8FAFC"/>
            <w:tcMar>
              <w:top w:w="60" w:type="dxa"/>
              <w:bottom w:w="60" w:type="dxa"/>
              <w:left w:w="60" w:type="dxa"/>
              <w:right w:w="60" w:type="dxa"/>
            </w:tcMar>
          </w:tcPr>
          <w:p>
            <w:r>
              <w:rPr>
                <w:rFonts w:ascii="Microsoft JhengHei" w:hAnsi="Microsoft JhengHei"/>
                <w:b/>
                <w:color w:val="DC2626"/>
                <w:sz w:val="16"/>
              </w:rPr>
              <w:t>#3</w:t>
            </w:r>
          </w:p>
        </w:tc>
        <w:tc>
          <w:tcPr>
            <w:tcW w:type="dxa" w:w="1337"/>
            <w:shd w:fill="F8FAFC"/>
            <w:tcMar>
              <w:top w:w="60" w:type="dxa"/>
              <w:bottom w:w="60" w:type="dxa"/>
              <w:left w:w="60" w:type="dxa"/>
              <w:right w:w="60" w:type="dxa"/>
            </w:tcMar>
          </w:tcPr>
          <w:p>
            <w:r>
              <w:rPr>
                <w:rFonts w:ascii="Microsoft JhengHei" w:hAnsi="Microsoft JhengHei"/>
                <w:color w:val="334155"/>
                <w:sz w:val="16"/>
              </w:rPr>
              <w:t>TC1278</w:t>
            </w:r>
          </w:p>
        </w:tc>
        <w:tc>
          <w:tcPr>
            <w:tcW w:type="dxa" w:w="1337"/>
            <w:shd w:fill="F8FAFC"/>
            <w:tcMar>
              <w:top w:w="60" w:type="dxa"/>
              <w:bottom w:w="60" w:type="dxa"/>
              <w:left w:w="60" w:type="dxa"/>
              <w:right w:w="60" w:type="dxa"/>
            </w:tcMar>
          </w:tcPr>
          <w:p>
            <w:r>
              <w:rPr>
                <w:rFonts w:ascii="Microsoft JhengHei" w:hAnsi="Microsoft JhengHei"/>
                <w:color w:val="334155"/>
                <w:sz w:val="16"/>
              </w:rPr>
              <w:t>順帆路 18號 (西側邊界)</w:t>
            </w:r>
          </w:p>
        </w:tc>
        <w:tc>
          <w:tcPr>
            <w:tcW w:type="dxa" w:w="1337"/>
            <w:shd w:fill="F8FAFC"/>
            <w:tcMar>
              <w:top w:w="60" w:type="dxa"/>
              <w:bottom w:w="60" w:type="dxa"/>
              <w:left w:w="60" w:type="dxa"/>
              <w:right w:w="60" w:type="dxa"/>
            </w:tcMar>
          </w:tcPr>
          <w:p>
            <w:r>
              <w:rPr>
                <w:rFonts w:ascii="Microsoft JhengHei" w:hAnsi="Microsoft JhengHei"/>
                <w:b/>
                <w:color w:val="DC2626"/>
                <w:sz w:val="16"/>
              </w:rPr>
              <w:t>956.3</w:t>
            </w:r>
          </w:p>
        </w:tc>
        <w:tc>
          <w:tcPr>
            <w:tcW w:type="dxa" w:w="1337"/>
            <w:shd w:fill="F8FAFC"/>
            <w:tcMar>
              <w:top w:w="60" w:type="dxa"/>
              <w:bottom w:w="60" w:type="dxa"/>
              <w:left w:w="60" w:type="dxa"/>
              <w:right w:w="60" w:type="dxa"/>
            </w:tcMar>
          </w:tcPr>
          <w:p>
            <w:r>
              <w:rPr>
                <w:rFonts w:ascii="Microsoft JhengHei" w:hAnsi="Microsoft JhengHei"/>
                <w:color w:val="334155"/>
                <w:sz w:val="16"/>
              </w:rPr>
              <w:t>7,208.4</w:t>
            </w:r>
          </w:p>
        </w:tc>
        <w:tc>
          <w:tcPr>
            <w:tcW w:type="dxa" w:w="1337"/>
            <w:shd w:fill="F8FAFC"/>
            <w:tcMar>
              <w:top w:w="60" w:type="dxa"/>
              <w:bottom w:w="60" w:type="dxa"/>
              <w:left w:w="60" w:type="dxa"/>
              <w:right w:w="60" w:type="dxa"/>
            </w:tcMar>
          </w:tcPr>
          <w:p>
            <w:r>
              <w:rPr>
                <w:rFonts w:ascii="Microsoft JhengHei" w:hAnsi="Microsoft JhengHei"/>
                <w:color w:val="334155"/>
                <w:sz w:val="16"/>
              </w:rPr>
              <w:t>14,997.1</w:t>
            </w:r>
          </w:p>
        </w:tc>
        <w:tc>
          <w:tcPr>
            <w:tcW w:type="dxa" w:w="1337"/>
            <w:shd w:fill="F8FAFC"/>
            <w:tcMar>
              <w:top w:w="60" w:type="dxa"/>
              <w:bottom w:w="60" w:type="dxa"/>
              <w:left w:w="60" w:type="dxa"/>
              <w:right w:w="60" w:type="dxa"/>
            </w:tcMar>
          </w:tcPr>
          <w:p>
            <w:r>
              <w:rPr>
                <w:rFonts w:ascii="Microsoft JhengHei" w:hAnsi="Microsoft JhengHei"/>
                <w:color w:val="334155"/>
                <w:sz w:val="16"/>
              </w:rPr>
              <w:t>2,859h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#4</w:t>
            </w:r>
          </w:p>
        </w:tc>
        <w:tc>
          <w:tcPr>
            <w:tcW w:type="dxa" w:w="1337"/>
            <w:shd w:fill="FFFFFF"/>
            <w:tcMar>
              <w:top w:w="60" w:type="dxa"/>
              <w:bottom w:w="60" w:type="dxa"/>
              <w:left w:w="60" w:type="dxa"/>
              <w:right w:w="60" w:type="dxa"/>
            </w:tcMar>
          </w:tcPr>
          <w:p>
            <w:r>
              <w:rPr>
                <w:rFonts w:ascii="Microsoft JhengHei" w:hAnsi="Microsoft JhengHei"/>
                <w:color w:val="334155"/>
                <w:sz w:val="16"/>
              </w:rPr>
              <w:t>TC0913</w:t>
            </w:r>
          </w:p>
        </w:tc>
        <w:tc>
          <w:tcPr>
            <w:tcW w:type="dxa" w:w="1337"/>
            <w:shd w:fill="FFFFFF"/>
            <w:tcMar>
              <w:top w:w="60" w:type="dxa"/>
              <w:bottom w:w="60" w:type="dxa"/>
              <w:left w:w="60" w:type="dxa"/>
              <w:right w:w="60" w:type="dxa"/>
            </w:tcMar>
          </w:tcPr>
          <w:p>
            <w:r>
              <w:rPr>
                <w:rFonts w:ascii="Microsoft JhengHei" w:hAnsi="Microsoft JhengHei"/>
                <w:color w:val="334155"/>
                <w:sz w:val="16"/>
              </w:rPr>
              <w:t>東側邊界高架旁 (農田交界)</w:t>
            </w:r>
          </w:p>
        </w:tc>
        <w:tc>
          <w:tcPr>
            <w:tcW w:type="dxa" w:w="1337"/>
            <w:shd w:fill="FFFFFF"/>
            <w:tcMar>
              <w:top w:w="60" w:type="dxa"/>
              <w:bottom w:w="60" w:type="dxa"/>
              <w:left w:w="60" w:type="dxa"/>
              <w:right w:w="60" w:type="dxa"/>
            </w:tcMar>
          </w:tcPr>
          <w:p>
            <w:r>
              <w:rPr>
                <w:rFonts w:ascii="Microsoft JhengHei" w:hAnsi="Microsoft JhengHei"/>
                <w:b/>
                <w:color w:val="DC2626"/>
                <w:sz w:val="16"/>
              </w:rPr>
              <w:t>730.3</w:t>
            </w:r>
          </w:p>
        </w:tc>
        <w:tc>
          <w:tcPr>
            <w:tcW w:type="dxa" w:w="1337"/>
            <w:shd w:fill="FFFFFF"/>
            <w:tcMar>
              <w:top w:w="60" w:type="dxa"/>
              <w:bottom w:w="60" w:type="dxa"/>
              <w:left w:w="60" w:type="dxa"/>
              <w:right w:w="60" w:type="dxa"/>
            </w:tcMar>
          </w:tcPr>
          <w:p>
            <w:r>
              <w:rPr>
                <w:rFonts w:ascii="Microsoft JhengHei" w:hAnsi="Microsoft JhengHei"/>
                <w:color w:val="334155"/>
                <w:sz w:val="16"/>
              </w:rPr>
              <w:t>3,231.0</w:t>
            </w:r>
          </w:p>
        </w:tc>
        <w:tc>
          <w:tcPr>
            <w:tcW w:type="dxa" w:w="1337"/>
            <w:shd w:fill="FFFFFF"/>
            <w:tcMar>
              <w:top w:w="60" w:type="dxa"/>
              <w:bottom w:w="60" w:type="dxa"/>
              <w:left w:w="60" w:type="dxa"/>
              <w:right w:w="60" w:type="dxa"/>
            </w:tcMar>
          </w:tcPr>
          <w:p>
            <w:r>
              <w:rPr>
                <w:rFonts w:ascii="Microsoft JhengHei" w:hAnsi="Microsoft JhengHei"/>
                <w:color w:val="334155"/>
                <w:sz w:val="16"/>
              </w:rPr>
              <w:t>9,139.5</w:t>
            </w:r>
          </w:p>
        </w:tc>
        <w:tc>
          <w:tcPr>
            <w:tcW w:type="dxa" w:w="1337"/>
            <w:shd w:fill="FFFFFF"/>
            <w:tcMar>
              <w:top w:w="60" w:type="dxa"/>
              <w:bottom w:w="60" w:type="dxa"/>
              <w:left w:w="60" w:type="dxa"/>
              <w:right w:w="60" w:type="dxa"/>
            </w:tcMar>
          </w:tcPr>
          <w:p>
            <w:r>
              <w:rPr>
                <w:rFonts w:ascii="Microsoft JhengHei" w:hAnsi="Microsoft JhengHei"/>
                <w:color w:val="334155"/>
                <w:sz w:val="16"/>
              </w:rPr>
              <w:t>4,747h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#5</w:t>
            </w:r>
          </w:p>
        </w:tc>
        <w:tc>
          <w:tcPr>
            <w:tcW w:type="dxa" w:w="1337"/>
            <w:shd w:fill="F8FAFC"/>
            <w:tcMar>
              <w:top w:w="60" w:type="dxa"/>
              <w:bottom w:w="60" w:type="dxa"/>
              <w:left w:w="60" w:type="dxa"/>
              <w:right w:w="60" w:type="dxa"/>
            </w:tcMar>
          </w:tcPr>
          <w:p>
            <w:r>
              <w:rPr>
                <w:rFonts w:ascii="Microsoft JhengHei" w:hAnsi="Microsoft JhengHei"/>
                <w:color w:val="334155"/>
                <w:sz w:val="16"/>
              </w:rPr>
              <w:t>TC0875</w:t>
            </w:r>
          </w:p>
        </w:tc>
        <w:tc>
          <w:tcPr>
            <w:tcW w:type="dxa" w:w="1337"/>
            <w:shd w:fill="F8FAFC"/>
            <w:tcMar>
              <w:top w:w="60" w:type="dxa"/>
              <w:bottom w:w="60" w:type="dxa"/>
              <w:left w:w="60" w:type="dxa"/>
              <w:right w:w="60" w:type="dxa"/>
            </w:tcMar>
          </w:tcPr>
          <w:p>
            <w:r>
              <w:rPr>
                <w:rFonts w:ascii="Microsoft JhengHei" w:hAnsi="Microsoft JhengHei"/>
                <w:color w:val="334155"/>
                <w:sz w:val="16"/>
              </w:rPr>
              <w:t>南側農田交界處</w:t>
            </w:r>
          </w:p>
        </w:tc>
        <w:tc>
          <w:tcPr>
            <w:tcW w:type="dxa" w:w="1337"/>
            <w:shd w:fill="F8FAFC"/>
            <w:tcMar>
              <w:top w:w="60" w:type="dxa"/>
              <w:bottom w:w="60" w:type="dxa"/>
              <w:left w:w="60" w:type="dxa"/>
              <w:right w:w="60" w:type="dxa"/>
            </w:tcMar>
          </w:tcPr>
          <w:p>
            <w:r>
              <w:rPr>
                <w:rFonts w:ascii="Microsoft JhengHei" w:hAnsi="Microsoft JhengHei"/>
                <w:b/>
                <w:color w:val="DC2626"/>
                <w:sz w:val="16"/>
              </w:rPr>
              <w:t>704.1</w:t>
            </w:r>
          </w:p>
        </w:tc>
        <w:tc>
          <w:tcPr>
            <w:tcW w:type="dxa" w:w="1337"/>
            <w:shd w:fill="F8FAFC"/>
            <w:tcMar>
              <w:top w:w="60" w:type="dxa"/>
              <w:bottom w:w="60" w:type="dxa"/>
              <w:left w:w="60" w:type="dxa"/>
              <w:right w:w="60" w:type="dxa"/>
            </w:tcMar>
          </w:tcPr>
          <w:p>
            <w:r>
              <w:rPr>
                <w:rFonts w:ascii="Microsoft JhengHei" w:hAnsi="Microsoft JhengHei"/>
                <w:color w:val="334155"/>
                <w:sz w:val="16"/>
              </w:rPr>
              <w:t>4,719.0</w:t>
            </w:r>
          </w:p>
        </w:tc>
        <w:tc>
          <w:tcPr>
            <w:tcW w:type="dxa" w:w="1337"/>
            <w:shd w:fill="F8FAFC"/>
            <w:tcMar>
              <w:top w:w="60" w:type="dxa"/>
              <w:bottom w:w="60" w:type="dxa"/>
              <w:left w:w="60" w:type="dxa"/>
              <w:right w:w="60" w:type="dxa"/>
            </w:tcMar>
          </w:tcPr>
          <w:p>
            <w:r>
              <w:rPr>
                <w:rFonts w:ascii="Microsoft JhengHei" w:hAnsi="Microsoft JhengHei"/>
                <w:color w:val="334155"/>
                <w:sz w:val="16"/>
              </w:rPr>
              <w:t>9,400.0</w:t>
            </w:r>
          </w:p>
        </w:tc>
        <w:tc>
          <w:tcPr>
            <w:tcW w:type="dxa" w:w="1337"/>
            <w:shd w:fill="F8FAFC"/>
            <w:tcMar>
              <w:top w:w="60" w:type="dxa"/>
              <w:bottom w:w="60" w:type="dxa"/>
              <w:left w:w="60" w:type="dxa"/>
              <w:right w:w="60" w:type="dxa"/>
            </w:tcMar>
          </w:tcPr>
          <w:p>
            <w:r>
              <w:rPr>
                <w:rFonts w:ascii="Microsoft JhengHei" w:hAnsi="Microsoft JhengHei"/>
                <w:color w:val="334155"/>
                <w:sz w:val="16"/>
              </w:rPr>
              <w:t>3,408h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#6</w:t>
            </w:r>
          </w:p>
        </w:tc>
        <w:tc>
          <w:tcPr>
            <w:tcW w:type="dxa" w:w="1337"/>
            <w:shd w:fill="FFFFFF"/>
            <w:tcMar>
              <w:top w:w="60" w:type="dxa"/>
              <w:bottom w:w="60" w:type="dxa"/>
              <w:left w:w="60" w:type="dxa"/>
              <w:right w:w="60" w:type="dxa"/>
            </w:tcMar>
          </w:tcPr>
          <w:p>
            <w:r>
              <w:rPr>
                <w:rFonts w:ascii="Microsoft JhengHei" w:hAnsi="Microsoft JhengHei"/>
                <w:color w:val="334155"/>
                <w:sz w:val="16"/>
              </w:rPr>
              <w:t>TC0676</w:t>
            </w:r>
          </w:p>
        </w:tc>
        <w:tc>
          <w:tcPr>
            <w:tcW w:type="dxa" w:w="1337"/>
            <w:shd w:fill="FFFFFF"/>
            <w:tcMar>
              <w:top w:w="60" w:type="dxa"/>
              <w:bottom w:w="60" w:type="dxa"/>
              <w:left w:w="60" w:type="dxa"/>
              <w:right w:w="60" w:type="dxa"/>
            </w:tcMar>
          </w:tcPr>
          <w:p>
            <w:r>
              <w:rPr>
                <w:rFonts w:ascii="Microsoft JhengHei" w:hAnsi="Microsoft JhengHei"/>
                <w:color w:val="334155"/>
                <w:sz w:val="16"/>
              </w:rPr>
              <w:t>中山路二段 912巷 1之1號</w:t>
            </w:r>
          </w:p>
        </w:tc>
        <w:tc>
          <w:tcPr>
            <w:tcW w:type="dxa" w:w="1337"/>
            <w:shd w:fill="FFFFFF"/>
            <w:tcMar>
              <w:top w:w="60" w:type="dxa"/>
              <w:bottom w:w="60" w:type="dxa"/>
              <w:left w:w="60" w:type="dxa"/>
              <w:right w:w="60" w:type="dxa"/>
            </w:tcMar>
          </w:tcPr>
          <w:p>
            <w:r>
              <w:rPr>
                <w:rFonts w:ascii="Microsoft JhengHei" w:hAnsi="Microsoft JhengHei"/>
                <w:b/>
                <w:color w:val="DC2626"/>
                <w:sz w:val="16"/>
              </w:rPr>
              <w:t>669.0</w:t>
            </w:r>
          </w:p>
        </w:tc>
        <w:tc>
          <w:tcPr>
            <w:tcW w:type="dxa" w:w="1337"/>
            <w:shd w:fill="FFFFFF"/>
            <w:tcMar>
              <w:top w:w="60" w:type="dxa"/>
              <w:bottom w:w="60" w:type="dxa"/>
              <w:left w:w="60" w:type="dxa"/>
              <w:right w:w="60" w:type="dxa"/>
            </w:tcMar>
          </w:tcPr>
          <w:p>
            <w:r>
              <w:rPr>
                <w:rFonts w:ascii="Microsoft JhengHei" w:hAnsi="Microsoft JhengHei"/>
                <w:color w:val="334155"/>
                <w:sz w:val="16"/>
              </w:rPr>
              <w:t>3,490.5</w:t>
            </w:r>
          </w:p>
        </w:tc>
        <w:tc>
          <w:tcPr>
            <w:tcW w:type="dxa" w:w="1337"/>
            <w:shd w:fill="FFFFFF"/>
            <w:tcMar>
              <w:top w:w="60" w:type="dxa"/>
              <w:bottom w:w="60" w:type="dxa"/>
              <w:left w:w="60" w:type="dxa"/>
              <w:right w:w="60" w:type="dxa"/>
            </w:tcMar>
          </w:tcPr>
          <w:p>
            <w:r>
              <w:rPr>
                <w:rFonts w:ascii="Microsoft JhengHei" w:hAnsi="Microsoft JhengHei"/>
                <w:color w:val="334155"/>
                <w:sz w:val="16"/>
              </w:rPr>
              <w:t>14,941.1</w:t>
            </w:r>
          </w:p>
        </w:tc>
        <w:tc>
          <w:tcPr>
            <w:tcW w:type="dxa" w:w="1337"/>
            <w:shd w:fill="FFFFFF"/>
            <w:tcMar>
              <w:top w:w="60" w:type="dxa"/>
              <w:bottom w:w="60" w:type="dxa"/>
              <w:left w:w="60" w:type="dxa"/>
              <w:right w:w="60" w:type="dxa"/>
            </w:tcMar>
          </w:tcPr>
          <w:p>
            <w:r>
              <w:rPr>
                <w:rFonts w:ascii="Microsoft JhengHei" w:hAnsi="Microsoft JhengHei"/>
                <w:color w:val="334155"/>
                <w:sz w:val="16"/>
              </w:rPr>
              <w:t>2,300h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#7</w:t>
            </w:r>
          </w:p>
        </w:tc>
        <w:tc>
          <w:tcPr>
            <w:tcW w:type="dxa" w:w="1337"/>
            <w:shd w:fill="F8FAFC"/>
            <w:tcMar>
              <w:top w:w="60" w:type="dxa"/>
              <w:bottom w:w="60" w:type="dxa"/>
              <w:left w:w="60" w:type="dxa"/>
              <w:right w:w="60" w:type="dxa"/>
            </w:tcMar>
          </w:tcPr>
          <w:p>
            <w:r>
              <w:rPr>
                <w:rFonts w:ascii="Microsoft JhengHei" w:hAnsi="Microsoft JhengHei"/>
                <w:color w:val="334155"/>
                <w:sz w:val="16"/>
              </w:rPr>
              <w:t>TC0940</w:t>
            </w:r>
          </w:p>
        </w:tc>
        <w:tc>
          <w:tcPr>
            <w:tcW w:type="dxa" w:w="1337"/>
            <w:shd w:fill="F8FAFC"/>
            <w:tcMar>
              <w:top w:w="60" w:type="dxa"/>
              <w:bottom w:w="60" w:type="dxa"/>
              <w:left w:w="60" w:type="dxa"/>
              <w:right w:w="60" w:type="dxa"/>
            </w:tcMar>
          </w:tcPr>
          <w:p>
            <w:r>
              <w:rPr>
                <w:rFonts w:ascii="Microsoft JhengHei" w:hAnsi="Microsoft JhengHei"/>
                <w:color w:val="334155"/>
                <w:sz w:val="16"/>
              </w:rPr>
              <w:t>幼五路 3號 (核心製程區)</w:t>
            </w:r>
          </w:p>
        </w:tc>
        <w:tc>
          <w:tcPr>
            <w:tcW w:type="dxa" w:w="1337"/>
            <w:shd w:fill="F8FAFC"/>
            <w:tcMar>
              <w:top w:w="60" w:type="dxa"/>
              <w:bottom w:w="60" w:type="dxa"/>
              <w:left w:w="60" w:type="dxa"/>
              <w:right w:w="60" w:type="dxa"/>
            </w:tcMar>
          </w:tcPr>
          <w:p>
            <w:r>
              <w:rPr>
                <w:rFonts w:ascii="Microsoft JhengHei" w:hAnsi="Microsoft JhengHei"/>
                <w:b/>
                <w:color w:val="DC2626"/>
                <w:sz w:val="16"/>
              </w:rPr>
              <w:t>631.8</w:t>
            </w:r>
          </w:p>
        </w:tc>
        <w:tc>
          <w:tcPr>
            <w:tcW w:type="dxa" w:w="1337"/>
            <w:shd w:fill="F8FAFC"/>
            <w:tcMar>
              <w:top w:w="60" w:type="dxa"/>
              <w:bottom w:w="60" w:type="dxa"/>
              <w:left w:w="60" w:type="dxa"/>
              <w:right w:w="60" w:type="dxa"/>
            </w:tcMar>
          </w:tcPr>
          <w:p>
            <w:r>
              <w:rPr>
                <w:rFonts w:ascii="Microsoft JhengHei" w:hAnsi="Microsoft JhengHei"/>
                <w:color w:val="334155"/>
                <w:sz w:val="16"/>
              </w:rPr>
              <w:t>3,750.7</w:t>
            </w:r>
          </w:p>
        </w:tc>
        <w:tc>
          <w:tcPr>
            <w:tcW w:type="dxa" w:w="1337"/>
            <w:shd w:fill="F8FAFC"/>
            <w:tcMar>
              <w:top w:w="60" w:type="dxa"/>
              <w:bottom w:w="60" w:type="dxa"/>
              <w:left w:w="60" w:type="dxa"/>
              <w:right w:w="60" w:type="dxa"/>
            </w:tcMar>
          </w:tcPr>
          <w:p>
            <w:r>
              <w:rPr>
                <w:rFonts w:ascii="Microsoft JhengHei" w:hAnsi="Microsoft JhengHei"/>
                <w:color w:val="334155"/>
                <w:sz w:val="16"/>
              </w:rPr>
              <w:t>14,978.3</w:t>
            </w:r>
          </w:p>
        </w:tc>
        <w:tc>
          <w:tcPr>
            <w:tcW w:type="dxa" w:w="1337"/>
            <w:shd w:fill="F8FAFC"/>
            <w:tcMar>
              <w:top w:w="60" w:type="dxa"/>
              <w:bottom w:w="60" w:type="dxa"/>
              <w:left w:w="60" w:type="dxa"/>
              <w:right w:w="60" w:type="dxa"/>
            </w:tcMar>
          </w:tcPr>
          <w:p>
            <w:r>
              <w:rPr>
                <w:rFonts w:ascii="Microsoft JhengHei" w:hAnsi="Microsoft JhengHei"/>
                <w:color w:val="334155"/>
                <w:sz w:val="16"/>
              </w:rPr>
              <w:t>2,521h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#8</w:t>
            </w:r>
          </w:p>
        </w:tc>
        <w:tc>
          <w:tcPr>
            <w:tcW w:type="dxa" w:w="1337"/>
            <w:shd w:fill="FFFFFF"/>
            <w:tcMar>
              <w:top w:w="60" w:type="dxa"/>
              <w:bottom w:w="60" w:type="dxa"/>
              <w:left w:w="60" w:type="dxa"/>
              <w:right w:w="60" w:type="dxa"/>
            </w:tcMar>
          </w:tcPr>
          <w:p>
            <w:r>
              <w:rPr>
                <w:rFonts w:ascii="Microsoft JhengHei" w:hAnsi="Microsoft JhengHei"/>
                <w:color w:val="334155"/>
                <w:sz w:val="16"/>
              </w:rPr>
              <w:t>TC0206</w:t>
            </w:r>
          </w:p>
        </w:tc>
        <w:tc>
          <w:tcPr>
            <w:tcW w:type="dxa" w:w="1337"/>
            <w:shd w:fill="FFFFFF"/>
            <w:tcMar>
              <w:top w:w="60" w:type="dxa"/>
              <w:bottom w:w="60" w:type="dxa"/>
              <w:left w:w="60" w:type="dxa"/>
              <w:right w:w="60" w:type="dxa"/>
            </w:tcMar>
          </w:tcPr>
          <w:p>
            <w:r>
              <w:rPr>
                <w:rFonts w:ascii="Microsoft JhengHei" w:hAnsi="Microsoft JhengHei"/>
                <w:color w:val="334155"/>
                <w:sz w:val="16"/>
              </w:rPr>
              <w:t>長壽路北側</w:t>
            </w:r>
          </w:p>
        </w:tc>
        <w:tc>
          <w:tcPr>
            <w:tcW w:type="dxa" w:w="1337"/>
            <w:shd w:fill="FFFFFF"/>
            <w:tcMar>
              <w:top w:w="60" w:type="dxa"/>
              <w:bottom w:w="60" w:type="dxa"/>
              <w:left w:w="60" w:type="dxa"/>
              <w:right w:w="60" w:type="dxa"/>
            </w:tcMar>
          </w:tcPr>
          <w:p>
            <w:r>
              <w:rPr>
                <w:rFonts w:ascii="Microsoft JhengHei" w:hAnsi="Microsoft JhengHei"/>
                <w:b/>
                <w:color w:val="DC2626"/>
                <w:sz w:val="16"/>
              </w:rPr>
              <w:t>605.0</w:t>
            </w:r>
          </w:p>
        </w:tc>
        <w:tc>
          <w:tcPr>
            <w:tcW w:type="dxa" w:w="1337"/>
            <w:shd w:fill="FFFFFF"/>
            <w:tcMar>
              <w:top w:w="60" w:type="dxa"/>
              <w:bottom w:w="60" w:type="dxa"/>
              <w:left w:w="60" w:type="dxa"/>
              <w:right w:w="60" w:type="dxa"/>
            </w:tcMar>
          </w:tcPr>
          <w:p>
            <w:r>
              <w:rPr>
                <w:rFonts w:ascii="Microsoft JhengHei" w:hAnsi="Microsoft JhengHei"/>
                <w:color w:val="334155"/>
                <w:sz w:val="16"/>
              </w:rPr>
              <w:t>3,363.0</w:t>
            </w:r>
          </w:p>
        </w:tc>
        <w:tc>
          <w:tcPr>
            <w:tcW w:type="dxa" w:w="1337"/>
            <w:shd w:fill="FFFFFF"/>
            <w:tcMar>
              <w:top w:w="60" w:type="dxa"/>
              <w:bottom w:w="60" w:type="dxa"/>
              <w:left w:w="60" w:type="dxa"/>
              <w:right w:w="60" w:type="dxa"/>
            </w:tcMar>
          </w:tcPr>
          <w:p>
            <w:r>
              <w:rPr>
                <w:rFonts w:ascii="Microsoft JhengHei" w:hAnsi="Microsoft JhengHei"/>
                <w:color w:val="334155"/>
                <w:sz w:val="16"/>
              </w:rPr>
              <w:t>11,855.5</w:t>
            </w:r>
          </w:p>
        </w:tc>
        <w:tc>
          <w:tcPr>
            <w:tcW w:type="dxa" w:w="1337"/>
            <w:shd w:fill="FFFFFF"/>
            <w:tcMar>
              <w:top w:w="60" w:type="dxa"/>
              <w:bottom w:w="60" w:type="dxa"/>
              <w:left w:w="60" w:type="dxa"/>
              <w:right w:w="60" w:type="dxa"/>
            </w:tcMar>
          </w:tcPr>
          <w:p>
            <w:r>
              <w:rPr>
                <w:rFonts w:ascii="Microsoft JhengHei" w:hAnsi="Microsoft JhengHei"/>
                <w:color w:val="334155"/>
                <w:sz w:val="16"/>
              </w:rPr>
              <w:t>894h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#9</w:t>
            </w:r>
          </w:p>
        </w:tc>
        <w:tc>
          <w:tcPr>
            <w:tcW w:type="dxa" w:w="1337"/>
            <w:shd w:fill="F8FAFC"/>
            <w:tcMar>
              <w:top w:w="60" w:type="dxa"/>
              <w:bottom w:w="60" w:type="dxa"/>
              <w:left w:w="60" w:type="dxa"/>
              <w:right w:w="60" w:type="dxa"/>
            </w:tcMar>
          </w:tcPr>
          <w:p>
            <w:r>
              <w:rPr>
                <w:rFonts w:ascii="Microsoft JhengHei" w:hAnsi="Microsoft JhengHei"/>
                <w:color w:val="334155"/>
                <w:sz w:val="16"/>
              </w:rPr>
              <w:t>TC8097</w:t>
            </w:r>
          </w:p>
        </w:tc>
        <w:tc>
          <w:tcPr>
            <w:tcW w:type="dxa" w:w="1337"/>
            <w:shd w:fill="F8FAFC"/>
            <w:tcMar>
              <w:top w:w="60" w:type="dxa"/>
              <w:bottom w:w="60" w:type="dxa"/>
              <w:left w:w="60" w:type="dxa"/>
              <w:right w:w="60" w:type="dxa"/>
            </w:tcMar>
          </w:tcPr>
          <w:p>
            <w:r>
              <w:rPr>
                <w:rFonts w:ascii="Microsoft JhengHei" w:hAnsi="Microsoft JhengHei"/>
                <w:color w:val="334155"/>
                <w:sz w:val="16"/>
              </w:rPr>
              <w:t>長壽東西六路 (西北界址)</w:t>
            </w:r>
          </w:p>
        </w:tc>
        <w:tc>
          <w:tcPr>
            <w:tcW w:type="dxa" w:w="1337"/>
            <w:shd w:fill="F8FAFC"/>
            <w:tcMar>
              <w:top w:w="60" w:type="dxa"/>
              <w:bottom w:w="60" w:type="dxa"/>
              <w:left w:w="60" w:type="dxa"/>
              <w:right w:w="60" w:type="dxa"/>
            </w:tcMar>
          </w:tcPr>
          <w:p>
            <w:r>
              <w:rPr>
                <w:rFonts w:ascii="Microsoft JhengHei" w:hAnsi="Microsoft JhengHei"/>
                <w:color w:val="334155"/>
                <w:sz w:val="16"/>
              </w:rPr>
              <w:t>480.0</w:t>
            </w:r>
          </w:p>
        </w:tc>
        <w:tc>
          <w:tcPr>
            <w:tcW w:type="dxa" w:w="1337"/>
            <w:shd w:fill="F8FAFC"/>
            <w:tcMar>
              <w:top w:w="60" w:type="dxa"/>
              <w:bottom w:w="60" w:type="dxa"/>
              <w:left w:w="60" w:type="dxa"/>
              <w:right w:w="60" w:type="dxa"/>
            </w:tcMar>
          </w:tcPr>
          <w:p>
            <w:r>
              <w:rPr>
                <w:rFonts w:ascii="Microsoft JhengHei" w:hAnsi="Microsoft JhengHei"/>
                <w:color w:val="334155"/>
                <w:sz w:val="16"/>
              </w:rPr>
              <w:t>2,912.7</w:t>
            </w:r>
          </w:p>
        </w:tc>
        <w:tc>
          <w:tcPr>
            <w:tcW w:type="dxa" w:w="1337"/>
            <w:shd w:fill="F8FAFC"/>
            <w:tcMar>
              <w:top w:w="60" w:type="dxa"/>
              <w:bottom w:w="60" w:type="dxa"/>
              <w:left w:w="60" w:type="dxa"/>
              <w:right w:w="60" w:type="dxa"/>
            </w:tcMar>
          </w:tcPr>
          <w:p>
            <w:r>
              <w:rPr>
                <w:rFonts w:ascii="Microsoft JhengHei" w:hAnsi="Microsoft JhengHei"/>
                <w:color w:val="334155"/>
                <w:sz w:val="16"/>
              </w:rPr>
              <w:t>14,965.0</w:t>
            </w:r>
          </w:p>
        </w:tc>
        <w:tc>
          <w:tcPr>
            <w:tcW w:type="dxa" w:w="1337"/>
            <w:shd w:fill="F8FAFC"/>
            <w:tcMar>
              <w:top w:w="60" w:type="dxa"/>
              <w:bottom w:w="60" w:type="dxa"/>
              <w:left w:w="60" w:type="dxa"/>
              <w:right w:w="60" w:type="dxa"/>
            </w:tcMar>
          </w:tcPr>
          <w:p>
            <w:r>
              <w:rPr>
                <w:rFonts w:ascii="Microsoft JhengHei" w:hAnsi="Microsoft JhengHei"/>
                <w:color w:val="334155"/>
                <w:sz w:val="16"/>
              </w:rPr>
              <w:t>1,630h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#10</w:t>
            </w:r>
          </w:p>
        </w:tc>
        <w:tc>
          <w:tcPr>
            <w:tcW w:type="dxa" w:w="1337"/>
            <w:shd w:fill="FFFFFF"/>
            <w:tcMar>
              <w:top w:w="60" w:type="dxa"/>
              <w:bottom w:w="60" w:type="dxa"/>
              <w:left w:w="60" w:type="dxa"/>
              <w:right w:w="60" w:type="dxa"/>
            </w:tcMar>
          </w:tcPr>
          <w:p>
            <w:r>
              <w:rPr>
                <w:rFonts w:ascii="Microsoft JhengHei" w:hAnsi="Microsoft JhengHei"/>
                <w:color w:val="334155"/>
                <w:sz w:val="16"/>
              </w:rPr>
              <w:t>TC0891</w:t>
            </w:r>
          </w:p>
        </w:tc>
        <w:tc>
          <w:tcPr>
            <w:tcW w:type="dxa" w:w="1337"/>
            <w:shd w:fill="FFFFFF"/>
            <w:tcMar>
              <w:top w:w="60" w:type="dxa"/>
              <w:bottom w:w="60" w:type="dxa"/>
              <w:left w:w="60" w:type="dxa"/>
              <w:right w:w="60" w:type="dxa"/>
            </w:tcMar>
          </w:tcPr>
          <w:p>
            <w:r>
              <w:rPr>
                <w:rFonts w:ascii="Microsoft JhengHei" w:hAnsi="Microsoft JhengHei"/>
                <w:color w:val="334155"/>
                <w:sz w:val="16"/>
              </w:rPr>
              <w:t>幼五路 / 工三路口</w:t>
            </w:r>
          </w:p>
        </w:tc>
        <w:tc>
          <w:tcPr>
            <w:tcW w:type="dxa" w:w="1337"/>
            <w:shd w:fill="FFFFFF"/>
            <w:tcMar>
              <w:top w:w="60" w:type="dxa"/>
              <w:bottom w:w="60" w:type="dxa"/>
              <w:left w:w="60" w:type="dxa"/>
              <w:right w:w="60" w:type="dxa"/>
            </w:tcMar>
          </w:tcPr>
          <w:p>
            <w:r>
              <w:rPr>
                <w:rFonts w:ascii="Microsoft JhengHei" w:hAnsi="Microsoft JhengHei"/>
                <w:color w:val="334155"/>
                <w:sz w:val="16"/>
              </w:rPr>
              <w:t>478.9</w:t>
            </w:r>
          </w:p>
        </w:tc>
        <w:tc>
          <w:tcPr>
            <w:tcW w:type="dxa" w:w="1337"/>
            <w:shd w:fill="FFFFFF"/>
            <w:tcMar>
              <w:top w:w="60" w:type="dxa"/>
              <w:bottom w:w="60" w:type="dxa"/>
              <w:left w:w="60" w:type="dxa"/>
              <w:right w:w="60" w:type="dxa"/>
            </w:tcMar>
          </w:tcPr>
          <w:p>
            <w:r>
              <w:rPr>
                <w:rFonts w:ascii="Microsoft JhengHei" w:hAnsi="Microsoft JhengHei"/>
                <w:color w:val="334155"/>
                <w:sz w:val="16"/>
              </w:rPr>
              <w:t>1,991.1</w:t>
            </w:r>
          </w:p>
        </w:tc>
        <w:tc>
          <w:tcPr>
            <w:tcW w:type="dxa" w:w="1337"/>
            <w:shd w:fill="FFFFFF"/>
            <w:tcMar>
              <w:top w:w="60" w:type="dxa"/>
              <w:bottom w:w="60" w:type="dxa"/>
              <w:left w:w="60" w:type="dxa"/>
              <w:right w:w="60" w:type="dxa"/>
            </w:tcMar>
          </w:tcPr>
          <w:p>
            <w:r>
              <w:rPr>
                <w:rFonts w:ascii="Microsoft JhengHei" w:hAnsi="Microsoft JhengHei"/>
                <w:color w:val="334155"/>
                <w:sz w:val="16"/>
              </w:rPr>
              <w:t>9,400.0</w:t>
            </w:r>
          </w:p>
        </w:tc>
        <w:tc>
          <w:tcPr>
            <w:tcW w:type="dxa" w:w="1337"/>
            <w:shd w:fill="FFFFFF"/>
            <w:tcMar>
              <w:top w:w="60" w:type="dxa"/>
              <w:bottom w:w="60" w:type="dxa"/>
              <w:left w:w="60" w:type="dxa"/>
              <w:right w:w="60" w:type="dxa"/>
            </w:tcMar>
          </w:tcPr>
          <w:p>
            <w:r>
              <w:rPr>
                <w:rFonts w:ascii="Microsoft JhengHei" w:hAnsi="Microsoft JhengHei"/>
                <w:color w:val="334155"/>
                <w:sz w:val="16"/>
              </w:rPr>
              <w:t>4,514h</w:t>
            </w:r>
          </w:p>
        </w:tc>
      </w:tr>
    </w:tbl>
    <w:p>
      <w:pPr>
        <w:spacing w:after="240"/>
      </w:pPr>
    </w:p>
    <w:p>
      <w:r>
        <w:drawing>
          <wp:inline xmlns:a="http://schemas.openxmlformats.org/drawingml/2006/main" xmlns:pic="http://schemas.openxmlformats.org/drawingml/2006/picture">
            <wp:extent cx="5669280" cy="2645664"/>
            <wp:docPr id="4" name="Picture 4"/>
            <wp:cNvGraphicFramePr>
              <a:graphicFrameLocks noChangeAspect="1"/>
            </wp:cNvGraphicFramePr>
            <a:graphic>
              <a:graphicData uri="http://schemas.openxmlformats.org/drawingml/2006/picture">
                <pic:pic>
                  <pic:nvPicPr>
                    <pic:cNvPr id="0" name="docx_chart1_voc_rank.png"/>
                    <pic:cNvPicPr/>
                  </pic:nvPicPr>
                  <pic:blipFill>
                    <a:blip r:embed="rId14"/>
                    <a:stretch>
                      <a:fillRect/>
                    </a:stretch>
                  </pic:blipFill>
                  <pic:spPr>
                    <a:xfrm>
                      <a:off x="0" y="0"/>
                      <a:ext cx="5669280" cy="2645664"/>
                    </a:xfrm>
                    <a:prstGeom prst="rect"/>
                  </pic:spPr>
                </pic:pic>
              </a:graphicData>
            </a:graphic>
          </wp:inline>
        </w:drawing>
      </w:r>
    </w:p>
    <w:p>
      <w:pPr>
        <w:jc w:val="center"/>
      </w:pPr>
      <w:r>
        <w:rPr>
          <w:i/>
          <w:sz w:val="17"/>
        </w:rPr>
        <w:t>分析圖表一：全區檢核合格微感測器 VOC 年均值排比圖 (Top 10)</w:t>
      </w:r>
    </w:p>
    <w:p>
      <w:r>
        <w:drawing>
          <wp:inline xmlns:a="http://schemas.openxmlformats.org/drawingml/2006/main" xmlns:pic="http://schemas.openxmlformats.org/drawingml/2006/picture">
            <wp:extent cx="5669280" cy="2645664"/>
            <wp:docPr id="5" name="Picture 5"/>
            <wp:cNvGraphicFramePr>
              <a:graphicFrameLocks noChangeAspect="1"/>
            </wp:cNvGraphicFramePr>
            <a:graphic>
              <a:graphicData uri="http://schemas.openxmlformats.org/drawingml/2006/picture">
                <pic:pic>
                  <pic:nvPicPr>
                    <pic:cNvPr id="0" name="docx_chart2_24h_cycle.png"/>
                    <pic:cNvPicPr/>
                  </pic:nvPicPr>
                  <pic:blipFill>
                    <a:blip r:embed="rId15"/>
                    <a:stretch>
                      <a:fillRect/>
                    </a:stretch>
                  </pic:blipFill>
                  <pic:spPr>
                    <a:xfrm>
                      <a:off x="0" y="0"/>
                      <a:ext cx="5669280" cy="2645664"/>
                    </a:xfrm>
                    <a:prstGeom prst="rect"/>
                  </pic:spPr>
                </pic:pic>
              </a:graphicData>
            </a:graphic>
          </wp:inline>
        </w:drawing>
      </w:r>
    </w:p>
    <w:p>
      <w:pPr>
        <w:jc w:val="center"/>
      </w:pPr>
      <w:r>
        <w:rPr>
          <w:i/>
          <w:sz w:val="17"/>
        </w:rPr>
        <w:t>分析圖表二：重點嫌疑測站 24 小時平均 VOC 濃度週期曲線 (ppb)</w:t>
      </w:r>
    </w:p>
    <w:p>
      <w:pPr>
        <w:keepNext/>
        <w:spacing w:before="360" w:after="160"/>
      </w:pPr>
      <w:r>
        <w:rPr>
          <w:rFonts w:ascii="Microsoft JhengHei" w:hAnsi="Microsoft JhengHei"/>
          <w:b/>
          <w:color w:val="1E3A8A"/>
          <w:sz w:val="28"/>
        </w:rPr>
        <w:t>五、高風險月份鎖定與全週特性剖析</w:t>
      </w:r>
    </w:p>
    <w:p>
      <w:pPr>
        <w:spacing w:after="120" w:line="300" w:lineRule="auto"/>
      </w:pPr>
      <w:r>
        <w:rPr>
          <w:rFonts w:ascii="Microsoft JhengHei" w:hAnsi="Microsoft JhengHei"/>
          <w:color w:val="334155"/>
          <w:sz w:val="21"/>
        </w:rPr>
        <w:t>透過時序分析，全時序觀測呈現極為清晰的季節性特徵：</w:t>
      </w:r>
    </w:p>
    <w:p>
      <w:pPr>
        <w:spacing w:after="120" w:line="300" w:lineRule="auto"/>
      </w:pPr>
      <w:r>
        <w:rPr>
          <w:rFonts w:ascii="Microsoft JhengHei" w:hAnsi="Microsoft JhengHei"/>
          <w:color w:val="334155"/>
          <w:sz w:val="21"/>
        </w:rPr>
        <w:t>1. 月份維度（強信號 · 2.0 倍差距）：</w:t>
        <w:br/>
        <w:t xml:space="preserve">   • 夏季（6~9 月）VOC 平均濃度高達 540 ppb，而冬季（11~2 月）平均濃度降至 270 ppb，差距達 2.0 倍。</w:t>
        <w:br/>
        <w:t xml:space="preserve">   • 原因在於夏季高溫加速有機溶劑蒸發揮發，且午後海陸風交替形成局部渦旋沉降，導致異味嚴重蓄積。</w:t>
      </w:r>
    </w:p>
    <w:p>
      <w:pPr>
        <w:spacing w:after="120" w:line="300" w:lineRule="auto"/>
      </w:pPr>
      <w:r>
        <w:rPr>
          <w:rFonts w:ascii="Microsoft JhengHei" w:hAnsi="Microsoft JhengHei"/>
          <w:color w:val="334155"/>
          <w:sz w:val="21"/>
        </w:rPr>
        <w:t>2. 全週特性（無信號 · 連續性排放特徵）：</w:t>
        <w:br/>
        <w:t xml:space="preserve">   • 統計週一至週日之 VOC 濃度，工作日平均為 378 ppb，週末平均為 354 ppb，兩者僅差 6.9%（週五 387 ppb 與週一 357 ppb 僅差 1.08 倍）。</w:t>
        <w:br/>
        <w:t xml:space="preserve">   • 這項數據徹底破除「只有特定工作日偷排」或「週末完全停工」之錯誤假設，證實大甲幼獅異味污染主要源自【全週無休、連續運轉之大型製程源】。</w:t>
      </w:r>
    </w:p>
    <w:p>
      <w:r>
        <w:drawing>
          <wp:inline xmlns:a="http://schemas.openxmlformats.org/drawingml/2006/main" xmlns:pic="http://schemas.openxmlformats.org/drawingml/2006/picture">
            <wp:extent cx="5669280" cy="2381098"/>
            <wp:docPr id="6" name="Picture 6"/>
            <wp:cNvGraphicFramePr>
              <a:graphicFrameLocks noChangeAspect="1"/>
            </wp:cNvGraphicFramePr>
            <a:graphic>
              <a:graphicData uri="http://schemas.openxmlformats.org/drawingml/2006/picture">
                <pic:pic>
                  <pic:nvPicPr>
                    <pic:cNvPr id="0" name="docx_chart3_monthly.png"/>
                    <pic:cNvPicPr/>
                  </pic:nvPicPr>
                  <pic:blipFill>
                    <a:blip r:embed="rId16"/>
                    <a:stretch>
                      <a:fillRect/>
                    </a:stretch>
                  </pic:blipFill>
                  <pic:spPr>
                    <a:xfrm>
                      <a:off x="0" y="0"/>
                      <a:ext cx="5669280" cy="2381098"/>
                    </a:xfrm>
                    <a:prstGeom prst="rect"/>
                  </pic:spPr>
                </pic:pic>
              </a:graphicData>
            </a:graphic>
          </wp:inline>
        </w:drawing>
      </w:r>
    </w:p>
    <w:p>
      <w:pPr>
        <w:jc w:val="center"/>
      </w:pPr>
      <w:r>
        <w:rPr>
          <w:i/>
          <w:sz w:val="17"/>
        </w:rPr>
        <w:t>分析圖表三：全時序各月份平均 VOC 濃度趨勢圖 (2025/06 ~ 2026/09)</w:t>
      </w:r>
    </w:p>
    <w:p>
      <w:r>
        <w:drawing>
          <wp:inline xmlns:a="http://schemas.openxmlformats.org/drawingml/2006/main" xmlns:pic="http://schemas.openxmlformats.org/drawingml/2006/picture">
            <wp:extent cx="5943600" cy="2814996"/>
            <wp:docPr id="7" name="Picture 7"/>
            <wp:cNvGraphicFramePr>
              <a:graphicFrameLocks noChangeAspect="1"/>
            </wp:cNvGraphicFramePr>
            <a:graphic>
              <a:graphicData uri="http://schemas.openxmlformats.org/drawingml/2006/picture">
                <pic:pic>
                  <pic:nvPicPr>
                    <pic:cNvPr id="0" name="dajia_weekday_hour_heatmap.png"/>
                    <pic:cNvPicPr/>
                  </pic:nvPicPr>
                  <pic:blipFill>
                    <a:blip r:embed="rId17"/>
                    <a:stretch>
                      <a:fillRect/>
                    </a:stretch>
                  </pic:blipFill>
                  <pic:spPr>
                    <a:xfrm>
                      <a:off x="0" y="0"/>
                      <a:ext cx="5943600" cy="2814996"/>
                    </a:xfrm>
                    <a:prstGeom prst="rect"/>
                  </pic:spPr>
                </pic:pic>
              </a:graphicData>
            </a:graphic>
          </wp:inline>
        </w:drawing>
      </w:r>
    </w:p>
    <w:p>
      <w:pPr>
        <w:jc w:val="center"/>
      </w:pPr>
      <w:r>
        <w:rPr>
          <w:i/>
          <w:sz w:val="17"/>
        </w:rPr>
        <w:t>分析圖表四：全區微感測器 VOC 重度超標 (&gt;500 ppb) 星期與小時頻率熱力矩陣圖</w:t>
        <w:br/>
        <w:t>(X 軸為 00~23 時每格 1 小時 · Y 軸為週一至週日 · 格子內為超標累積次數)</w:t>
      </w:r>
    </w:p>
    <w:p>
      <w:pPr>
        <w:spacing w:after="120" w:line="300" w:lineRule="auto"/>
      </w:pPr>
      <w:r>
        <w:rPr>
          <w:rFonts w:ascii="Microsoft JhengHei" w:hAnsi="Microsoft JhengHei"/>
          <w:color w:val="334155"/>
          <w:sz w:val="21"/>
        </w:rPr>
        <w:t>3. 星期與小時熱力矩陣透視結論：</w:t>
        <w:br/>
        <w:t xml:space="preserve">   • 橫向透視（X 軸小時，每格 1 小時）：每天 00:00～06:00 清晨各格超標累積次數高達 250～306 次（呈現深紅色火海）；中午 11:00～14:00 驟降至 71～99 次（退為淺淡黃色），清晨超標頻率為午後的 3.5 倍。</w:t>
        <w:br/>
        <w:t xml:space="preserve">   • 縱向透視（Y 軸星期）：週一至週日每一列的紅色火斑結構完全一致！各星期全區超標累積總次數（週一 4,798 次 ～ 週日 4,611 次）全週差距僅 5.6%，以二維大數據直接證實大甲幼獅污染屬「全週 7 天連續運轉製程」，打破週末停工之傳統迷思。</w:t>
      </w:r>
    </w:p>
    <w:p>
      <w:pPr>
        <w:keepNext/>
        <w:spacing w:before="360" w:after="160"/>
      </w:pPr>
      <w:r>
        <w:rPr>
          <w:rFonts w:ascii="Microsoft JhengHei" w:hAnsi="Microsoft JhengHei"/>
          <w:b/>
          <w:color w:val="1E3A8A"/>
          <w:sz w:val="28"/>
        </w:rPr>
        <w:t>六、日間 6 大時段連續排污週期特徵</w:t>
      </w:r>
    </w:p>
    <w:p>
      <w:pPr>
        <w:spacing w:after="120" w:line="300" w:lineRule="auto"/>
      </w:pPr>
      <w:r>
        <w:rPr>
          <w:rFonts w:ascii="Microsoft JhengHei" w:hAnsi="Microsoft JhengHei"/>
          <w:color w:val="334155"/>
          <w:sz w:val="21"/>
        </w:rPr>
        <w:t>為精確指導環保局稽查出勤時機，本研究將一日 24 小時劃分為 6 個 4 小時區段展開交叉統計：</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84"/>
        <w:gridCol w:w="1872"/>
        <w:gridCol w:w="1296"/>
        <w:gridCol w:w="1584"/>
        <w:gridCol w:w="1296"/>
        <w:gridCol w:w="1728"/>
      </w:tblGrid>
      <w:tr>
        <w:tc>
          <w:tcPr>
            <w:tcW w:type="dxa" w:w="1560"/>
            <w:shd w:fill="1E3A8A"/>
            <w:tcMar>
              <w:top w:w="80" w:type="dxa"/>
              <w:bottom w:w="80" w:type="dxa"/>
              <w:left w:w="50" w:type="dxa"/>
              <w:right w:w="50" w:type="dxa"/>
            </w:tcMar>
          </w:tcPr>
          <w:p>
            <w:r>
              <w:rPr>
                <w:rFonts w:ascii="Microsoft JhengHei" w:hAnsi="Microsoft JhengHei"/>
                <w:b/>
                <w:color w:val="FFFFFF"/>
                <w:sz w:val="17"/>
              </w:rPr>
              <w:t>時段區間</w:t>
            </w:r>
          </w:p>
        </w:tc>
        <w:tc>
          <w:tcPr>
            <w:tcW w:type="dxa" w:w="1560"/>
            <w:shd w:fill="1E3A8A"/>
            <w:tcMar>
              <w:top w:w="80" w:type="dxa"/>
              <w:bottom w:w="80" w:type="dxa"/>
              <w:left w:w="50" w:type="dxa"/>
              <w:right w:w="50" w:type="dxa"/>
            </w:tcMar>
          </w:tcPr>
          <w:p>
            <w:r>
              <w:rPr>
                <w:rFonts w:ascii="Microsoft JhengHei" w:hAnsi="Microsoft JhengHei"/>
                <w:b/>
                <w:color w:val="FFFFFF"/>
                <w:sz w:val="17"/>
              </w:rPr>
              <w:t>代表時段特徵</w:t>
            </w:r>
          </w:p>
        </w:tc>
        <w:tc>
          <w:tcPr>
            <w:tcW w:type="dxa" w:w="1560"/>
            <w:shd w:fill="1E3A8A"/>
            <w:tcMar>
              <w:top w:w="80" w:type="dxa"/>
              <w:bottom w:w="80" w:type="dxa"/>
              <w:left w:w="50" w:type="dxa"/>
              <w:right w:w="50" w:type="dxa"/>
            </w:tcMar>
          </w:tcPr>
          <w:p>
            <w:r>
              <w:rPr>
                <w:rFonts w:ascii="Microsoft JhengHei" w:hAnsi="Microsoft JhengHei"/>
                <w:b/>
                <w:color w:val="FFFFFF"/>
                <w:sz w:val="17"/>
              </w:rPr>
              <w:t>VOC 均值 (ppb)</w:t>
            </w:r>
          </w:p>
        </w:tc>
        <w:tc>
          <w:tcPr>
            <w:tcW w:type="dxa" w:w="1560"/>
            <w:shd w:fill="1E3A8A"/>
            <w:tcMar>
              <w:top w:w="80" w:type="dxa"/>
              <w:bottom w:w="80" w:type="dxa"/>
              <w:left w:w="50" w:type="dxa"/>
              <w:right w:w="50" w:type="dxa"/>
            </w:tcMar>
          </w:tcPr>
          <w:p>
            <w:r>
              <w:rPr>
                <w:rFonts w:ascii="Microsoft JhengHei" w:hAnsi="Microsoft JhengHei"/>
                <w:b/>
                <w:color w:val="FFFFFF"/>
                <w:sz w:val="17"/>
              </w:rPr>
              <w:t>超標次數 (&gt;500 ppb)</w:t>
            </w:r>
          </w:p>
        </w:tc>
        <w:tc>
          <w:tcPr>
            <w:tcW w:type="dxa" w:w="1560"/>
            <w:shd w:fill="1E3A8A"/>
            <w:tcMar>
              <w:top w:w="80" w:type="dxa"/>
              <w:bottom w:w="80" w:type="dxa"/>
              <w:left w:w="50" w:type="dxa"/>
              <w:right w:w="50" w:type="dxa"/>
            </w:tcMar>
          </w:tcPr>
          <w:p>
            <w:r>
              <w:rPr>
                <w:rFonts w:ascii="Microsoft JhengHei" w:hAnsi="Microsoft JhengHei"/>
                <w:b/>
                <w:color w:val="FFFFFF"/>
                <w:sz w:val="17"/>
              </w:rPr>
              <w:t>重度事件率</w:t>
            </w:r>
          </w:p>
        </w:tc>
        <w:tc>
          <w:tcPr>
            <w:tcW w:type="dxa" w:w="1560"/>
            <w:shd w:fill="1E3A8A"/>
            <w:tcMar>
              <w:top w:w="80" w:type="dxa"/>
              <w:bottom w:w="80" w:type="dxa"/>
              <w:left w:w="50" w:type="dxa"/>
              <w:right w:w="50" w:type="dxa"/>
            </w:tcMar>
          </w:tcPr>
          <w:p>
            <w:r>
              <w:rPr>
                <w:rFonts w:ascii="Microsoft JhengHei" w:hAnsi="Microsoft JhengHei"/>
                <w:b/>
                <w:color w:val="FFFFFF"/>
                <w:sz w:val="17"/>
              </w:rPr>
              <w:t>執法優先序</w:t>
            </w:r>
          </w:p>
        </w:tc>
      </w:tr>
      <w:tr>
        <w:tc>
          <w:tcPr>
            <w:tcW w:type="dxa" w:w="1560"/>
            <w:shd w:fill="FEE2E2"/>
            <w:tcMar>
              <w:top w:w="60" w:type="dxa"/>
              <w:bottom w:w="60" w:type="dxa"/>
              <w:left w:w="50" w:type="dxa"/>
              <w:right w:w="50" w:type="dxa"/>
            </w:tcMar>
          </w:tcPr>
          <w:p>
            <w:r>
              <w:rPr>
                <w:rFonts w:ascii="Microsoft JhengHei" w:hAnsi="Microsoft JhengHei"/>
                <w:b/>
                <w:color w:val="DC2626"/>
                <w:sz w:val="17"/>
              </w:rPr>
              <w:t>04:00~08:00</w:t>
            </w:r>
          </w:p>
        </w:tc>
        <w:tc>
          <w:tcPr>
            <w:tcW w:type="dxa" w:w="1560"/>
            <w:shd w:fill="FEE2E2"/>
            <w:tcMar>
              <w:top w:w="60" w:type="dxa"/>
              <w:bottom w:w="60" w:type="dxa"/>
              <w:left w:w="50" w:type="dxa"/>
              <w:right w:w="50" w:type="dxa"/>
            </w:tcMar>
          </w:tcPr>
          <w:p>
            <w:r>
              <w:rPr>
                <w:rFonts w:ascii="Microsoft JhengHei" w:hAnsi="Microsoft JhengHei"/>
                <w:color w:val="DC2626"/>
                <w:sz w:val="17"/>
              </w:rPr>
              <w:t>清晨逆溫壓制期</w:t>
            </w:r>
          </w:p>
        </w:tc>
        <w:tc>
          <w:tcPr>
            <w:tcW w:type="dxa" w:w="1560"/>
            <w:shd w:fill="FEE2E2"/>
            <w:tcMar>
              <w:top w:w="60" w:type="dxa"/>
              <w:bottom w:w="60" w:type="dxa"/>
              <w:left w:w="50" w:type="dxa"/>
              <w:right w:w="50" w:type="dxa"/>
            </w:tcMar>
          </w:tcPr>
          <w:p>
            <w:r>
              <w:rPr>
                <w:rFonts w:ascii="Microsoft JhengHei" w:hAnsi="Microsoft JhengHei"/>
                <w:color w:val="DC2626"/>
                <w:sz w:val="17"/>
              </w:rPr>
              <w:t>520 ppb</w:t>
            </w:r>
          </w:p>
        </w:tc>
        <w:tc>
          <w:tcPr>
            <w:tcW w:type="dxa" w:w="1560"/>
            <w:shd w:fill="FEE2E2"/>
            <w:tcMar>
              <w:top w:w="60" w:type="dxa"/>
              <w:bottom w:w="60" w:type="dxa"/>
              <w:left w:w="50" w:type="dxa"/>
              <w:right w:w="50" w:type="dxa"/>
            </w:tcMar>
          </w:tcPr>
          <w:p>
            <w:r>
              <w:rPr>
                <w:rFonts w:ascii="Microsoft JhengHei" w:hAnsi="Microsoft JhengHei"/>
                <w:b/>
                <w:color w:val="DC2626"/>
                <w:sz w:val="17"/>
              </w:rPr>
              <w:t>7,083 次</w:t>
            </w:r>
          </w:p>
        </w:tc>
        <w:tc>
          <w:tcPr>
            <w:tcW w:type="dxa" w:w="1560"/>
            <w:shd w:fill="FEE2E2"/>
            <w:tcMar>
              <w:top w:w="60" w:type="dxa"/>
              <w:bottom w:w="60" w:type="dxa"/>
              <w:left w:w="50" w:type="dxa"/>
              <w:right w:w="50" w:type="dxa"/>
            </w:tcMar>
          </w:tcPr>
          <w:p>
            <w:r>
              <w:rPr>
                <w:rFonts w:ascii="Microsoft JhengHei" w:hAnsi="Microsoft JhengHei"/>
                <w:color w:val="DC2626"/>
                <w:sz w:val="17"/>
              </w:rPr>
              <w:t>16.7%</w:t>
            </w:r>
          </w:p>
        </w:tc>
        <w:tc>
          <w:tcPr>
            <w:tcW w:type="dxa" w:w="1560"/>
            <w:shd w:fill="FEE2E2"/>
            <w:tcMar>
              <w:top w:w="60" w:type="dxa"/>
              <w:bottom w:w="60" w:type="dxa"/>
              <w:left w:w="50" w:type="dxa"/>
              <w:right w:w="50" w:type="dxa"/>
            </w:tcMar>
          </w:tcPr>
          <w:p>
            <w:r>
              <w:rPr>
                <w:rFonts w:ascii="Microsoft JhengHei" w:hAnsi="Microsoft JhengHei"/>
                <w:b/>
                <w:color w:val="DC2626"/>
                <w:sz w:val="17"/>
              </w:rPr>
              <w:t>第一優先 (黃金出勤窗口)</w:t>
            </w:r>
          </w:p>
        </w:tc>
      </w:tr>
      <w:tr>
        <w:tc>
          <w:tcPr>
            <w:tcW w:type="dxa" w:w="1560"/>
            <w:shd w:fill="FFF7ED"/>
            <w:tcMar>
              <w:top w:w="60" w:type="dxa"/>
              <w:bottom w:w="60" w:type="dxa"/>
              <w:left w:w="50" w:type="dxa"/>
              <w:right w:w="50" w:type="dxa"/>
            </w:tcMar>
          </w:tcPr>
          <w:p>
            <w:r>
              <w:rPr>
                <w:rFonts w:ascii="Microsoft JhengHei" w:hAnsi="Microsoft JhengHei"/>
                <w:b/>
                <w:color w:val="334155"/>
                <w:sz w:val="17"/>
              </w:rPr>
              <w:t>00:00~04:00</w:t>
            </w:r>
          </w:p>
        </w:tc>
        <w:tc>
          <w:tcPr>
            <w:tcW w:type="dxa" w:w="1560"/>
            <w:shd w:fill="FFF7ED"/>
            <w:tcMar>
              <w:top w:w="60" w:type="dxa"/>
              <w:bottom w:w="60" w:type="dxa"/>
              <w:left w:w="50" w:type="dxa"/>
              <w:right w:w="50" w:type="dxa"/>
            </w:tcMar>
          </w:tcPr>
          <w:p>
            <w:r>
              <w:rPr>
                <w:rFonts w:ascii="Microsoft JhengHei" w:hAnsi="Microsoft JhengHei"/>
                <w:color w:val="334155"/>
                <w:sz w:val="17"/>
              </w:rPr>
              <w:t>深夜偷排高發期</w:t>
            </w:r>
          </w:p>
        </w:tc>
        <w:tc>
          <w:tcPr>
            <w:tcW w:type="dxa" w:w="1560"/>
            <w:shd w:fill="FFF7ED"/>
            <w:tcMar>
              <w:top w:w="60" w:type="dxa"/>
              <w:bottom w:w="60" w:type="dxa"/>
              <w:left w:w="50" w:type="dxa"/>
              <w:right w:w="50" w:type="dxa"/>
            </w:tcMar>
          </w:tcPr>
          <w:p>
            <w:r>
              <w:rPr>
                <w:rFonts w:ascii="Microsoft JhengHei" w:hAnsi="Microsoft JhengHei"/>
                <w:color w:val="334155"/>
                <w:sz w:val="17"/>
              </w:rPr>
              <w:t>465 ppb</w:t>
            </w:r>
          </w:p>
        </w:tc>
        <w:tc>
          <w:tcPr>
            <w:tcW w:type="dxa" w:w="1560"/>
            <w:shd w:fill="FFF7ED"/>
            <w:tcMar>
              <w:top w:w="60" w:type="dxa"/>
              <w:bottom w:w="60" w:type="dxa"/>
              <w:left w:w="50" w:type="dxa"/>
              <w:right w:w="50" w:type="dxa"/>
            </w:tcMar>
          </w:tcPr>
          <w:p>
            <w:r>
              <w:rPr>
                <w:rFonts w:ascii="Microsoft JhengHei" w:hAnsi="Microsoft JhengHei"/>
                <w:b/>
                <w:color w:val="DC2626"/>
                <w:sz w:val="17"/>
              </w:rPr>
              <w:t>7,489 次</w:t>
            </w:r>
          </w:p>
        </w:tc>
        <w:tc>
          <w:tcPr>
            <w:tcW w:type="dxa" w:w="1560"/>
            <w:shd w:fill="FFF7ED"/>
            <w:tcMar>
              <w:top w:w="60" w:type="dxa"/>
              <w:bottom w:w="60" w:type="dxa"/>
              <w:left w:w="50" w:type="dxa"/>
              <w:right w:w="50" w:type="dxa"/>
            </w:tcMar>
          </w:tcPr>
          <w:p>
            <w:r>
              <w:rPr>
                <w:rFonts w:ascii="Microsoft JhengHei" w:hAnsi="Microsoft JhengHei"/>
                <w:color w:val="334155"/>
                <w:sz w:val="17"/>
              </w:rPr>
              <w:t>14.2%</w:t>
            </w:r>
          </w:p>
        </w:tc>
        <w:tc>
          <w:tcPr>
            <w:tcW w:type="dxa" w:w="1560"/>
            <w:shd w:fill="FFF7ED"/>
            <w:tcMar>
              <w:top w:w="60" w:type="dxa"/>
              <w:bottom w:w="60" w:type="dxa"/>
              <w:left w:w="50" w:type="dxa"/>
              <w:right w:w="50" w:type="dxa"/>
            </w:tcMar>
          </w:tcPr>
          <w:p>
            <w:r>
              <w:rPr>
                <w:rFonts w:ascii="Microsoft JhengHei" w:hAnsi="Microsoft JhengHei"/>
                <w:b/>
                <w:color w:val="334155"/>
                <w:sz w:val="17"/>
              </w:rPr>
              <w:t>高優先 (夜間巡邏跟監)</w:t>
            </w:r>
          </w:p>
        </w:tc>
      </w:tr>
      <w:tr>
        <w:tc>
          <w:tcPr>
            <w:tcW w:type="dxa" w:w="1560"/>
            <w:shd w:fill="FFFFFF"/>
            <w:tcMar>
              <w:top w:w="60" w:type="dxa"/>
              <w:bottom w:w="60" w:type="dxa"/>
              <w:left w:w="50" w:type="dxa"/>
              <w:right w:w="50" w:type="dxa"/>
            </w:tcMar>
          </w:tcPr>
          <w:p>
            <w:r>
              <w:rPr>
                <w:rFonts w:ascii="Microsoft JhengHei" w:hAnsi="Microsoft JhengHei"/>
                <w:b/>
                <w:color w:val="334155"/>
                <w:sz w:val="17"/>
              </w:rPr>
              <w:t>20:00~24:00</w:t>
            </w:r>
          </w:p>
        </w:tc>
        <w:tc>
          <w:tcPr>
            <w:tcW w:type="dxa" w:w="1560"/>
            <w:shd w:fill="FFFFFF"/>
            <w:tcMar>
              <w:top w:w="60" w:type="dxa"/>
              <w:bottom w:w="60" w:type="dxa"/>
              <w:left w:w="50" w:type="dxa"/>
              <w:right w:w="50" w:type="dxa"/>
            </w:tcMar>
          </w:tcPr>
          <w:p>
            <w:r>
              <w:rPr>
                <w:rFonts w:ascii="Microsoft JhengHei" w:hAnsi="Microsoft JhengHei"/>
                <w:color w:val="334155"/>
                <w:sz w:val="17"/>
              </w:rPr>
              <w:t>夜間排放蓄積期</w:t>
            </w:r>
          </w:p>
        </w:tc>
        <w:tc>
          <w:tcPr>
            <w:tcW w:type="dxa" w:w="1560"/>
            <w:shd w:fill="FFFFFF"/>
            <w:tcMar>
              <w:top w:w="60" w:type="dxa"/>
              <w:bottom w:w="60" w:type="dxa"/>
              <w:left w:w="50" w:type="dxa"/>
              <w:right w:w="50" w:type="dxa"/>
            </w:tcMar>
          </w:tcPr>
          <w:p>
            <w:r>
              <w:rPr>
                <w:rFonts w:ascii="Microsoft JhengHei" w:hAnsi="Microsoft JhengHei"/>
                <w:color w:val="334155"/>
                <w:sz w:val="17"/>
              </w:rPr>
              <w:t>380 ppb</w:t>
            </w:r>
          </w:p>
        </w:tc>
        <w:tc>
          <w:tcPr>
            <w:tcW w:type="dxa" w:w="1560"/>
            <w:shd w:fill="FFFFFF"/>
            <w:tcMar>
              <w:top w:w="60" w:type="dxa"/>
              <w:bottom w:w="60" w:type="dxa"/>
              <w:left w:w="50" w:type="dxa"/>
              <w:right w:w="50" w:type="dxa"/>
            </w:tcMar>
          </w:tcPr>
          <w:p>
            <w:r>
              <w:rPr>
                <w:rFonts w:ascii="Microsoft JhengHei" w:hAnsi="Microsoft JhengHei"/>
                <w:b/>
                <w:color w:val="EA580C"/>
                <w:sz w:val="17"/>
              </w:rPr>
              <w:t>6,745 次</w:t>
            </w:r>
          </w:p>
        </w:tc>
        <w:tc>
          <w:tcPr>
            <w:tcW w:type="dxa" w:w="1560"/>
            <w:shd w:fill="FFFFFF"/>
            <w:tcMar>
              <w:top w:w="60" w:type="dxa"/>
              <w:bottom w:w="60" w:type="dxa"/>
              <w:left w:w="50" w:type="dxa"/>
              <w:right w:w="50" w:type="dxa"/>
            </w:tcMar>
          </w:tcPr>
          <w:p>
            <w:r>
              <w:rPr>
                <w:rFonts w:ascii="Microsoft JhengHei" w:hAnsi="Microsoft JhengHei"/>
                <w:color w:val="334155"/>
                <w:sz w:val="17"/>
              </w:rPr>
              <w:t>9.8%</w:t>
            </w:r>
          </w:p>
        </w:tc>
        <w:tc>
          <w:tcPr>
            <w:tcW w:type="dxa" w:w="1560"/>
            <w:shd w:fill="FFFFFF"/>
            <w:tcMar>
              <w:top w:w="60" w:type="dxa"/>
              <w:bottom w:w="60" w:type="dxa"/>
              <w:left w:w="50" w:type="dxa"/>
              <w:right w:w="50" w:type="dxa"/>
            </w:tcMar>
          </w:tcPr>
          <w:p>
            <w:r>
              <w:rPr>
                <w:rFonts w:ascii="Microsoft JhengHei" w:hAnsi="Microsoft JhengHei"/>
                <w:b/>
                <w:color w:val="334155"/>
                <w:sz w:val="17"/>
              </w:rPr>
              <w:t>中優先 (周界駐點快篩)</w:t>
            </w:r>
          </w:p>
        </w:tc>
      </w:tr>
      <w:tr>
        <w:tc>
          <w:tcPr>
            <w:tcW w:type="dxa" w:w="1560"/>
            <w:shd w:fill="FFFFFF"/>
            <w:tcMar>
              <w:top w:w="60" w:type="dxa"/>
              <w:bottom w:w="60" w:type="dxa"/>
              <w:left w:w="50" w:type="dxa"/>
              <w:right w:w="50" w:type="dxa"/>
            </w:tcMar>
          </w:tcPr>
          <w:p>
            <w:r>
              <w:rPr>
                <w:rFonts w:ascii="Microsoft JhengHei" w:hAnsi="Microsoft JhengHei"/>
                <w:b/>
                <w:color w:val="334155"/>
                <w:sz w:val="17"/>
              </w:rPr>
              <w:t>16:00~20:00</w:t>
            </w:r>
          </w:p>
        </w:tc>
        <w:tc>
          <w:tcPr>
            <w:tcW w:type="dxa" w:w="1560"/>
            <w:shd w:fill="FFFFFF"/>
            <w:tcMar>
              <w:top w:w="60" w:type="dxa"/>
              <w:bottom w:w="60" w:type="dxa"/>
              <w:left w:w="50" w:type="dxa"/>
              <w:right w:w="50" w:type="dxa"/>
            </w:tcMar>
          </w:tcPr>
          <w:p>
            <w:r>
              <w:rPr>
                <w:rFonts w:ascii="Microsoft JhengHei" w:hAnsi="Microsoft JhengHei"/>
                <w:color w:val="334155"/>
                <w:sz w:val="17"/>
              </w:rPr>
              <w:t>傍晚風向轉換期</w:t>
            </w:r>
          </w:p>
        </w:tc>
        <w:tc>
          <w:tcPr>
            <w:tcW w:type="dxa" w:w="1560"/>
            <w:shd w:fill="FFFFFF"/>
            <w:tcMar>
              <w:top w:w="60" w:type="dxa"/>
              <w:bottom w:w="60" w:type="dxa"/>
              <w:left w:w="50" w:type="dxa"/>
              <w:right w:w="50" w:type="dxa"/>
            </w:tcMar>
          </w:tcPr>
          <w:p>
            <w:r>
              <w:rPr>
                <w:rFonts w:ascii="Microsoft JhengHei" w:hAnsi="Microsoft JhengHei"/>
                <w:color w:val="334155"/>
                <w:sz w:val="17"/>
              </w:rPr>
              <w:t>245 ppb</w:t>
            </w:r>
          </w:p>
        </w:tc>
        <w:tc>
          <w:tcPr>
            <w:tcW w:type="dxa" w:w="1560"/>
            <w:shd w:fill="FFFFFF"/>
            <w:tcMar>
              <w:top w:w="60" w:type="dxa"/>
              <w:bottom w:w="60" w:type="dxa"/>
              <w:left w:w="50" w:type="dxa"/>
              <w:right w:w="50" w:type="dxa"/>
            </w:tcMar>
          </w:tcPr>
          <w:p>
            <w:r>
              <w:rPr>
                <w:rFonts w:ascii="Microsoft JhengHei" w:hAnsi="Microsoft JhengHei"/>
                <w:b/>
                <w:color w:val="EA580C"/>
                <w:sz w:val="17"/>
              </w:rPr>
              <w:t>5,719 次</w:t>
            </w:r>
          </w:p>
        </w:tc>
        <w:tc>
          <w:tcPr>
            <w:tcW w:type="dxa" w:w="1560"/>
            <w:shd w:fill="FFFFFF"/>
            <w:tcMar>
              <w:top w:w="60" w:type="dxa"/>
              <w:bottom w:w="60" w:type="dxa"/>
              <w:left w:w="50" w:type="dxa"/>
              <w:right w:w="50" w:type="dxa"/>
            </w:tcMar>
          </w:tcPr>
          <w:p>
            <w:r>
              <w:rPr>
                <w:rFonts w:ascii="Microsoft JhengHei" w:hAnsi="Microsoft JhengHei"/>
                <w:color w:val="334155"/>
                <w:sz w:val="17"/>
              </w:rPr>
              <w:t>7.1%</w:t>
            </w:r>
          </w:p>
        </w:tc>
        <w:tc>
          <w:tcPr>
            <w:tcW w:type="dxa" w:w="1560"/>
            <w:shd w:fill="FFFFFF"/>
            <w:tcMar>
              <w:top w:w="60" w:type="dxa"/>
              <w:bottom w:w="60" w:type="dxa"/>
              <w:left w:w="50" w:type="dxa"/>
              <w:right w:w="50" w:type="dxa"/>
            </w:tcMar>
          </w:tcPr>
          <w:p>
            <w:r>
              <w:rPr>
                <w:rFonts w:ascii="Microsoft JhengHei" w:hAnsi="Microsoft JhengHei"/>
                <w:b/>
                <w:color w:val="334155"/>
                <w:sz w:val="17"/>
              </w:rPr>
              <w:t>常態監測</w:t>
            </w:r>
          </w:p>
        </w:tc>
      </w:tr>
      <w:tr>
        <w:tc>
          <w:tcPr>
            <w:tcW w:type="dxa" w:w="1560"/>
            <w:shd w:fill="FFFFFF"/>
            <w:tcMar>
              <w:top w:w="60" w:type="dxa"/>
              <w:bottom w:w="60" w:type="dxa"/>
              <w:left w:w="50" w:type="dxa"/>
              <w:right w:w="50" w:type="dxa"/>
            </w:tcMar>
          </w:tcPr>
          <w:p>
            <w:r>
              <w:rPr>
                <w:rFonts w:ascii="Microsoft JhengHei" w:hAnsi="Microsoft JhengHei"/>
                <w:b/>
                <w:color w:val="334155"/>
                <w:sz w:val="17"/>
              </w:rPr>
              <w:t>12:00~16:00</w:t>
            </w:r>
          </w:p>
        </w:tc>
        <w:tc>
          <w:tcPr>
            <w:tcW w:type="dxa" w:w="1560"/>
            <w:shd w:fill="FFFFFF"/>
            <w:tcMar>
              <w:top w:w="60" w:type="dxa"/>
              <w:bottom w:w="60" w:type="dxa"/>
              <w:left w:w="50" w:type="dxa"/>
              <w:right w:w="50" w:type="dxa"/>
            </w:tcMar>
          </w:tcPr>
          <w:p>
            <w:r>
              <w:rPr>
                <w:rFonts w:ascii="Microsoft JhengHei" w:hAnsi="Microsoft JhengHei"/>
                <w:color w:val="334155"/>
                <w:sz w:val="17"/>
              </w:rPr>
              <w:t>午後對流消散期</w:t>
            </w:r>
          </w:p>
        </w:tc>
        <w:tc>
          <w:tcPr>
            <w:tcW w:type="dxa" w:w="1560"/>
            <w:shd w:fill="FFFFFF"/>
            <w:tcMar>
              <w:top w:w="60" w:type="dxa"/>
              <w:bottom w:w="60" w:type="dxa"/>
              <w:left w:w="50" w:type="dxa"/>
              <w:right w:w="50" w:type="dxa"/>
            </w:tcMar>
          </w:tcPr>
          <w:p>
            <w:r>
              <w:rPr>
                <w:rFonts w:ascii="Microsoft JhengHei" w:hAnsi="Microsoft JhengHei"/>
                <w:color w:val="334155"/>
                <w:sz w:val="17"/>
              </w:rPr>
              <w:t>183 ppb</w:t>
            </w:r>
          </w:p>
        </w:tc>
        <w:tc>
          <w:tcPr>
            <w:tcW w:type="dxa" w:w="1560"/>
            <w:shd w:fill="FFFFFF"/>
            <w:tcMar>
              <w:top w:w="60" w:type="dxa"/>
              <w:bottom w:w="60" w:type="dxa"/>
              <w:left w:w="50" w:type="dxa"/>
              <w:right w:w="50" w:type="dxa"/>
            </w:tcMar>
          </w:tcPr>
          <w:p>
            <w:r>
              <w:rPr>
                <w:rFonts w:ascii="Microsoft JhengHei" w:hAnsi="Microsoft JhengHei"/>
                <w:b/>
                <w:color w:val="475569"/>
                <w:sz w:val="17"/>
              </w:rPr>
              <w:t>3,083 次</w:t>
            </w:r>
          </w:p>
        </w:tc>
        <w:tc>
          <w:tcPr>
            <w:tcW w:type="dxa" w:w="1560"/>
            <w:shd w:fill="FFFFFF"/>
            <w:tcMar>
              <w:top w:w="60" w:type="dxa"/>
              <w:bottom w:w="60" w:type="dxa"/>
              <w:left w:w="50" w:type="dxa"/>
              <w:right w:w="50" w:type="dxa"/>
            </w:tcMar>
          </w:tcPr>
          <w:p>
            <w:r>
              <w:rPr>
                <w:rFonts w:ascii="Microsoft JhengHei" w:hAnsi="Microsoft JhengHei"/>
                <w:color w:val="334155"/>
                <w:sz w:val="17"/>
              </w:rPr>
              <w:t>6.8%</w:t>
            </w:r>
          </w:p>
        </w:tc>
        <w:tc>
          <w:tcPr>
            <w:tcW w:type="dxa" w:w="1560"/>
            <w:shd w:fill="FFFFFF"/>
            <w:tcMar>
              <w:top w:w="60" w:type="dxa"/>
              <w:bottom w:w="60" w:type="dxa"/>
              <w:left w:w="50" w:type="dxa"/>
              <w:right w:w="50" w:type="dxa"/>
            </w:tcMar>
          </w:tcPr>
          <w:p>
            <w:r>
              <w:rPr>
                <w:rFonts w:ascii="Microsoft JhengHei" w:hAnsi="Microsoft JhengHei"/>
                <w:b/>
                <w:color w:val="334155"/>
                <w:sz w:val="17"/>
              </w:rPr>
              <w:t>一般巡查</w:t>
            </w:r>
          </w:p>
        </w:tc>
      </w:tr>
      <w:tr>
        <w:tc>
          <w:tcPr>
            <w:tcW w:type="dxa" w:w="1560"/>
            <w:shd w:fill="FFFFFF"/>
            <w:tcMar>
              <w:top w:w="60" w:type="dxa"/>
              <w:bottom w:w="60" w:type="dxa"/>
              <w:left w:w="50" w:type="dxa"/>
              <w:right w:w="50" w:type="dxa"/>
            </w:tcMar>
          </w:tcPr>
          <w:p>
            <w:r>
              <w:rPr>
                <w:rFonts w:ascii="Microsoft JhengHei" w:hAnsi="Microsoft JhengHei"/>
                <w:b/>
                <w:color w:val="334155"/>
                <w:sz w:val="17"/>
              </w:rPr>
              <w:t>08:00~12:00</w:t>
            </w:r>
          </w:p>
        </w:tc>
        <w:tc>
          <w:tcPr>
            <w:tcW w:type="dxa" w:w="1560"/>
            <w:shd w:fill="FFFFFF"/>
            <w:tcMar>
              <w:top w:w="60" w:type="dxa"/>
              <w:bottom w:w="60" w:type="dxa"/>
              <w:left w:w="50" w:type="dxa"/>
              <w:right w:w="50" w:type="dxa"/>
            </w:tcMar>
          </w:tcPr>
          <w:p>
            <w:r>
              <w:rPr>
                <w:rFonts w:ascii="Microsoft JhengHei" w:hAnsi="Microsoft JhengHei"/>
                <w:color w:val="334155"/>
                <w:sz w:val="17"/>
              </w:rPr>
              <w:t>晨間工廠開工期</w:t>
            </w:r>
          </w:p>
        </w:tc>
        <w:tc>
          <w:tcPr>
            <w:tcW w:type="dxa" w:w="1560"/>
            <w:shd w:fill="FFFFFF"/>
            <w:tcMar>
              <w:top w:w="60" w:type="dxa"/>
              <w:bottom w:w="60" w:type="dxa"/>
              <w:left w:w="50" w:type="dxa"/>
              <w:right w:w="50" w:type="dxa"/>
            </w:tcMar>
          </w:tcPr>
          <w:p>
            <w:r>
              <w:rPr>
                <w:rFonts w:ascii="Microsoft JhengHei" w:hAnsi="Microsoft JhengHei"/>
                <w:color w:val="334155"/>
                <w:sz w:val="17"/>
              </w:rPr>
              <w:t>285 ppb</w:t>
            </w:r>
          </w:p>
        </w:tc>
        <w:tc>
          <w:tcPr>
            <w:tcW w:type="dxa" w:w="1560"/>
            <w:shd w:fill="FFFFFF"/>
            <w:tcMar>
              <w:top w:w="60" w:type="dxa"/>
              <w:bottom w:w="60" w:type="dxa"/>
              <w:left w:w="50" w:type="dxa"/>
              <w:right w:w="50" w:type="dxa"/>
            </w:tcMar>
          </w:tcPr>
          <w:p>
            <w:r>
              <w:rPr>
                <w:rFonts w:ascii="Microsoft JhengHei" w:hAnsi="Microsoft JhengHei"/>
                <w:b/>
                <w:color w:val="475569"/>
                <w:sz w:val="17"/>
              </w:rPr>
              <w:t>2,910 次</w:t>
            </w:r>
          </w:p>
        </w:tc>
        <w:tc>
          <w:tcPr>
            <w:tcW w:type="dxa" w:w="1560"/>
            <w:shd w:fill="FFFFFF"/>
            <w:tcMar>
              <w:top w:w="60" w:type="dxa"/>
              <w:bottom w:w="60" w:type="dxa"/>
              <w:left w:w="50" w:type="dxa"/>
              <w:right w:w="50" w:type="dxa"/>
            </w:tcMar>
          </w:tcPr>
          <w:p>
            <w:r>
              <w:rPr>
                <w:rFonts w:ascii="Microsoft JhengHei" w:hAnsi="Microsoft JhengHei"/>
                <w:color w:val="334155"/>
                <w:sz w:val="17"/>
              </w:rPr>
              <w:t>7.5%</w:t>
            </w:r>
          </w:p>
        </w:tc>
        <w:tc>
          <w:tcPr>
            <w:tcW w:type="dxa" w:w="1560"/>
            <w:shd w:fill="FFFFFF"/>
            <w:tcMar>
              <w:top w:w="60" w:type="dxa"/>
              <w:bottom w:w="60" w:type="dxa"/>
              <w:left w:w="50" w:type="dxa"/>
              <w:right w:w="50" w:type="dxa"/>
            </w:tcMar>
          </w:tcPr>
          <w:p>
            <w:r>
              <w:rPr>
                <w:rFonts w:ascii="Microsoft JhengHei" w:hAnsi="Microsoft JhengHei"/>
                <w:b/>
                <w:color w:val="334155"/>
                <w:sz w:val="17"/>
              </w:rPr>
              <w:t>常態監測</w:t>
            </w:r>
          </w:p>
        </w:tc>
      </w:tr>
    </w:tbl>
    <w:p>
      <w:pPr>
        <w:spacing w:after="240"/>
      </w:pPr>
    </w:p>
    <w:p>
      <w:r>
        <w:drawing>
          <wp:inline xmlns:a="http://schemas.openxmlformats.org/drawingml/2006/main" xmlns:pic="http://schemas.openxmlformats.org/drawingml/2006/picture">
            <wp:extent cx="5669280" cy="2393696"/>
            <wp:docPr id="8" name="Picture 8"/>
            <wp:cNvGraphicFramePr>
              <a:graphicFrameLocks noChangeAspect="1"/>
            </wp:cNvGraphicFramePr>
            <a:graphic>
              <a:graphicData uri="http://schemas.openxmlformats.org/drawingml/2006/picture">
                <pic:pic>
                  <pic:nvPicPr>
                    <pic:cNvPr id="0" name="docx_chart4_timeblocks.png"/>
                    <pic:cNvPicPr/>
                  </pic:nvPicPr>
                  <pic:blipFill>
                    <a:blip r:embed="rId18"/>
                    <a:stretch>
                      <a:fillRect/>
                    </a:stretch>
                  </pic:blipFill>
                  <pic:spPr>
                    <a:xfrm>
                      <a:off x="0" y="0"/>
                      <a:ext cx="5669280" cy="2393696"/>
                    </a:xfrm>
                    <a:prstGeom prst="rect"/>
                  </pic:spPr>
                </pic:pic>
              </a:graphicData>
            </a:graphic>
          </wp:inline>
        </w:drawing>
      </w:r>
    </w:p>
    <w:p>
      <w:pPr>
        <w:jc w:val="center"/>
      </w:pPr>
      <w:r>
        <w:rPr>
          <w:i/>
          <w:sz w:val="17"/>
        </w:rPr>
        <w:t>分析圖表四：一日 6 大時段 VOC 濃度與重度超標發生率對照圖</w:t>
      </w:r>
    </w:p>
    <w:p>
      <w:pPr>
        <w:spacing w:after="120" w:line="300" w:lineRule="auto"/>
      </w:pPr>
      <w:r>
        <w:rPr>
          <w:rFonts w:ascii="Microsoft JhengHei" w:hAnsi="Microsoft JhengHei"/>
          <w:color w:val="334155"/>
          <w:sz w:val="21"/>
        </w:rPr>
        <w:t>時段維度呈現【2.8 倍之極強信號】。清晨 04:00～08:00 平均濃度（520 ppb）是午後 12:00～16:00（183 ppb）的 2.8 倍，重度超標發生率更從 6.8% 暴增至 16.7%。因此，環保局科技稽查之核心出擊時段應絕對死守【清晨 04:30～06:30】，方能於落地濃度最高、事證最明確之時段精準查扣事證。</w:t>
      </w:r>
    </w:p>
    <w:p>
      <w:pPr>
        <w:keepNext/>
        <w:spacing w:before="360" w:after="160"/>
      </w:pPr>
      <w:r>
        <w:rPr>
          <w:rFonts w:ascii="Microsoft JhengHei" w:hAnsi="Microsoft JhengHei"/>
          <w:b/>
          <w:color w:val="1E3A8A"/>
          <w:sz w:val="28"/>
        </w:rPr>
        <w:t>七、三大可疑熱區劃設與現場稽查路段定位</w:t>
      </w:r>
    </w:p>
    <w:p>
      <w:pPr>
        <w:spacing w:after="120" w:line="300" w:lineRule="auto"/>
      </w:pPr>
      <w:r>
        <w:rPr>
          <w:rFonts w:ascii="Microsoft JhengHei" w:hAnsi="Microsoft JhengHei"/>
          <w:color w:val="334155"/>
          <w:sz w:val="21"/>
        </w:rPr>
        <w:t>本研究依據空間核密度面域與地形風場，於地圖正式劃設三大警戒熱區多邊形，並具體標定重點稽查路段：</w:t>
      </w: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dc2626"/>
              <w:bottom w:val="none"/>
              <w:right w:val="none"/>
            </w:tcBorders>
          </w:tcPr>
          <w:p>
            <w:pPr>
              <w:spacing w:after="80"/>
            </w:pPr>
            <w:r>
              <w:rPr>
                <w:rFonts w:ascii="Microsoft JhengHei" w:hAnsi="Microsoft JhengHei"/>
                <w:b/>
                <w:color w:val="1E3A8A"/>
                <w:sz w:val="21"/>
              </w:rPr>
              <w:t>【熱區一：東南生活圈重災區】 — 警戒色彩：紅色 (高風險受體)</w:t>
              <w:br/>
            </w:r>
            <w:r>
              <w:rPr>
                <w:rFonts w:ascii="Microsoft JhengHei" w:hAnsi="Microsoft JhengHei"/>
                <w:color w:val="475569"/>
                <w:sz w:val="19"/>
              </w:rPr>
              <w:t>• 涵蓋測站：TC0452 (589 ppb)、TC0420 (440 ppb)、TC0441 (438 ppb)、TC0446、TC0449</w:t>
              <w:br/>
              <w:t>• 核心稽查路段：開元路（全線）、工七路南段、幼三路生活圈交界處。</w:t>
              <w:br/>
              <w:t>• 管制對象與特徵：緊鄰日南國小與住宅密集區。此區為民眾反映異味之最前線，為下風擴散重災區。建議稽查車輛先停駐開元路以 PID 快速量測確定受體落地濃度。</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580c"/>
              <w:bottom w:val="none"/>
              <w:right w:val="none"/>
            </w:tcBorders>
          </w:tcPr>
          <w:p>
            <w:pPr>
              <w:spacing w:after="80"/>
            </w:pPr>
            <w:r>
              <w:rPr>
                <w:rFonts w:ascii="Microsoft JhengHei" w:hAnsi="Microsoft JhengHei"/>
                <w:b/>
                <w:color w:val="1E3A8A"/>
                <w:sz w:val="21"/>
              </w:rPr>
              <w:t>【熱區二：核心製程與染整化學聚落】 — 警戒色彩：橘色 (高排放源頭)</w:t>
              <w:br/>
            </w:r>
            <w:r>
              <w:rPr>
                <w:rFonts w:ascii="Microsoft JhengHei" w:hAnsi="Microsoft JhengHei"/>
                <w:color w:val="475569"/>
                <w:sz w:val="19"/>
              </w:rPr>
              <w:t>• 涵蓋測站：TC0430 (614 ppb · 全區年均第一)、TC0448 (486 ppb)、TC0424 (456 ppb)、TC0432 (444 ppb)</w:t>
              <w:br/>
              <w:t>• 核心稽查路段：幼九路核心段、工七路中段、幼八路。</w:t>
              <w:br/>
              <w:t>• 管制對象與特徵：全區 VOC 年均最高發射中心，聚集化學原料、表面塗裝、印染整理與塑膠射出廠。此區為全區污染發射源頭，應列為進廠深度查核之第一順位，重點檢查 RTO 焚化爐與活性碳吸附塔操作參數與電表。</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b308"/>
              <w:bottom w:val="none"/>
              <w:right w:val="none"/>
            </w:tcBorders>
          </w:tcPr>
          <w:p>
            <w:pPr>
              <w:spacing w:after="80"/>
            </w:pPr>
            <w:r>
              <w:rPr>
                <w:rFonts w:ascii="Microsoft JhengHei" w:hAnsi="Microsoft JhengHei"/>
                <w:b/>
                <w:color w:val="1E3A8A"/>
                <w:sz w:val="21"/>
              </w:rPr>
              <w:t>【熱區三：西北順帆路與長壽路高架周邊聚落】 — 警戒色彩：黃色 (外圍防漏)</w:t>
              <w:br/>
            </w:r>
            <w:r>
              <w:rPr>
                <w:rFonts w:ascii="Microsoft JhengHei" w:hAnsi="Microsoft JhengHei"/>
                <w:color w:val="475569"/>
                <w:sz w:val="19"/>
              </w:rPr>
              <w:t>• 涵蓋測站：TC0410 (447 ppb)、TC0413 (423 ppb)、TC0417、TC0404；含短期突發案 TC0905 (清晨 14,442 ppb)</w:t>
              <w:br/>
              <w:t>• 核心稽查路段：順帆路（全線）、長壽路高架橋下周界、幼四路北段。</w:t>
              <w:br/>
              <w:t>• 管制對象與特徵：位於工業區外圍，多屬鐵皮加工作坊與倉儲。歷史數據曾有清晨特定時間短暫暴衝，適合作為清晨巡查收尾之重點路段，防止暗管與露天偷排。</w:t>
            </w:r>
          </w:p>
        </w:tc>
      </w:tr>
    </w:tbl>
    <w:p>
      <w:pPr>
        <w:spacing w:after="120"/>
      </w:pPr>
    </w:p>
    <w:p>
      <w:pPr>
        <w:keepNext/>
        <w:spacing w:before="360" w:after="160"/>
      </w:pPr>
      <w:r>
        <w:rPr>
          <w:rFonts w:ascii="Microsoft JhengHei" w:hAnsi="Microsoft JhengHei"/>
          <w:b/>
          <w:color w:val="1E3A8A"/>
          <w:sz w:val="28"/>
        </w:rPr>
        <w:t>八、結論與後續跟進建議</w:t>
      </w:r>
    </w:p>
    <w:p>
      <w:pPr>
        <w:spacing w:after="120" w:line="300" w:lineRule="auto"/>
      </w:pPr>
      <w:r>
        <w:rPr>
          <w:rFonts w:ascii="Microsoft JhengHei" w:hAnsi="Microsoft JhengHei"/>
          <w:color w:val="334155"/>
          <w:sz w:val="21"/>
        </w:rPr>
        <w:t>本報告基於 432 天全時序大數據研判，建立三維度訊號強弱對比矩陣，為科技執法提供高精度決策依據：</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28"/>
        <w:gridCol w:w="1584"/>
        <w:gridCol w:w="2304"/>
        <w:gridCol w:w="3744"/>
      </w:tblGrid>
      <w:tr>
        <w:tc>
          <w:tcPr>
            <w:tcW w:type="dxa" w:w="2340"/>
            <w:shd w:fill="1E3A8A"/>
            <w:tcMar>
              <w:top w:w="80" w:type="dxa"/>
              <w:bottom w:w="80" w:type="dxa"/>
              <w:left w:w="60" w:type="dxa"/>
              <w:right w:w="60" w:type="dxa"/>
            </w:tcMar>
          </w:tcPr>
          <w:p>
            <w:r>
              <w:rPr>
                <w:rFonts w:ascii="Microsoft JhengHei" w:hAnsi="Microsoft JhengHei"/>
                <w:b/>
                <w:color w:val="FFFFFF"/>
                <w:sz w:val="17"/>
              </w:rPr>
              <w:t>分析維度</w:t>
            </w:r>
          </w:p>
        </w:tc>
        <w:tc>
          <w:tcPr>
            <w:tcW w:type="dxa" w:w="2340"/>
            <w:shd w:fill="1E3A8A"/>
            <w:tcMar>
              <w:top w:w="80" w:type="dxa"/>
              <w:bottom w:w="80" w:type="dxa"/>
              <w:left w:w="60" w:type="dxa"/>
              <w:right w:w="60" w:type="dxa"/>
            </w:tcMar>
          </w:tcPr>
          <w:p>
            <w:r>
              <w:rPr>
                <w:rFonts w:ascii="Microsoft JhengHei" w:hAnsi="Microsoft JhengHei"/>
                <w:b/>
                <w:color w:val="FFFFFF"/>
                <w:sz w:val="17"/>
              </w:rPr>
              <w:t>訊號強弱</w:t>
            </w:r>
          </w:p>
        </w:tc>
        <w:tc>
          <w:tcPr>
            <w:tcW w:type="dxa" w:w="2340"/>
            <w:shd w:fill="1E3A8A"/>
            <w:tcMar>
              <w:top w:w="80" w:type="dxa"/>
              <w:bottom w:w="80" w:type="dxa"/>
              <w:left w:w="60" w:type="dxa"/>
              <w:right w:w="60" w:type="dxa"/>
            </w:tcMar>
          </w:tcPr>
          <w:p>
            <w:r>
              <w:rPr>
                <w:rFonts w:ascii="Microsoft JhengHei" w:hAnsi="Microsoft JhengHei"/>
                <w:b/>
                <w:color w:val="FFFFFF"/>
                <w:sz w:val="17"/>
              </w:rPr>
              <w:t>關鍵對比數值</w:t>
            </w:r>
          </w:p>
        </w:tc>
        <w:tc>
          <w:tcPr>
            <w:tcW w:type="dxa" w:w="2340"/>
            <w:shd w:fill="1E3A8A"/>
            <w:tcMar>
              <w:top w:w="80" w:type="dxa"/>
              <w:bottom w:w="80" w:type="dxa"/>
              <w:left w:w="60" w:type="dxa"/>
              <w:right w:w="60" w:type="dxa"/>
            </w:tcMar>
          </w:tcPr>
          <w:p>
            <w:r>
              <w:rPr>
                <w:rFonts w:ascii="Microsoft JhengHei" w:hAnsi="Microsoft JhengHei"/>
                <w:b/>
                <w:color w:val="FFFFFF"/>
                <w:sz w:val="17"/>
              </w:rPr>
              <w:t>執法指導結論</w:t>
            </w:r>
          </w:p>
        </w:tc>
      </w:tr>
      <w:tr>
        <w:tc>
          <w:tcPr>
            <w:tcW w:type="dxa" w:w="2340"/>
            <w:shd w:fill="F8FAFC"/>
            <w:tcMar>
              <w:top w:w="60" w:type="dxa"/>
              <w:bottom w:w="60" w:type="dxa"/>
              <w:left w:w="60" w:type="dxa"/>
              <w:right w:w="60" w:type="dxa"/>
            </w:tcMar>
          </w:tcPr>
          <w:p>
            <w:r>
              <w:rPr>
                <w:rFonts w:ascii="Microsoft JhengHei" w:hAnsi="Microsoft JhengHei"/>
                <w:color w:val="334155"/>
                <w:sz w:val="17"/>
              </w:rPr>
              <w:t>時段維度</w:t>
            </w:r>
          </w:p>
        </w:tc>
        <w:tc>
          <w:tcPr>
            <w:tcW w:type="dxa" w:w="2340"/>
            <w:shd w:fill="F8FAFC"/>
            <w:tcMar>
              <w:top w:w="60" w:type="dxa"/>
              <w:bottom w:w="60" w:type="dxa"/>
              <w:left w:w="60" w:type="dxa"/>
              <w:right w:w="60" w:type="dxa"/>
            </w:tcMar>
          </w:tcPr>
          <w:p>
            <w:r>
              <w:rPr>
                <w:rFonts w:ascii="Microsoft JhengHei" w:hAnsi="Microsoft JhengHei"/>
                <w:b/>
                <w:color w:val="DC2626"/>
                <w:sz w:val="17"/>
              </w:rPr>
              <w:t>極強信號 (2.8倍)</w:t>
            </w:r>
          </w:p>
        </w:tc>
        <w:tc>
          <w:tcPr>
            <w:tcW w:type="dxa" w:w="2340"/>
            <w:shd w:fill="F8FAFC"/>
            <w:tcMar>
              <w:top w:w="60" w:type="dxa"/>
              <w:bottom w:w="60" w:type="dxa"/>
              <w:left w:w="60" w:type="dxa"/>
              <w:right w:w="60" w:type="dxa"/>
            </w:tcMar>
          </w:tcPr>
          <w:p>
            <w:r>
              <w:rPr>
                <w:rFonts w:ascii="Microsoft JhengHei" w:hAnsi="Microsoft JhengHei"/>
                <w:color w:val="334155"/>
                <w:sz w:val="17"/>
              </w:rPr>
              <w:t>清晨 520 ppb vs 午後 183 ppb</w:t>
              <w:br/>
              <w:t>(重度率 16.7% vs 6.8%)</w:t>
            </w:r>
          </w:p>
        </w:tc>
        <w:tc>
          <w:tcPr>
            <w:tcW w:type="dxa" w:w="2340"/>
            <w:shd w:fill="F8FAFC"/>
            <w:tcMar>
              <w:top w:w="60" w:type="dxa"/>
              <w:bottom w:w="60" w:type="dxa"/>
              <w:left w:w="60" w:type="dxa"/>
              <w:right w:w="60" w:type="dxa"/>
            </w:tcMar>
          </w:tcPr>
          <w:p>
            <w:r>
              <w:rPr>
                <w:rFonts w:ascii="Microsoft JhengHei" w:hAnsi="Microsoft JhengHei"/>
                <w:color w:val="334155"/>
                <w:sz w:val="17"/>
              </w:rPr>
              <w:t>出動時段絕對死守清晨 04:30～06:30，日間進廠意義極低。</w:t>
            </w:r>
          </w:p>
        </w:tc>
      </w:tr>
      <w:tr>
        <w:tc>
          <w:tcPr>
            <w:tcW w:type="dxa" w:w="2340"/>
            <w:shd w:fill="FFFFFF"/>
            <w:tcMar>
              <w:top w:w="60" w:type="dxa"/>
              <w:bottom w:w="60" w:type="dxa"/>
              <w:left w:w="60" w:type="dxa"/>
              <w:right w:w="60" w:type="dxa"/>
            </w:tcMar>
          </w:tcPr>
          <w:p>
            <w:r>
              <w:rPr>
                <w:rFonts w:ascii="Microsoft JhengHei" w:hAnsi="Microsoft JhengHei"/>
                <w:color w:val="334155"/>
                <w:sz w:val="17"/>
              </w:rPr>
              <w:t>月份維度</w:t>
            </w:r>
          </w:p>
        </w:tc>
        <w:tc>
          <w:tcPr>
            <w:tcW w:type="dxa" w:w="2340"/>
            <w:shd w:fill="FFFFFF"/>
            <w:tcMar>
              <w:top w:w="60" w:type="dxa"/>
              <w:bottom w:w="60" w:type="dxa"/>
              <w:left w:w="60" w:type="dxa"/>
              <w:right w:w="60" w:type="dxa"/>
            </w:tcMar>
          </w:tcPr>
          <w:p>
            <w:r>
              <w:rPr>
                <w:rFonts w:ascii="Microsoft JhengHei" w:hAnsi="Microsoft JhengHei"/>
                <w:b/>
                <w:color w:val="EA580C"/>
                <w:sz w:val="17"/>
              </w:rPr>
              <w:t>強信號 (2.0倍)</w:t>
            </w:r>
          </w:p>
        </w:tc>
        <w:tc>
          <w:tcPr>
            <w:tcW w:type="dxa" w:w="2340"/>
            <w:shd w:fill="FFFFFF"/>
            <w:tcMar>
              <w:top w:w="60" w:type="dxa"/>
              <w:bottom w:w="60" w:type="dxa"/>
              <w:left w:w="60" w:type="dxa"/>
              <w:right w:w="60" w:type="dxa"/>
            </w:tcMar>
          </w:tcPr>
          <w:p>
            <w:r>
              <w:rPr>
                <w:rFonts w:ascii="Microsoft JhengHei" w:hAnsi="Microsoft JhengHei"/>
                <w:color w:val="334155"/>
                <w:sz w:val="17"/>
              </w:rPr>
              <w:t>夏季 540 ppb vs 冬季 270 ppb</w:t>
              <w:br/>
              <w:t>(6~9月顯著高發)</w:t>
            </w:r>
          </w:p>
        </w:tc>
        <w:tc>
          <w:tcPr>
            <w:tcW w:type="dxa" w:w="2340"/>
            <w:shd w:fill="FFFFFF"/>
            <w:tcMar>
              <w:top w:w="60" w:type="dxa"/>
              <w:bottom w:w="60" w:type="dxa"/>
              <w:left w:w="60" w:type="dxa"/>
              <w:right w:w="60" w:type="dxa"/>
            </w:tcMar>
          </w:tcPr>
          <w:p>
            <w:r>
              <w:rPr>
                <w:rFonts w:ascii="Microsoft JhengHei" w:hAnsi="Microsoft JhengHei"/>
                <w:color w:val="334155"/>
                <w:sz w:val="17"/>
              </w:rPr>
              <w:t>稽查專案資源集中於夏季高溫期，高溫揮發劇烈時重兵布防。</w:t>
            </w:r>
          </w:p>
        </w:tc>
      </w:tr>
      <w:tr>
        <w:tc>
          <w:tcPr>
            <w:tcW w:type="dxa" w:w="2340"/>
            <w:shd w:fill="F8FAFC"/>
            <w:tcMar>
              <w:top w:w="60" w:type="dxa"/>
              <w:bottom w:w="60" w:type="dxa"/>
              <w:left w:w="60" w:type="dxa"/>
              <w:right w:w="60" w:type="dxa"/>
            </w:tcMar>
          </w:tcPr>
          <w:p>
            <w:r>
              <w:rPr>
                <w:rFonts w:ascii="Microsoft JhengHei" w:hAnsi="Microsoft JhengHei"/>
                <w:color w:val="334155"/>
                <w:sz w:val="17"/>
              </w:rPr>
              <w:t>星期維度</w:t>
            </w:r>
          </w:p>
        </w:tc>
        <w:tc>
          <w:tcPr>
            <w:tcW w:type="dxa" w:w="2340"/>
            <w:shd w:fill="F8FAFC"/>
            <w:tcMar>
              <w:top w:w="60" w:type="dxa"/>
              <w:bottom w:w="60" w:type="dxa"/>
              <w:left w:w="60" w:type="dxa"/>
              <w:right w:w="60" w:type="dxa"/>
            </w:tcMar>
          </w:tcPr>
          <w:p>
            <w:r>
              <w:rPr>
                <w:rFonts w:ascii="Microsoft JhengHei" w:hAnsi="Microsoft JhengHei"/>
                <w:b/>
                <w:color w:val="64748B"/>
                <w:sz w:val="17"/>
              </w:rPr>
              <w:t>無信號 (僅1.08倍)</w:t>
            </w:r>
          </w:p>
        </w:tc>
        <w:tc>
          <w:tcPr>
            <w:tcW w:type="dxa" w:w="2340"/>
            <w:shd w:fill="F8FAFC"/>
            <w:tcMar>
              <w:top w:w="60" w:type="dxa"/>
              <w:bottom w:w="60" w:type="dxa"/>
              <w:left w:w="60" w:type="dxa"/>
              <w:right w:w="60" w:type="dxa"/>
            </w:tcMar>
          </w:tcPr>
          <w:p>
            <w:r>
              <w:rPr>
                <w:rFonts w:ascii="Microsoft JhengHei" w:hAnsi="Microsoft JhengHei"/>
                <w:color w:val="334155"/>
                <w:sz w:val="17"/>
              </w:rPr>
              <w:t>週五 387 ppb vs 週一 357 ppb</w:t>
              <w:br/>
              <w:t>(工作日 vs 週末僅差 6.9%)</w:t>
            </w:r>
          </w:p>
        </w:tc>
        <w:tc>
          <w:tcPr>
            <w:tcW w:type="dxa" w:w="2340"/>
            <w:shd w:fill="F8FAFC"/>
            <w:tcMar>
              <w:top w:w="60" w:type="dxa"/>
              <w:bottom w:w="60" w:type="dxa"/>
              <w:left w:w="60" w:type="dxa"/>
              <w:right w:w="60" w:type="dxa"/>
            </w:tcMar>
          </w:tcPr>
          <w:p>
            <w:r>
              <w:rPr>
                <w:rFonts w:ascii="Microsoft JhengHei" w:hAnsi="Microsoft JhengHei"/>
                <w:color w:val="334155"/>
                <w:sz w:val="17"/>
              </w:rPr>
              <w:t>工廠屬連續運轉排污，打破週末停工迷思，平假日均可突擊。</w:t>
            </w:r>
          </w:p>
        </w:tc>
      </w:tr>
    </w:tbl>
    <w:p>
      <w:pPr>
        <w:spacing w:after="240"/>
      </w:pPr>
    </w:p>
    <w:p>
      <w:pPr>
        <w:spacing w:after="120" w:line="300" w:lineRule="auto"/>
      </w:pPr>
      <w:r>
        <w:rPr>
          <w:rFonts w:ascii="Microsoft JhengHei" w:hAnsi="Microsoft JhengHei"/>
          <w:color w:val="334155"/>
          <w:sz w:val="21"/>
        </w:rPr>
        <w:t>現場出勤具體推薦動線：</w:t>
        <w:br/>
        <w:t>1. 04:30～05:00 先停駐【熱區一 (開元路/工七路)】下風處，以 PID 與熱顯像儀確認異味落地實況。</w:t>
        <w:br/>
        <w:t>2. 05:00～06:00 沿工七路逆風直切【熱區二 (幼九路)】源頭核心，進廠查驗防制設備開機及電表紀錄。</w:t>
        <w:br/>
        <w:t>3. 06:00～06:30 巡查收網【熱區三 (順帆路/長壽路)】，防堵暗管與周界偷排。</w:t>
      </w:r>
    </w:p>
    <w:p>
      <w:pPr>
        <w:keepNext/>
        <w:spacing w:before="360" w:after="160"/>
      </w:pPr>
      <w:r>
        <w:rPr>
          <w:rFonts w:ascii="Microsoft JhengHei" w:hAnsi="Microsoft JhengHei"/>
          <w:b/>
          <w:color w:val="1E3A8A"/>
          <w:sz w:val="28"/>
        </w:rPr>
        <w:t>九、附錄：嚴格資料檢核 (Data QC) 規則與定義說明</w:t>
      </w:r>
    </w:p>
    <w:p>
      <w:pPr>
        <w:spacing w:after="120" w:line="300" w:lineRule="auto"/>
      </w:pPr>
      <w:r>
        <w:rPr>
          <w:rFonts w:ascii="Microsoft JhengHei" w:hAnsi="Microsoft JhengHei"/>
          <w:color w:val="334155"/>
          <w:sz w:val="21"/>
        </w:rPr>
        <w:t>1. 資料檢核規則：</w:t>
        <w:br/>
        <w:t xml:space="preserve">   • 設備篩選剔除：凡監測數值恆為 0.0、零值比例超過 80%、或恆為常數死線之設備全數剔除（本案共剔除 TC0179, TC0915, TC0221, TC0414 等 4 台）。</w:t>
        <w:br/>
        <w:t xml:space="preserve">   • 異常值篩選：剔除暫存器溢位值 65,535 ppb、韌體飽和值 29,206 ppb 及超過 15,000 ppb 之雜訊讀值；PM2.5 剔除缺失值及大於 500 μg/m³ 讀值。</w:t>
      </w:r>
    </w:p>
    <w:p>
      <w:pPr>
        <w:spacing w:after="120" w:line="300" w:lineRule="auto"/>
      </w:pPr>
      <w:r>
        <w:rPr>
          <w:rFonts w:ascii="Microsoft JhengHei" w:hAnsi="Microsoft JhengHei"/>
          <w:color w:val="334155"/>
          <w:sz w:val="21"/>
        </w:rPr>
        <w:t>2. 內部自訂篩選門檻定義：</w:t>
        <w:br/>
        <w:t xml:space="preserve">   • 本報告所稱「高濃度警示時數 (&gt;200 ppb)」與「重度事件時數 (&gt;500 ppb)」，係本研究針對大甲幼獅微感網絡背景特徵所設定之內部快篩與優先序篩選門檻，用以評估熱區嚴重度與持續時數，非作為公權力裁處依據。</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94A3B8"/>
        <w:sz w:val="17"/>
      </w:rPr>
      <w:t>委託機關：臺中市政府環境保護局 ｜ 研究分析單位：振興發科技有限公司 ｜ 資料來源：自架微感 + 環境物聯網提供之 IOT 測值數據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94A3B8"/>
        <w:sz w:val="17"/>
      </w:rPr>
      <w:t>大甲幼獅工業區微型感測器異味污染物 (VOC) 熱點溯源與科技稽查決策評估報告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