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D73BC">
      <w:pPr>
        <w:pStyle w:val="31"/>
        <w:jc w:val="center"/>
      </w:pPr>
      <w:r>
        <w:rPr>
          <w:rFonts w:ascii="Arial" w:hAnsi="Arial" w:eastAsia="STHeiti"/>
          <w:b/>
          <w:color w:val="000000"/>
          <w:sz w:val="42"/>
        </w:rPr>
        <w:t>文献综述评论索引实体类型分类体系 V6 精简完整定义总表</w:t>
      </w:r>
    </w:p>
    <w:p w14:paraId="785B7F5C">
      <w:pPr>
        <w:pStyle w:val="3"/>
        <w:keepNext/>
        <w:spacing w:before="200" w:after="100"/>
      </w:pPr>
      <w:r>
        <w:rPr>
          <w:rFonts w:ascii="Arial" w:hAnsi="Arial" w:eastAsia="STHeiti"/>
          <w:b/>
          <w:color w:val="000000"/>
          <w:sz w:val="28"/>
        </w:rPr>
        <w:t>完整实体类型定义总表</w:t>
      </w:r>
    </w:p>
    <w:p w14:paraId="70C2B3A4">
      <w:pPr>
        <w:spacing w:after="120" w:line="293" w:lineRule="auto"/>
        <w:jc w:val="left"/>
      </w:pPr>
      <w:r>
        <w:rPr>
          <w:rFonts w:ascii="Arial" w:hAnsi="Arial" w:eastAsia="STHeiti"/>
          <w:b w:val="0"/>
          <w:color w:val="000000"/>
          <w:sz w:val="17"/>
        </w:rPr>
        <w:t>表中推荐属性用于承接被删除的细粒度类型。属性可多值，但不得重新扩展为 L3。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2438"/>
        <w:gridCol w:w="2438"/>
        <w:gridCol w:w="2438"/>
        <w:gridCol w:w="2438"/>
        <w:gridCol w:w="2438"/>
      </w:tblGrid>
      <w:tr w14:paraId="5871B8CE">
        <w:trPr>
          <w:tblHeader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E3E91A4">
            <w:pPr>
              <w:spacing w:after="0" w:line="259" w:lineRule="auto"/>
              <w:jc w:val="center"/>
            </w:pPr>
            <w:r>
              <w:rPr>
                <w:rFonts w:ascii="Arial" w:hAnsi="Arial" w:eastAsia="STHeiti"/>
                <w:b/>
                <w:color w:val="FFFFFF"/>
                <w:sz w:val="16"/>
              </w:rPr>
              <w:t>type_code</w:t>
            </w:r>
          </w:p>
        </w:tc>
        <w:tc>
          <w:tcPr>
            <w:tcW w:w="14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5941E75A">
            <w:pPr>
              <w:spacing w:after="0" w:line="259" w:lineRule="auto"/>
              <w:jc w:val="center"/>
            </w:pPr>
            <w:r>
              <w:rPr>
                <w:rFonts w:ascii="Arial" w:hAnsi="Arial" w:eastAsia="STHeiti"/>
                <w:b/>
                <w:color w:val="FFFFFF"/>
                <w:sz w:val="16"/>
              </w:rPr>
              <w:t>中文标签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460B01EB">
            <w:pPr>
              <w:spacing w:after="0" w:line="259" w:lineRule="auto"/>
              <w:jc w:val="center"/>
            </w:pPr>
            <w:r>
              <w:rPr>
                <w:rFonts w:ascii="Arial" w:hAnsi="Arial" w:eastAsia="STHeiti"/>
                <w:b/>
                <w:color w:val="FFFFFF"/>
                <w:sz w:val="16"/>
              </w:rPr>
              <w:t>定义</w:t>
            </w:r>
          </w:p>
        </w:tc>
        <w:tc>
          <w:tcPr>
            <w:tcW w:w="3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7FF12DB4">
            <w:pPr>
              <w:spacing w:after="0" w:line="259" w:lineRule="auto"/>
              <w:jc w:val="center"/>
            </w:pPr>
            <w:r>
              <w:rPr>
                <w:rFonts w:ascii="Arial" w:hAnsi="Arial" w:eastAsia="STHeiti"/>
                <w:b/>
                <w:color w:val="FFFFFF"/>
                <w:sz w:val="16"/>
              </w:rPr>
              <w:t>识别边界</w:t>
            </w:r>
          </w:p>
        </w:tc>
        <w:tc>
          <w:tcPr>
            <w:tcW w:w="27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26DC5F1A">
            <w:pPr>
              <w:spacing w:after="0" w:line="259" w:lineRule="auto"/>
              <w:jc w:val="center"/>
            </w:pPr>
            <w:r>
              <w:rPr>
                <w:rFonts w:ascii="Arial" w:hAnsi="Arial" w:eastAsia="STHeiti"/>
                <w:b/>
                <w:color w:val="FFFFFF"/>
                <w:sz w:val="16"/>
              </w:rPr>
              <w:t>典型例子</w:t>
            </w:r>
          </w:p>
        </w:tc>
        <w:tc>
          <w:tcPr>
            <w:tcW w:w="19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1F4E79"/>
            <w:tcMar>
              <w:top w:w="100" w:type="dxa"/>
              <w:left w:w="85" w:type="dxa"/>
              <w:bottom w:w="100" w:type="dxa"/>
              <w:right w:w="85" w:type="dxa"/>
            </w:tcMar>
            <w:vAlign w:val="center"/>
          </w:tcPr>
          <w:p w14:paraId="02C84E4E">
            <w:pPr>
              <w:spacing w:after="0" w:line="259" w:lineRule="auto"/>
              <w:jc w:val="center"/>
            </w:pPr>
            <w:r>
              <w:rPr>
                <w:rFonts w:ascii="Arial" w:hAnsi="Arial" w:eastAsia="STHeiti"/>
                <w:b/>
                <w:color w:val="FFFFFF"/>
                <w:sz w:val="16"/>
              </w:rPr>
              <w:t>推荐属性</w:t>
            </w:r>
          </w:p>
        </w:tc>
      </w:tr>
      <w:tr w14:paraId="43A7B4F3">
        <w:trPr>
          <w:cantSplit/>
          <w:jc w:val="center"/>
        </w:trPr>
        <w:tc>
          <w:tcPr>
            <w:tcW w:w="14628" w:type="dxa"/>
            <w:gridSpan w:val="6"/>
            <w:tcBorders>
              <w:top w:val="single" w:color="B9C8D3" w:sz="4" w:space="0"/>
              <w:left w:val="single" w:color="B9C8D3" w:sz="4" w:space="0"/>
              <w:bottom w:val="single" w:color="B9C8D3" w:sz="4" w:space="0"/>
              <w:right w:val="single" w:color="B9C8D3" w:sz="4" w:space="0"/>
              <w:insideH w:val="single" w:sz="4" w:space="0"/>
              <w:insideV w:val="single" w:sz="4" w:space="0"/>
            </w:tcBorders>
            <w:shd w:val="clear" w:color="auto" w:fill="DCEAF5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5732560B">
            <w:pPr>
              <w:keepNext/>
              <w:spacing w:after="0" w:line="259" w:lineRule="auto"/>
              <w:jc w:val="left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1  AGENT  主体  能生产 组织 实施或评价研究的个人和集体</w:t>
            </w:r>
          </w:p>
        </w:tc>
      </w:tr>
      <w:tr w14:paraId="08302E2D"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D7697A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person_agent</w:t>
            </w:r>
          </w:p>
        </w:tc>
        <w:tc>
          <w:tcPr>
            <w:tcW w:w="14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5F2631">
            <w:pPr>
              <w:spacing w:after="0" w:line="259" w:lineRule="auto"/>
              <w:jc w:val="center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个人主体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EE8857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具有可识别个人身份的自然人。</w:t>
            </w:r>
          </w:p>
        </w:tc>
        <w:tc>
          <w:tcPr>
            <w:tcW w:w="3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4CEFEC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作者、评论者、理论提出者和实践者均归本类，不按职业继续拆分。</w:t>
            </w:r>
          </w:p>
        </w:tc>
        <w:tc>
          <w:tcPr>
            <w:tcW w:w="27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9101F1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某论文作者；某理论提出者；综述评论者。</w:t>
            </w:r>
          </w:p>
        </w:tc>
        <w:tc>
          <w:tcPr>
            <w:tcW w:w="19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4994E9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actor_role；name；affiliation</w:t>
            </w:r>
          </w:p>
        </w:tc>
      </w:tr>
      <w:tr w14:paraId="5071916A"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EAA979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organization_agent</w:t>
            </w:r>
          </w:p>
        </w:tc>
        <w:tc>
          <w:tcPr>
            <w:tcW w:w="14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329F53">
            <w:pPr>
              <w:spacing w:after="0" w:line="259" w:lineRule="auto"/>
              <w:jc w:val="center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组织主体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FC74F7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具有正式建制或稳定组织边界的机构。</w:t>
            </w:r>
          </w:p>
        </w:tc>
        <w:tc>
          <w:tcPr>
            <w:tcW w:w="3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C45048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学科和学派不是组织；平台本体归 system_tool，其运营机构归本类。</w:t>
            </w:r>
          </w:p>
        </w:tc>
        <w:tc>
          <w:tcPr>
            <w:tcW w:w="27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8AA99D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大学；研究所；图书馆；学会；政府部门；出版社。</w:t>
            </w:r>
          </w:p>
        </w:tc>
        <w:tc>
          <w:tcPr>
            <w:tcW w:w="19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23F8ED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organization_role；jurisdiction；parent_org</w:t>
            </w:r>
          </w:p>
        </w:tc>
      </w:tr>
      <w:tr w14:paraId="6D4B912C"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B5ACE9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social_group_community</w:t>
            </w:r>
          </w:p>
        </w:tc>
        <w:tc>
          <w:tcPr>
            <w:tcW w:w="14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28F0EF">
            <w:pPr>
              <w:spacing w:after="0" w:line="259" w:lineRule="auto"/>
              <w:jc w:val="center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群体与共同体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FF98F1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未必具有正式建制，但在研究或评论中作为整体出现的人群、用户群或共同体。</w:t>
            </w:r>
          </w:p>
        </w:tc>
        <w:tc>
          <w:tcPr>
            <w:tcW w:w="3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D8D271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具体抽取的研究样本归 population_sample；正式机构归 organization_agent。</w:t>
            </w:r>
          </w:p>
        </w:tc>
        <w:tc>
          <w:tcPr>
            <w:tcW w:w="27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0F9CB6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高校教师群体；青年研究者；数字人文共同体；图书馆用户。</w:t>
            </w:r>
          </w:p>
        </w:tc>
        <w:tc>
          <w:tcPr>
            <w:tcW w:w="19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B10ACB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group_role；membership_basis；scope</w:t>
            </w:r>
          </w:p>
        </w:tc>
      </w:tr>
      <w:tr w14:paraId="049E9C21">
        <w:trPr>
          <w:cantSplit/>
          <w:jc w:val="center"/>
        </w:trPr>
        <w:tc>
          <w:tcPr>
            <w:tcW w:w="14628" w:type="dxa"/>
            <w:gridSpan w:val="6"/>
            <w:tcBorders>
              <w:top w:val="single" w:color="B9C8D3" w:sz="4" w:space="0"/>
              <w:left w:val="single" w:color="B9C8D3" w:sz="4" w:space="0"/>
              <w:bottom w:val="single" w:color="B9C8D3" w:sz="4" w:space="0"/>
              <w:right w:val="single" w:color="B9C8D3" w:sz="4" w:space="0"/>
              <w:insideH w:val="single" w:sz="4" w:space="0"/>
              <w:insideV w:val="single" w:sz="4" w:space="0"/>
            </w:tcBorders>
            <w:shd w:val="clear" w:color="auto" w:fill="DCEAF5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26C8EED2">
            <w:pPr>
              <w:keepNext/>
              <w:spacing w:after="0" w:line="259" w:lineRule="auto"/>
              <w:jc w:val="left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2  ARTIFACT RESOURCE  文献与资源  可被阅读 查询 使用或运行的人工制品</w:t>
            </w:r>
          </w:p>
        </w:tc>
      </w:tr>
      <w:tr w14:paraId="31655507"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588B7B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publication</w:t>
            </w:r>
          </w:p>
        </w:tc>
        <w:tc>
          <w:tcPr>
            <w:tcW w:w="14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0E1844">
            <w:pPr>
              <w:spacing w:after="0" w:line="259" w:lineRule="auto"/>
              <w:jc w:val="center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文献成果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85852D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具有相对完整内容边界、以报告、论证或传播知识为主要用途的作品。</w:t>
            </w:r>
          </w:p>
        </w:tc>
        <w:tc>
          <w:tcPr>
            <w:tcW w:w="3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AA548A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政策标准归 normative_document；文献承载的理论、方法和发现另标相应研究内容类型。</w:t>
            </w:r>
          </w:p>
        </w:tc>
        <w:tc>
          <w:tcPr>
            <w:tcW w:w="27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7A6DBB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期刊论文；专著；学位论文；会议论文；预印本；研究报告。</w:t>
            </w:r>
          </w:p>
        </w:tc>
        <w:tc>
          <w:tcPr>
            <w:tcW w:w="19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7FA7FA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publication_genre；title；year；identifier</w:t>
            </w:r>
          </w:p>
        </w:tc>
      </w:tr>
      <w:tr w14:paraId="51F4AA16">
        <w:trPr>
          <w:cantSplit/>
          <w:trHeight w:val="90" w:hRule="atLeast"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BADF5E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normative_document</w:t>
            </w:r>
          </w:p>
        </w:tc>
        <w:tc>
          <w:tcPr>
            <w:tcW w:w="14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708022">
            <w:pPr>
              <w:spacing w:after="0" w:line="259" w:lineRule="auto"/>
              <w:jc w:val="center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规范文件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0CC4144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对行为、流程、权利义务或技术实施提出正式要求或建议的文本。</w:t>
            </w:r>
          </w:p>
        </w:tc>
        <w:tc>
          <w:tcPr>
            <w:tcW w:w="3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85A703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描述和论证为主的报告归 publication；政策实施过程归 change_action_process。</w:t>
            </w:r>
          </w:p>
        </w:tc>
        <w:tc>
          <w:tcPr>
            <w:tcW w:w="27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07CBA7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法律法规；政策文件；标准；伦理指南；数据管理规范。</w:t>
            </w:r>
          </w:p>
        </w:tc>
        <w:tc>
          <w:tcPr>
            <w:tcW w:w="19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B9B5E3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document_kind；binding_force；issuer；effective_date</w:t>
            </w:r>
          </w:p>
        </w:tc>
      </w:tr>
      <w:tr w14:paraId="3F5D0C5D"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6B690B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data_resource</w:t>
            </w:r>
          </w:p>
        </w:tc>
        <w:tc>
          <w:tcPr>
            <w:tcW w:w="14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B4D85C">
            <w:pPr>
              <w:spacing w:after="0" w:line="259" w:lineRule="auto"/>
              <w:jc w:val="center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数据与语料资源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61B6AA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为查询、分析、复用、训练或验证而汇集的数据、记录或语料集合。</w:t>
            </w:r>
          </w:p>
        </w:tc>
        <w:tc>
          <w:tcPr>
            <w:tcW w:w="3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B5BC40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某项分析中的证据或结果归 evidence_finding；评价平台功能时归 system_tool。</w:t>
            </w:r>
          </w:p>
        </w:tc>
        <w:tc>
          <w:tcPr>
            <w:tcW w:w="27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4B9A3A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调查数据库；访谈语料库；引文数据库；开放数据集；档案记录集。</w:t>
            </w:r>
          </w:p>
        </w:tc>
        <w:tc>
          <w:tcPr>
            <w:tcW w:w="19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6330BC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data_form；coverage；access_mode；time_span</w:t>
            </w:r>
          </w:p>
        </w:tc>
      </w:tr>
      <w:tr w14:paraId="182B2051"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8C576A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knowledge_org_resource</w:t>
            </w:r>
          </w:p>
        </w:tc>
        <w:tc>
          <w:tcPr>
            <w:tcW w:w="14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4E4EE3">
            <w:pPr>
              <w:spacing w:after="0" w:line="259" w:lineRule="auto"/>
              <w:jc w:val="center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知识组织资源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19811D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用于组织、描述、关联或检索知识对象的结构化资源。</w:t>
            </w:r>
          </w:p>
        </w:tc>
        <w:tc>
          <w:tcPr>
            <w:tcW w:w="3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BA649C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核心是概念或字段组织结构；用于解释现象的理论结构归 theory_model_framework。</w:t>
            </w:r>
          </w:p>
        </w:tc>
        <w:tc>
          <w:tcPr>
            <w:tcW w:w="27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372D0A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分类法；叙词表；本体；元数据模式；主题索引。</w:t>
            </w:r>
          </w:p>
        </w:tc>
        <w:tc>
          <w:tcPr>
            <w:tcW w:w="19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213377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resource_kind；version；domain_scope</w:t>
            </w:r>
          </w:p>
        </w:tc>
      </w:tr>
      <w:tr w14:paraId="5E184057"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BE6F21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system_tool</w:t>
            </w:r>
          </w:p>
        </w:tc>
        <w:tc>
          <w:tcPr>
            <w:tcW w:w="14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AF6719">
            <w:pPr>
              <w:spacing w:after="0" w:line="259" w:lineRule="auto"/>
              <w:jc w:val="center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系统与工具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5E286C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通过运行、交互、计算或测量发挥功能的具体人工制品。</w:t>
            </w:r>
          </w:p>
        </w:tc>
        <w:tc>
          <w:tcPr>
            <w:tcW w:w="3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E53053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抽象研究步骤归 method_research_design；数据库内容归 data_resource；量表本身是工具，量表测量法是方法。</w:t>
            </w:r>
          </w:p>
        </w:tc>
        <w:tc>
          <w:tcPr>
            <w:tcW w:w="27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5A18C2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检索系统；数字图书馆平台；R 软件；问卷；量表；传感器。</w:t>
            </w:r>
          </w:p>
        </w:tc>
        <w:tc>
          <w:tcPr>
            <w:tcW w:w="19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31E91A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tool_kind；version；function；developer</w:t>
            </w:r>
          </w:p>
        </w:tc>
      </w:tr>
      <w:tr w14:paraId="4B5E6C04">
        <w:trPr>
          <w:cantSplit/>
          <w:jc w:val="center"/>
        </w:trPr>
        <w:tc>
          <w:tcPr>
            <w:tcW w:w="14628" w:type="dxa"/>
            <w:gridSpan w:val="6"/>
            <w:tcBorders>
              <w:top w:val="single" w:color="B9C8D3" w:sz="4" w:space="0"/>
              <w:left w:val="single" w:color="B9C8D3" w:sz="4" w:space="0"/>
              <w:bottom w:val="single" w:color="B9C8D3" w:sz="4" w:space="0"/>
              <w:right w:val="single" w:color="B9C8D3" w:sz="4" w:space="0"/>
              <w:insideH w:val="single" w:sz="4" w:space="0"/>
              <w:insideV w:val="single" w:sz="4" w:space="0"/>
            </w:tcBorders>
            <w:shd w:val="clear" w:color="auto" w:fill="DCEAF5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61514B09">
            <w:pPr>
              <w:keepNext/>
              <w:spacing w:after="0" w:line="259" w:lineRule="auto"/>
              <w:jc w:val="left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3  RESEARCH CONTENT  研究内容  综述中被概括 比较和评价的核心知识对象</w:t>
            </w:r>
          </w:p>
        </w:tc>
      </w:tr>
      <w:tr w14:paraId="559E3B96"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EECD64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research_topic_object</w:t>
            </w:r>
          </w:p>
        </w:tc>
        <w:tc>
          <w:tcPr>
            <w:tcW w:w="14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2DF3B7">
            <w:pPr>
              <w:spacing w:after="0" w:line="259" w:lineRule="auto"/>
              <w:jc w:val="center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研究主题与对象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4E7584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研究或一组文献持续关注的主题、对象类别或问题域。</w:t>
            </w:r>
          </w:p>
        </w:tc>
        <w:tc>
          <w:tcPr>
            <w:tcW w:w="3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8A5864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可以回答的明确疑问归 research_problem_question；具体系统、群体或现象可保留本体类型，并附 role=research_object。</w:t>
            </w:r>
          </w:p>
        </w:tc>
        <w:tc>
          <w:tcPr>
            <w:tcW w:w="27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287086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信息行为研究；高校图书馆服务；科研评价；生成式人工智能使用。</w:t>
            </w:r>
          </w:p>
        </w:tc>
        <w:tc>
          <w:tcPr>
            <w:tcW w:w="19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AEAED5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topic_kind；topic_scope；object_role；domain</w:t>
            </w:r>
          </w:p>
        </w:tc>
      </w:tr>
      <w:tr w14:paraId="4057A8CE"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C0FA7F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research_problem_question</w:t>
            </w:r>
          </w:p>
        </w:tc>
        <w:tc>
          <w:tcPr>
            <w:tcW w:w="14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F2B5D8">
            <w:pPr>
              <w:spacing w:after="0" w:line="259" w:lineRule="auto"/>
              <w:jc w:val="center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研究问题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7124DF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研究试图描述、解释、比较或解决的明确问题。</w:t>
            </w:r>
          </w:p>
        </w:tc>
        <w:tc>
          <w:tcPr>
            <w:tcW w:w="3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85B7BD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可检验陈述归 claim_conclusion；综述指出无人研究或证据缺位时归 research_gap。</w:t>
            </w:r>
          </w:p>
        </w:tc>
        <w:tc>
          <w:tcPr>
            <w:tcW w:w="27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BAB13D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数字素养如何影响检索绩效；评价指标是否存在学科偏差。</w:t>
            </w:r>
          </w:p>
        </w:tc>
        <w:tc>
          <w:tcPr>
            <w:tcW w:w="19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F1FE88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question_type；target；scope</w:t>
            </w:r>
          </w:p>
        </w:tc>
      </w:tr>
      <w:tr w14:paraId="1B099675"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0E5D65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concept_variable</w:t>
            </w:r>
          </w:p>
        </w:tc>
        <w:tc>
          <w:tcPr>
            <w:tcW w:w="14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B45F4C">
            <w:pPr>
              <w:spacing w:after="0" w:line="259" w:lineRule="auto"/>
              <w:jc w:val="center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概念 变量与指标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13170A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用于命名、界定或测量研究对象的语义单元，包括概念、定义、变量、维度和指标。</w:t>
            </w:r>
          </w:p>
        </w:tc>
        <w:tc>
          <w:tcPr>
            <w:tcW w:w="3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6EEDA0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多个概念和关系构成的解释体系归 theory_model_framework；不为概念、变量和指标分别设 L2。</w:t>
            </w:r>
          </w:p>
        </w:tc>
        <w:tc>
          <w:tcPr>
            <w:tcW w:w="27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28A8AA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信息素养；感知有用性；持续使用意愿；学术影响力指标。</w:t>
            </w:r>
          </w:p>
        </w:tc>
        <w:tc>
          <w:tcPr>
            <w:tcW w:w="19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0F9FEA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semantic_kind；variable_role；measurement_level；definition_source</w:t>
            </w:r>
          </w:p>
        </w:tc>
      </w:tr>
      <w:tr w14:paraId="4F27B221"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FD7AF6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theory_model_framework</w:t>
            </w:r>
          </w:p>
        </w:tc>
        <w:tc>
          <w:tcPr>
            <w:tcW w:w="14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69A4BA">
            <w:pPr>
              <w:spacing w:after="0" w:line="259" w:lineRule="auto"/>
              <w:jc w:val="center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理论 模型与框架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03BE1E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由概念、变量、命题或关系组成，用于解释、描述、分析或预测的系统性知识构造。</w:t>
            </w:r>
          </w:p>
        </w:tc>
        <w:tc>
          <w:tcPr>
            <w:tcW w:w="3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0FBFDB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单一陈述归 claim_conclusion；研究步骤归 method_research_design；理论、模型和框架以 construct_kind 区分。</w:t>
            </w:r>
          </w:p>
        </w:tc>
        <w:tc>
          <w:tcPr>
            <w:tcW w:w="27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28B3B8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弱连接理论；技术接受模型；PRISMA 框架；概念分析框架。</w:t>
            </w:r>
          </w:p>
        </w:tc>
        <w:tc>
          <w:tcPr>
            <w:tcW w:w="19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5486C6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construct_kind；components；proposer；version</w:t>
            </w:r>
          </w:p>
        </w:tc>
      </w:tr>
      <w:tr w14:paraId="28635048"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6E66BA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method_research_design</w:t>
            </w:r>
          </w:p>
        </w:tc>
        <w:tc>
          <w:tcPr>
            <w:tcW w:w="14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0B744C">
            <w:pPr>
              <w:spacing w:after="0" w:line="259" w:lineRule="auto"/>
              <w:jc w:val="center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方法与研究设计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2B5549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关于研究如何设计、取样、获取资料、分析、计算和评价的原则、方案、流程与技术。</w:t>
            </w:r>
          </w:p>
        </w:tc>
        <w:tc>
          <w:tcPr>
            <w:tcW w:w="3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953DE2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具体软件和量表归 system_tool；研究实际开展的过程归 research_activity；方法层级作为属性。</w:t>
            </w:r>
          </w:p>
        </w:tc>
        <w:tc>
          <w:tcPr>
            <w:tcW w:w="27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486A08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系统综述法；访谈法；实验设计；内容分析；文献计量；主题模型算法。</w:t>
            </w:r>
          </w:p>
        </w:tc>
        <w:tc>
          <w:tcPr>
            <w:tcW w:w="19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CD07A5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method_kind；design_type；stage；parameter；implementation</w:t>
            </w:r>
          </w:p>
        </w:tc>
      </w:tr>
      <w:tr w14:paraId="671C7151"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98335A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evidence_finding</w:t>
            </w:r>
          </w:p>
        </w:tc>
        <w:tc>
          <w:tcPr>
            <w:tcW w:w="14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89CF31">
            <w:pPr>
              <w:spacing w:after="0" w:line="259" w:lineRule="auto"/>
              <w:jc w:val="center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证据与发现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755051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由观察、实验、统计或文本分析获得，并被用于支持、削弱或检验主张的材料和结果。</w:t>
            </w:r>
          </w:p>
        </w:tc>
        <w:tc>
          <w:tcPr>
            <w:tcW w:w="3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A9594A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命名的数据集合归 data_resource；更高层总结性陈述归 claim_conclusion；证据与发现用 knowledge_role 区分。</w:t>
            </w:r>
          </w:p>
        </w:tc>
        <w:tc>
          <w:tcPr>
            <w:tcW w:w="27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29DA60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访谈片段；显著相关结果；识别出的三类用户；多篇研究的一致证据。</w:t>
            </w:r>
          </w:p>
        </w:tc>
        <w:tc>
          <w:tcPr>
            <w:tcW w:w="19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C47088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knowledge_role；evidence_kind；effect_direction；quality；certainty</w:t>
            </w:r>
          </w:p>
        </w:tc>
      </w:tr>
      <w:tr w14:paraId="5A7B2C71"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2646C6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claim_conclusion</w:t>
            </w:r>
          </w:p>
        </w:tc>
        <w:tc>
          <w:tcPr>
            <w:tcW w:w="14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34B212">
            <w:pPr>
              <w:spacing w:after="0" w:line="259" w:lineRule="auto"/>
              <w:jc w:val="center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主张 假设与结论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02E76D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具有可判断真值的陈述，包括作者主张、待检验假设、研究结论及理论或实践启示。</w:t>
            </w:r>
          </w:p>
        </w:tc>
        <w:tc>
          <w:tcPr>
            <w:tcW w:w="3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788920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直接分析输出归 evidence_finding；跨多篇文献形成的总体判断归 synthesis_consensus；陈述类别放入属性。</w:t>
            </w:r>
          </w:p>
        </w:tc>
        <w:tc>
          <w:tcPr>
            <w:tcW w:w="27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B54F7A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信息质量影响持续使用意愿；研究支持技术接受模型；结果提示应改进服务。</w:t>
            </w:r>
          </w:p>
        </w:tc>
        <w:tc>
          <w:tcPr>
            <w:tcW w:w="19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0BF20B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statement_kind；scope；certainty；source</w:t>
            </w:r>
          </w:p>
        </w:tc>
      </w:tr>
      <w:tr w14:paraId="5B70A355"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36343F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phenomenon_trend</w:t>
            </w:r>
          </w:p>
        </w:tc>
        <w:tc>
          <w:tcPr>
            <w:tcW w:w="14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A5404F">
            <w:pPr>
              <w:spacing w:after="0" w:line="259" w:lineRule="auto"/>
              <w:jc w:val="center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现象与趋势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4FB82F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作为研究对象存在的社会、技术、自然或学术现象，以及具有时间方向的渐进趋势。</w:t>
            </w:r>
          </w:p>
        </w:tc>
        <w:tc>
          <w:tcPr>
            <w:tcW w:w="3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B93DF0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术语本身归 concept_variable；具有明确行动者或阶段的过程归 change_action_process。</w:t>
            </w:r>
          </w:p>
        </w:tc>
        <w:tc>
          <w:tcPr>
            <w:tcW w:w="27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12817D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信息过载；开放获取增长趋势；学术传播平台化。</w:t>
            </w:r>
          </w:p>
        </w:tc>
        <w:tc>
          <w:tcPr>
            <w:tcW w:w="19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782029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temporality；direction；domain；period</w:t>
            </w:r>
          </w:p>
        </w:tc>
      </w:tr>
      <w:tr w14:paraId="38AE1FF5"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A1EB09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academic_domain_tradition</w:t>
            </w:r>
          </w:p>
        </w:tc>
        <w:tc>
          <w:tcPr>
            <w:tcW w:w="14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EE5D72">
            <w:pPr>
              <w:spacing w:after="0" w:line="259" w:lineRule="auto"/>
              <w:jc w:val="center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学术领域与传统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D90FD2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由共同问题边界、基本假设或认识立场构成的学科、子领域、范式、学派和研究传统。</w:t>
            </w:r>
          </w:p>
        </w:tc>
        <w:tc>
          <w:tcPr>
            <w:tcW w:w="3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5003AE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行政院系归 organization_agent；具体方法归 method_research_design；内部层次作为属性。</w:t>
            </w:r>
          </w:p>
        </w:tc>
        <w:tc>
          <w:tcPr>
            <w:tcW w:w="27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F4BE16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图书情报学；科学计量学；解释主义范式；批判图书馆学传统。</w:t>
            </w:r>
          </w:p>
        </w:tc>
        <w:tc>
          <w:tcPr>
            <w:tcW w:w="19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6315C8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domain_kind；scope_level；parent_domain</w:t>
            </w:r>
          </w:p>
        </w:tc>
      </w:tr>
      <w:tr w14:paraId="6E34189C">
        <w:trPr>
          <w:cantSplit/>
          <w:jc w:val="center"/>
        </w:trPr>
        <w:tc>
          <w:tcPr>
            <w:tcW w:w="14628" w:type="dxa"/>
            <w:gridSpan w:val="6"/>
            <w:tcBorders>
              <w:top w:val="single" w:color="B9C8D3" w:sz="4" w:space="0"/>
              <w:left w:val="single" w:color="B9C8D3" w:sz="4" w:space="0"/>
              <w:bottom w:val="single" w:color="B9C8D3" w:sz="4" w:space="0"/>
              <w:right w:val="single" w:color="B9C8D3" w:sz="4" w:space="0"/>
              <w:insideH w:val="single" w:sz="4" w:space="0"/>
              <w:insideV w:val="single" w:sz="4" w:space="0"/>
            </w:tcBorders>
            <w:shd w:val="clear" w:color="auto" w:fill="DCEAF5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1BF72405">
            <w:pPr>
              <w:keepNext/>
              <w:spacing w:after="0" w:line="259" w:lineRule="auto"/>
              <w:jc w:val="left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4  REVIEW JUDGMENT  综述评论判断  评论者对单篇或多篇文献作出的评价 综合与前瞻</w:t>
            </w:r>
          </w:p>
        </w:tc>
      </w:tr>
      <w:tr w14:paraId="152A7C3D"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FD36A2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contribution_value</w:t>
            </w:r>
          </w:p>
        </w:tc>
        <w:tc>
          <w:tcPr>
            <w:tcW w:w="14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103917">
            <w:pPr>
              <w:spacing w:after="0" w:line="259" w:lineRule="auto"/>
              <w:jc w:val="center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贡献与价值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82EBA4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对研究新增内容、创新性、质量、解释力、可靠性、适用性或实践价值的正面评价。</w:t>
            </w:r>
          </w:p>
        </w:tc>
        <w:tc>
          <w:tcPr>
            <w:tcW w:w="3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B9AD6B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创新和一般优势不再拆为 L2，以 contribution_kind 和 evaluation_dimension 区分。</w:t>
            </w:r>
          </w:p>
        </w:tc>
        <w:tc>
          <w:tcPr>
            <w:tcW w:w="27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A105B4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提出新的分析框架；数据覆盖广；研究设计严谨；结论具有实践价值。</w:t>
            </w:r>
          </w:p>
        </w:tc>
        <w:tc>
          <w:tcPr>
            <w:tcW w:w="19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CA8ACA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contribution_kind；evaluation_dimension；novelty_level；intensity</w:t>
            </w:r>
          </w:p>
        </w:tc>
      </w:tr>
      <w:tr w14:paraId="3CB43AE3"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3BB50D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limitation_problem</w:t>
            </w:r>
          </w:p>
        </w:tc>
        <w:tc>
          <w:tcPr>
            <w:tcW w:w="14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BA2A6F">
            <w:pPr>
              <w:spacing w:after="0" w:line="259" w:lineRule="auto"/>
              <w:jc w:val="center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局限与问题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DE46E9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对研究在理论、方法、样本、数据、证据、论证、报告或应用方面缺陷的负面评价。</w:t>
            </w:r>
          </w:p>
        </w:tc>
        <w:tc>
          <w:tcPr>
            <w:tcW w:w="3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B1930B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尚无人研究或证据整体缺位归 research_gap；文献之间的冲突归 disagreement_controversy。</w:t>
            </w:r>
          </w:p>
        </w:tc>
        <w:tc>
          <w:tcPr>
            <w:tcW w:w="27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F655A2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样本代表性不足；测量单一；因果解释过度；缺少外部效度检验。</w:t>
            </w:r>
          </w:p>
        </w:tc>
        <w:tc>
          <w:tcPr>
            <w:tcW w:w="19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DF8550F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limitation_kind；evaluation_dimension；severity；target</w:t>
            </w:r>
          </w:p>
        </w:tc>
      </w:tr>
      <w:tr w14:paraId="3D974E41"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7DEC79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research_gap</w:t>
            </w:r>
          </w:p>
        </w:tc>
        <w:tc>
          <w:tcPr>
            <w:tcW w:w="14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029E99">
            <w:pPr>
              <w:spacing w:after="0" w:line="259" w:lineRule="auto"/>
              <w:jc w:val="center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研究空白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D2AAD4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综述基于文献覆盖指出的未研究、少研究、证据不足或尚未解决的知识缺口。</w:t>
            </w:r>
          </w:p>
        </w:tc>
        <w:tc>
          <w:tcPr>
            <w:tcW w:w="3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1E66B9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已有研究做得不够好归 limitation_problem；未来行动归 recommendation_future_direction。</w:t>
            </w:r>
          </w:p>
        </w:tc>
        <w:tc>
          <w:tcPr>
            <w:tcW w:w="27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02E291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缺少发展中国家证据；长期追踪研究不足；尚未比较不同年龄群体。</w:t>
            </w:r>
          </w:p>
        </w:tc>
        <w:tc>
          <w:tcPr>
            <w:tcW w:w="19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F7F92C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gap_kind；scope；evidence_basis</w:t>
            </w:r>
          </w:p>
        </w:tc>
      </w:tr>
      <w:tr w14:paraId="2AE4CAE3"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C9B9E0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disagreement_controversy</w:t>
            </w:r>
          </w:p>
        </w:tc>
        <w:tc>
          <w:tcPr>
            <w:tcW w:w="14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68C21C">
            <w:pPr>
              <w:spacing w:after="0" w:line="259" w:lineRule="auto"/>
              <w:jc w:val="center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分歧与争议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BD0A71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研究、理论或学者之间不一致、相互冲突或尚无定论的观点和证据状态。</w:t>
            </w:r>
          </w:p>
        </w:tc>
        <w:tc>
          <w:tcPr>
            <w:tcW w:w="3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E6DCCC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具体发生的争论活动归 change_action_process；本类强调综述识别出的认知冲突。</w:t>
            </w:r>
          </w:p>
        </w:tc>
        <w:tc>
          <w:tcPr>
            <w:tcW w:w="27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5CB117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引用指标能否代表质量尚无定论；不同研究报告相反的效应方向。</w:t>
            </w:r>
          </w:p>
        </w:tc>
        <w:tc>
          <w:tcPr>
            <w:tcW w:w="19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B0D413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controversy_topic；sides；evidence_balance；status</w:t>
            </w:r>
          </w:p>
        </w:tc>
      </w:tr>
      <w:tr w14:paraId="484364DA"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157037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synthesis_consensus</w:t>
            </w:r>
          </w:p>
        </w:tc>
        <w:tc>
          <w:tcPr>
            <w:tcW w:w="14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F839BB">
            <w:pPr>
              <w:spacing w:after="0" w:line="259" w:lineRule="auto"/>
              <w:jc w:val="center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综合判断与共识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87D7AE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评论者跨多篇文献形成的总体归纳、模式识别、证据权衡、共识或阶段性解释。</w:t>
            </w:r>
          </w:p>
        </w:tc>
        <w:tc>
          <w:tcPr>
            <w:tcW w:w="3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0BF09E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单篇研究结论归 claim_conclusion；本类必须具有跨文献综合依据。</w:t>
            </w:r>
          </w:p>
        </w:tc>
        <w:tc>
          <w:tcPr>
            <w:tcW w:w="27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19577F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多数研究支持正向关系；该领域形成三条路径；总体证据仍不确定。</w:t>
            </w:r>
          </w:p>
        </w:tc>
        <w:tc>
          <w:tcPr>
            <w:tcW w:w="19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690A45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synthesis_kind；coverage；consensus_level；certainty</w:t>
            </w:r>
          </w:p>
        </w:tc>
      </w:tr>
      <w:tr w14:paraId="7D153975"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03D5E4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recommendation_future_direction</w:t>
            </w:r>
          </w:p>
        </w:tc>
        <w:tc>
          <w:tcPr>
            <w:tcW w:w="14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D888CE">
            <w:pPr>
              <w:spacing w:after="0" w:line="259" w:lineRule="auto"/>
              <w:jc w:val="center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建议与未来方向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4F3762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评论者基于发现、局限或空白提出的研究议程、改进、实践或政策建议。</w:t>
            </w:r>
          </w:p>
        </w:tc>
        <w:tc>
          <w:tcPr>
            <w:tcW w:w="3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77387B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作者对本研究结果的意义陈述归 claim_conclusion；本类强调评论语境中的后续行动。</w:t>
            </w:r>
          </w:p>
        </w:tc>
        <w:tc>
          <w:tcPr>
            <w:tcW w:w="27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1A694B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未来应开展跨文化纵向研究；建议统一测量口径；应加强开放数据共享。</w:t>
            </w:r>
          </w:p>
        </w:tc>
        <w:tc>
          <w:tcPr>
            <w:tcW w:w="19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A150C9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recommendation_kind；target_actor；priority；basis</w:t>
            </w:r>
          </w:p>
        </w:tc>
      </w:tr>
      <w:tr w14:paraId="24BC5CBA">
        <w:trPr>
          <w:cantSplit/>
          <w:jc w:val="center"/>
        </w:trPr>
        <w:tc>
          <w:tcPr>
            <w:tcW w:w="14628" w:type="dxa"/>
            <w:gridSpan w:val="6"/>
            <w:tcBorders>
              <w:top w:val="single" w:color="B9C8D3" w:sz="4" w:space="0"/>
              <w:left w:val="single" w:color="B9C8D3" w:sz="4" w:space="0"/>
              <w:bottom w:val="single" w:color="B9C8D3" w:sz="4" w:space="0"/>
              <w:right w:val="single" w:color="B9C8D3" w:sz="4" w:space="0"/>
              <w:insideH w:val="single" w:sz="4" w:space="0"/>
              <w:insideV w:val="single" w:sz="4" w:space="0"/>
            </w:tcBorders>
            <w:shd w:val="clear" w:color="auto" w:fill="DCEAF5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0A722E11">
            <w:pPr>
              <w:keepNext/>
              <w:spacing w:after="0" w:line="259" w:lineRule="auto"/>
              <w:jc w:val="left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5  CONTEXT  研究情境  用于限定证据与结论适用范围的对象</w:t>
            </w:r>
          </w:p>
        </w:tc>
      </w:tr>
      <w:tr w14:paraId="37B37FD2"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5BB769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population_sample</w:t>
            </w:r>
          </w:p>
        </w:tc>
        <w:tc>
          <w:tcPr>
            <w:tcW w:w="14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B6ED0BB">
            <w:pPr>
              <w:spacing w:after="0" w:line="259" w:lineRule="auto"/>
              <w:jc w:val="center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研究总体与样本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AA7C17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研究所指向的总体、样本、案例集合或实验对象集合。</w:t>
            </w:r>
          </w:p>
        </w:tc>
        <w:tc>
          <w:tcPr>
            <w:tcW w:w="3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EFCF19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作为社会行动主体被评论时归 social_group_community；作为抽样对象时归本类。</w:t>
            </w:r>
          </w:p>
        </w:tc>
        <w:tc>
          <w:tcPr>
            <w:tcW w:w="27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4BB605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高校教师样本；30 所大学；2 万篇论文；三个典型案例。</w:t>
            </w:r>
          </w:p>
        </w:tc>
        <w:tc>
          <w:tcPr>
            <w:tcW w:w="19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2B2F1A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population_kind；sample_size；sampling_method；inclusion_criteria</w:t>
            </w:r>
          </w:p>
        </w:tc>
      </w:tr>
      <w:tr w14:paraId="159BC4B8"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870DC9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research_context</w:t>
            </w:r>
          </w:p>
        </w:tc>
        <w:tc>
          <w:tcPr>
            <w:tcW w:w="14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F69F9C">
            <w:pPr>
              <w:spacing w:after="0" w:line="259" w:lineRule="auto"/>
              <w:jc w:val="center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研究情境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B84685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限定研究、证据或结论的地点、时期、制度、技术、任务和应用条件。</w:t>
            </w:r>
          </w:p>
        </w:tc>
        <w:tc>
          <w:tcPr>
            <w:tcW w:w="3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BF4B29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地点、时间与应用场景不再设不同 L2，以 context_kind 区分；具体可运行平台仍归 system_tool。</w:t>
            </w:r>
          </w:p>
        </w:tc>
        <w:tc>
          <w:tcPr>
            <w:tcW w:w="27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F49D4C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中国；2015 至 2025 年；疫情期间；移动检索场景；匿名评审条件。</w:t>
            </w:r>
          </w:p>
        </w:tc>
        <w:tc>
          <w:tcPr>
            <w:tcW w:w="19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823BCA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context_kind；place；time_span；boundary_condition；setting</w:t>
            </w:r>
          </w:p>
        </w:tc>
      </w:tr>
      <w:tr w14:paraId="6D1C6076">
        <w:trPr>
          <w:cantSplit/>
          <w:jc w:val="center"/>
        </w:trPr>
        <w:tc>
          <w:tcPr>
            <w:tcW w:w="14628" w:type="dxa"/>
            <w:gridSpan w:val="6"/>
            <w:tcBorders>
              <w:top w:val="single" w:color="B9C8D3" w:sz="4" w:space="0"/>
              <w:left w:val="single" w:color="B9C8D3" w:sz="4" w:space="0"/>
              <w:bottom w:val="single" w:color="B9C8D3" w:sz="4" w:space="0"/>
              <w:right w:val="single" w:color="B9C8D3" w:sz="4" w:space="0"/>
              <w:insideH w:val="single" w:sz="4" w:space="0"/>
              <w:insideV w:val="single" w:sz="4" w:space="0"/>
            </w:tcBorders>
            <w:shd w:val="clear" w:color="auto" w:fill="DCEAF5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20132FB3">
            <w:pPr>
              <w:keepNext/>
              <w:spacing w:after="0" w:line="259" w:lineRule="auto"/>
              <w:jc w:val="left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6  EVENT PROCESS  事件与过程  在时间中展开并具有参与者 阶段或变化轨迹的对象</w:t>
            </w:r>
          </w:p>
        </w:tc>
      </w:tr>
      <w:tr w14:paraId="4475895E"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D1029C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research_activity</w:t>
            </w:r>
          </w:p>
        </w:tc>
        <w:tc>
          <w:tcPr>
            <w:tcW w:w="14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8E1AC5">
            <w:pPr>
              <w:spacing w:after="0" w:line="259" w:lineRule="auto"/>
              <w:jc w:val="center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研究活动与项目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7CEB88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为产生知识而实际开展、具有参与者和时间边界的研究、调查、实验或项目。</w:t>
            </w:r>
          </w:p>
        </w:tc>
        <w:tc>
          <w:tcPr>
            <w:tcW w:w="3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006CF2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研究方案归 method_research_design；项目成果归 publication 或 evidence_finding。</w:t>
            </w:r>
          </w:p>
        </w:tc>
        <w:tc>
          <w:tcPr>
            <w:tcW w:w="27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6A789B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随机对照实验；全国用户调查；重大研究项目；年度田野工作。</w:t>
            </w:r>
          </w:p>
        </w:tc>
        <w:tc>
          <w:tcPr>
            <w:tcW w:w="19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42CF94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activity_kind；participants；start_time；end_time；funding</w:t>
            </w:r>
          </w:p>
        </w:tc>
      </w:tr>
      <w:tr w14:paraId="1B932B55"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8BCD78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scholarly_activity</w:t>
            </w:r>
          </w:p>
        </w:tc>
        <w:tc>
          <w:tcPr>
            <w:tcW w:w="14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E70163">
            <w:pPr>
              <w:spacing w:after="0" w:line="259" w:lineRule="auto"/>
              <w:jc w:val="center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学术交流活动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C21EB3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围绕知识发布、评审、引用、讨论和传播开展的具体活动。</w:t>
            </w:r>
          </w:p>
        </w:tc>
        <w:tc>
          <w:tcPr>
            <w:tcW w:w="3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589820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会议论文归 publication，会议召开归本类；一般引用优先记录 cites 关系。</w:t>
            </w:r>
          </w:p>
        </w:tc>
        <w:tc>
          <w:tcPr>
            <w:tcW w:w="27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19CA6D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学术会议；同行评审；专题研讨会；成果发布活动。</w:t>
            </w:r>
          </w:p>
        </w:tc>
        <w:tc>
          <w:tcPr>
            <w:tcW w:w="19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29591D5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activity_kind；venue；participants；date</w:t>
            </w:r>
          </w:p>
        </w:tc>
      </w:tr>
      <w:tr w14:paraId="050DA0BF"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CA2B35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change_action_process</w:t>
            </w:r>
          </w:p>
        </w:tc>
        <w:tc>
          <w:tcPr>
            <w:tcW w:w="14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8DF6B8">
            <w:pPr>
              <w:spacing w:after="0" w:line="259" w:lineRule="auto"/>
              <w:jc w:val="center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变迁与行动过程</w:t>
            </w:r>
            <w:bookmarkStart w:id="0" w:name="_GoBack"/>
            <w:bookmarkEnd w:id="0"/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604A03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领域、制度、技术或认识方式的演进、转向，以及具有参与者的争论、运动、政策实施和改革行动。</w:t>
            </w:r>
          </w:p>
        </w:tc>
        <w:tc>
          <w:tcPr>
            <w:tcW w:w="3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A1A820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趋势仅表示增强或减弱时归 phenomenon_trend；具体文本制品归 normative_document；各种过程以 process_kind 区分。</w:t>
            </w:r>
          </w:p>
        </w:tc>
        <w:tc>
          <w:tcPr>
            <w:tcW w:w="27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6E4B49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学术转向；开放获取运动；方法论争论；政策改革；科研传播数字化演进。</w:t>
            </w:r>
          </w:p>
        </w:tc>
        <w:tc>
          <w:tcPr>
            <w:tcW w:w="19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shd w:val="clear" w:color="auto" w:fill="F4F8FB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664CE0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process_kind；initiator；participants；stages；period</w:t>
            </w:r>
          </w:p>
        </w:tc>
      </w:tr>
      <w:tr w14:paraId="232A6BC9">
        <w:trPr>
          <w:cantSplit/>
          <w:jc w:val="center"/>
        </w:trPr>
        <w:tc>
          <w:tcPr>
            <w:tcW w:w="14628" w:type="dxa"/>
            <w:gridSpan w:val="6"/>
            <w:tcBorders>
              <w:top w:val="single" w:color="B9C8D3" w:sz="4" w:space="0"/>
              <w:left w:val="single" w:color="B9C8D3" w:sz="4" w:space="0"/>
              <w:bottom w:val="single" w:color="B9C8D3" w:sz="4" w:space="0"/>
              <w:right w:val="single" w:color="B9C8D3" w:sz="4" w:space="0"/>
              <w:insideH w:val="single" w:sz="4" w:space="0"/>
              <w:insideV w:val="single" w:sz="4" w:space="0"/>
            </w:tcBorders>
            <w:shd w:val="clear" w:color="auto" w:fill="E8ECEF"/>
            <w:tcMar>
              <w:top w:w="95" w:type="dxa"/>
              <w:left w:w="85" w:type="dxa"/>
              <w:bottom w:w="95" w:type="dxa"/>
              <w:right w:w="85" w:type="dxa"/>
            </w:tcMar>
            <w:vAlign w:val="center"/>
          </w:tcPr>
          <w:p w14:paraId="46B88A87">
            <w:pPr>
              <w:keepNext/>
              <w:spacing w:after="0" w:line="259" w:lineRule="auto"/>
              <w:jc w:val="left"/>
            </w:pPr>
            <w:r>
              <w:rPr>
                <w:rFonts w:ascii="Arial" w:hAnsi="Arial" w:eastAsia="STHeiti"/>
                <w:b/>
                <w:color w:val="000000"/>
                <w:sz w:val="18"/>
              </w:rPr>
              <w:t>7  GLOBAL FALLBACK  全局兜底  仅在现有证据无法判断任何正式 L1 时使用</w:t>
            </w:r>
          </w:p>
        </w:tc>
      </w:tr>
      <w:tr w14:paraId="64B7295E">
        <w:trPr>
          <w:cantSplit/>
          <w:jc w:val="center"/>
        </w:trPr>
        <w:tc>
          <w:tcPr>
            <w:tcW w:w="1800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C933A7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global_other</w:t>
            </w:r>
          </w:p>
        </w:tc>
        <w:tc>
          <w:tcPr>
            <w:tcW w:w="1498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D226B2">
            <w:pPr>
              <w:spacing w:after="0" w:line="259" w:lineRule="auto"/>
              <w:jc w:val="center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其他</w:t>
            </w:r>
          </w:p>
        </w:tc>
        <w:tc>
          <w:tcPr>
            <w:tcW w:w="3024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EE5805F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文本中存在明确索引对象，但现有上下文无法可靠归入任何正式 L1，或体系确有未覆盖对象时使用。</w:t>
            </w:r>
          </w:p>
        </w:tc>
        <w:tc>
          <w:tcPr>
            <w:tcW w:w="3427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7F98C5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不得因为不知道角色、体裁或属性而使用；若能判定 L2，应保留该 L2 并将未知属性置空。</w:t>
            </w:r>
          </w:p>
        </w:tc>
        <w:tc>
          <w:tcPr>
            <w:tcW w:w="276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CB8C21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上下文截断，只能确认某专名是评论对象，但无法判断其类别。</w:t>
            </w:r>
          </w:p>
        </w:tc>
        <w:tc>
          <w:tcPr>
            <w:tcW w:w="1915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sz="4" w:space="0"/>
              <w:insideV w:val="single" w:sz="4" w:space="0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CB32A9">
            <w:pPr>
              <w:spacing w:after="0" w:line="259" w:lineRule="auto"/>
              <w:jc w:val="left"/>
            </w:pPr>
            <w:r>
              <w:rPr>
                <w:rFonts w:ascii="Arial" w:hAnsi="Arial" w:eastAsia="STHeiti"/>
                <w:b w:val="0"/>
                <w:color w:val="000000"/>
                <w:sz w:val="15"/>
              </w:rPr>
              <w:t>suggested_type；evidence_span；confidence；review_status</w:t>
            </w:r>
          </w:p>
        </w:tc>
      </w:tr>
    </w:tbl>
    <w:p w14:paraId="32C5606F">
      <w:r>
        <w:br w:type="page"/>
      </w:r>
    </w:p>
    <w:p w14:paraId="5043CEAA"/>
    <w:sectPr>
      <w:footerReference r:id="rId5" w:type="default"/>
      <w:pgSz w:w="15840" w:h="12240" w:orient="landscape"/>
      <w:pgMar w:top="648" w:right="605" w:bottom="605" w:left="605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STHeiti">
    <w:panose1 w:val="02010600040101010101"/>
    <w:charset w:val="86"/>
    <w:family w:val="auto"/>
    <w:pitch w:val="default"/>
    <w:sig w:usb0="00000287" w:usb1="080F0000" w:usb2="00000000" w:usb3="00000000" w:csb0="00040001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1DEC926">
    <w:pPr>
      <w:pStyle w:val="24"/>
      <w:jc w:val="center"/>
    </w:pPr>
    <w:r>
      <w:rPr>
        <w:rFonts w:ascii="Arial" w:hAnsi="Arial" w:eastAsia="STHeiti"/>
        <w:b w:val="0"/>
        <w:color w:val="666666"/>
        <w:sz w:val="16"/>
      </w:rPr>
      <w:fldChar w:fldCharType="begin"/>
    </w:r>
    <w:r>
      <w:rPr>
        <w:rFonts w:ascii="Arial" w:hAnsi="Arial" w:eastAsia="STHeiti"/>
        <w:b w:val="0"/>
        <w:color w:val="666666"/>
        <w:sz w:val="16"/>
      </w:rPr>
      <w:instrText xml:space="preserve"> PAGE </w:instrText>
    </w:r>
    <w:r>
      <w:rPr>
        <w:rFonts w:ascii="Arial" w:hAnsi="Arial" w:eastAsia="STHeiti"/>
        <w:b w:val="0"/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93" w:lineRule="auto"/>
      </w:pPr>
      <w:r>
        <w:separator/>
      </w:r>
    </w:p>
  </w:footnote>
  <w:footnote w:type="continuationSeparator" w:id="1">
    <w:p>
      <w:pPr>
        <w:spacing w:before="0" w:after="0" w:line="29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AF6F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93" w:lineRule="auto"/>
    </w:pPr>
    <w:rPr>
      <w:rFonts w:ascii="Arial" w:hAnsi="Arial" w:eastAsia="STHeiti" w:cstheme="minorBidi"/>
      <w:color w:val="000000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14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池林</cp:lastModifiedBy>
  <dcterms:modified xsi:type="dcterms:W3CDTF">2026-09-09T19:41:05Z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E166F4CD8034735ED145A16AB346B966_42</vt:lpwstr>
  </property>
</Properties>
</file>