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B997A2">
      <w:r>
        <w:rPr>
          <w:rFonts w:ascii="宋体" w:hAnsi="宋体" w:eastAsia="宋体" w:cs="宋体"/>
          <w:sz w:val="24"/>
          <w:szCs w:val="24"/>
        </w:rPr>
        <w:t>通过上面的图可以看到，不同清洗频率下，发电量的变化并没有显著的差异。这可能是因为清洗频率的改变并没有明显影响发电量的提升或者是影响较小。在这个示例中，发电量的变化趋势非常相似，因此选择较少的清洗频率（例如每5天或7天）可能是一个经济且有效的选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wNzhjODEyYTY2YmYxMGNiODMxY2UxYzMwZTYxMTIifQ=="/>
  </w:docVars>
  <w:rsids>
    <w:rsidRoot w:val="00000000"/>
    <w:rsid w:val="131F3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2025-04-25T15:58:17Z</dcterms:created>
  <dc:creator>CC</dc:creator>
  <cp:lastModifiedBy>叶</cp:lastModifiedBy>
  <dcterms:modified xsi:type="dcterms:W3CDTF">2025-04-25T15:59:00Z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1E5E6E02200C4A2F8D2681FD20D56FE6_12</vt:lpwstr>
  </property>
</Properties>
</file>