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CBF4" w14:textId="66A373FB" w:rsidR="00CC23F9" w:rsidRDefault="00CC23F9" w:rsidP="002A7C73">
      <w:pPr>
        <w:pStyle w:val="Heading1"/>
      </w:pPr>
      <w:r>
        <w:t>Problem 1</w:t>
      </w:r>
    </w:p>
    <w:p w14:paraId="691A0FEB" w14:textId="4C5F4732" w:rsidR="00CC23F9" w:rsidRDefault="00085822" w:rsidP="00CC23F9">
      <w:r>
        <w:t xml:space="preserve">There are three types of price returns: </w:t>
      </w:r>
      <w:r w:rsidRPr="00085822">
        <w:t>Classical Brownian Motion</w:t>
      </w:r>
      <w:r>
        <w:t xml:space="preserve">, </w:t>
      </w:r>
      <w:r w:rsidRPr="00085822">
        <w:t>Arithmetic Return System</w:t>
      </w:r>
      <w:r>
        <w:t xml:space="preserve">, and </w:t>
      </w:r>
      <w:r w:rsidRPr="00085822">
        <w:t>Log Return or Geometric Brownian Motion</w:t>
      </w:r>
      <w:r>
        <w:t>, and they are shown below</w:t>
      </w:r>
    </w:p>
    <w:p w14:paraId="14EBDC64" w14:textId="38F5A7A0" w:rsidR="00CC23F9" w:rsidRPr="00CD3FA0" w:rsidRDefault="00000000" w:rsidP="00CC23F9">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e>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func>
                </m:e>
              </m:eqArr>
            </m:e>
          </m:d>
        </m:oMath>
      </m:oMathPara>
    </w:p>
    <w:p w14:paraId="361DF9CA" w14:textId="655DBD60" w:rsidR="00BD7D75" w:rsidRDefault="00085822" w:rsidP="00CD3FA0">
      <w:r>
        <w:t>To simulate the results with the given normal distribution current returns:</w:t>
      </w:r>
    </w:p>
    <w:p w14:paraId="1BC8731D" w14:textId="7896EF10" w:rsidR="00085822" w:rsidRPr="00CD3FA0" w:rsidRDefault="00085822" w:rsidP="00085822">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σ</m:t>
                  </m:r>
                  <m:r>
                    <w:rPr>
                      <w:rFonts w:ascii="Cambria Math" w:hAnsi="Cambria Math"/>
                    </w:rPr>
                    <m:t>=</m:t>
                  </m:r>
                  <m:r>
                    <w:rPr>
                      <w:rFonts w:ascii="Cambria Math" w:hAnsi="Cambria Math"/>
                    </w:rPr>
                    <m:t>1</m:t>
                  </m:r>
                </m:e>
                <m:e>
                  <m:r>
                    <w:rPr>
                      <w:rFonts w:ascii="Cambria Math" w:hAnsi="Cambria Math"/>
                    </w:rPr>
                    <m:t>n</m:t>
                  </m:r>
                  <m:r>
                    <w:rPr>
                      <w:rFonts w:ascii="Cambria Math" w:hAnsi="Cambria Math"/>
                    </w:rPr>
                    <m:t>=</m:t>
                  </m:r>
                  <m:r>
                    <w:rPr>
                      <w:rFonts w:ascii="Cambria Math" w:hAnsi="Cambria Math"/>
                    </w:rPr>
                    <m:t>1000</m:t>
                  </m:r>
                </m:e>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r>
                    <w:rPr>
                      <w:rFonts w:ascii="Cambria Math" w:hAnsi="Cambria Math"/>
                    </w:rPr>
                    <m:t>100</m:t>
                  </m:r>
                </m:e>
              </m:eqArr>
            </m:e>
          </m:d>
        </m:oMath>
      </m:oMathPara>
    </w:p>
    <w:p w14:paraId="2ED1E7D8" w14:textId="77777777" w:rsidR="005366D4" w:rsidRDefault="005366D4" w:rsidP="00CD3FA0">
      <w:r>
        <w:t xml:space="preserve">The result is </w:t>
      </w:r>
    </w:p>
    <w:tbl>
      <w:tblPr>
        <w:tblStyle w:val="TableGrid"/>
        <w:tblW w:w="0" w:type="auto"/>
        <w:jc w:val="center"/>
        <w:tblLook w:val="04A0" w:firstRow="1" w:lastRow="0" w:firstColumn="1" w:lastColumn="0" w:noHBand="0" w:noVBand="1"/>
      </w:tblPr>
      <w:tblGrid>
        <w:gridCol w:w="2011"/>
        <w:gridCol w:w="2277"/>
        <w:gridCol w:w="2389"/>
      </w:tblGrid>
      <w:tr w:rsidR="005366D4" w14:paraId="010D2A0A" w14:textId="77777777" w:rsidTr="005366D4">
        <w:trPr>
          <w:jc w:val="center"/>
        </w:trPr>
        <w:tc>
          <w:tcPr>
            <w:tcW w:w="2011" w:type="dxa"/>
          </w:tcPr>
          <w:p w14:paraId="48AEC2ED" w14:textId="77777777" w:rsidR="005366D4" w:rsidRDefault="005366D4" w:rsidP="00CD3FA0"/>
        </w:tc>
        <w:tc>
          <w:tcPr>
            <w:tcW w:w="2277" w:type="dxa"/>
          </w:tcPr>
          <w:p w14:paraId="7378DEFA" w14:textId="7F983100" w:rsidR="005366D4" w:rsidRDefault="005366D4" w:rsidP="00CD3FA0">
            <m:oMathPara>
              <m:oMath>
                <m:sSub>
                  <m:sSubPr>
                    <m:ctrlPr>
                      <w:rPr>
                        <w:rFonts w:ascii="Cambria Math" w:hAnsi="Cambria Math"/>
                        <w:i/>
                      </w:rPr>
                    </m:ctrlPr>
                  </m:sSubPr>
                  <m:e>
                    <m:r>
                      <w:rPr>
                        <w:rFonts w:ascii="Cambria Math" w:hAnsi="Cambria Math"/>
                      </w:rPr>
                      <m:t>μ(P</m:t>
                    </m:r>
                  </m:e>
                  <m:sub>
                    <m:r>
                      <w:rPr>
                        <w:rFonts w:ascii="Cambria Math" w:hAnsi="Cambria Math"/>
                      </w:rPr>
                      <m:t>t</m:t>
                    </m:r>
                  </m:sub>
                </m:sSub>
                <m:r>
                  <w:rPr>
                    <w:rFonts w:ascii="Cambria Math" w:hAnsi="Cambria Math"/>
                  </w:rPr>
                  <m:t>)</m:t>
                </m:r>
              </m:oMath>
            </m:oMathPara>
          </w:p>
        </w:tc>
        <w:tc>
          <w:tcPr>
            <w:tcW w:w="2389" w:type="dxa"/>
          </w:tcPr>
          <w:p w14:paraId="7F0F17B3" w14:textId="2448B2B1" w:rsidR="005366D4" w:rsidRDefault="005366D4" w:rsidP="00CD3FA0">
            <m:oMathPara>
              <m:oMath>
                <m:r>
                  <w:rPr>
                    <w:rFonts w:ascii="Cambria Math" w:hAnsi="Cambria Math"/>
                  </w:rPr>
                  <m:t>σ</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oMath>
            </m:oMathPara>
          </w:p>
        </w:tc>
      </w:tr>
      <w:tr w:rsidR="005366D4" w14:paraId="4868A97D" w14:textId="77777777" w:rsidTr="005366D4">
        <w:trPr>
          <w:jc w:val="center"/>
        </w:trPr>
        <w:tc>
          <w:tcPr>
            <w:tcW w:w="2011" w:type="dxa"/>
          </w:tcPr>
          <w:p w14:paraId="7112666C" w14:textId="76D5696C" w:rsidR="005366D4" w:rsidRDefault="005366D4" w:rsidP="00CD3FA0">
            <w:r>
              <w:t>Classical Returns</w:t>
            </w:r>
          </w:p>
        </w:tc>
        <w:tc>
          <w:tcPr>
            <w:tcW w:w="2277" w:type="dxa"/>
          </w:tcPr>
          <w:p w14:paraId="69F01E31" w14:textId="32759D45" w:rsidR="005366D4" w:rsidRDefault="00B6212B" w:rsidP="00AE27E6">
            <w:pPr>
              <w:jc w:val="center"/>
            </w:pPr>
            <w:r w:rsidRPr="00B6212B">
              <w:t>100.01933205582233</w:t>
            </w:r>
          </w:p>
        </w:tc>
        <w:tc>
          <w:tcPr>
            <w:tcW w:w="2389" w:type="dxa"/>
          </w:tcPr>
          <w:p w14:paraId="3BC324D4" w14:textId="2057A1F6" w:rsidR="005366D4" w:rsidRDefault="00B6212B" w:rsidP="00AE27E6">
            <w:pPr>
              <w:jc w:val="center"/>
            </w:pPr>
            <w:r w:rsidRPr="00B6212B">
              <w:t>0.9787262077473542</w:t>
            </w:r>
          </w:p>
        </w:tc>
      </w:tr>
      <w:tr w:rsidR="005366D4" w14:paraId="721B475D" w14:textId="77777777" w:rsidTr="005366D4">
        <w:trPr>
          <w:jc w:val="center"/>
        </w:trPr>
        <w:tc>
          <w:tcPr>
            <w:tcW w:w="2011" w:type="dxa"/>
          </w:tcPr>
          <w:p w14:paraId="723AFD65" w14:textId="157DD4A3" w:rsidR="005366D4" w:rsidRDefault="005366D4" w:rsidP="00CD3FA0">
            <w:r w:rsidRPr="005366D4">
              <w:t>Arithmetic Returns</w:t>
            </w:r>
          </w:p>
        </w:tc>
        <w:tc>
          <w:tcPr>
            <w:tcW w:w="2277" w:type="dxa"/>
          </w:tcPr>
          <w:p w14:paraId="5C17F57D" w14:textId="55CD56FD" w:rsidR="005366D4" w:rsidRDefault="00B6212B" w:rsidP="00AE27E6">
            <w:pPr>
              <w:jc w:val="center"/>
            </w:pPr>
            <w:r w:rsidRPr="00B6212B">
              <w:t>101.9332055822325</w:t>
            </w:r>
            <w:r>
              <w:t>6</w:t>
            </w:r>
          </w:p>
        </w:tc>
        <w:tc>
          <w:tcPr>
            <w:tcW w:w="2389" w:type="dxa"/>
          </w:tcPr>
          <w:p w14:paraId="1E31A889" w14:textId="4626828E" w:rsidR="005366D4" w:rsidRDefault="00B6212B" w:rsidP="00AE27E6">
            <w:pPr>
              <w:jc w:val="center"/>
            </w:pPr>
            <w:r w:rsidRPr="00B6212B">
              <w:t>97.87262077473542</w:t>
            </w:r>
          </w:p>
        </w:tc>
      </w:tr>
      <w:tr w:rsidR="005366D4" w14:paraId="2D77F625" w14:textId="77777777" w:rsidTr="005366D4">
        <w:trPr>
          <w:jc w:val="center"/>
        </w:trPr>
        <w:tc>
          <w:tcPr>
            <w:tcW w:w="2011" w:type="dxa"/>
          </w:tcPr>
          <w:p w14:paraId="0AD93D52" w14:textId="46BDEE31" w:rsidR="005366D4" w:rsidRDefault="005366D4" w:rsidP="00CD3FA0">
            <w:r>
              <w:t>Log Returns</w:t>
            </w:r>
          </w:p>
        </w:tc>
        <w:tc>
          <w:tcPr>
            <w:tcW w:w="2277" w:type="dxa"/>
          </w:tcPr>
          <w:p w14:paraId="4B122A76" w14:textId="5A5DF1C1" w:rsidR="005366D4" w:rsidRDefault="00B6212B" w:rsidP="00AE27E6">
            <w:pPr>
              <w:jc w:val="center"/>
            </w:pPr>
            <w:r w:rsidRPr="00B6212B">
              <w:t>168.23341551794823</w:t>
            </w:r>
          </w:p>
        </w:tc>
        <w:tc>
          <w:tcPr>
            <w:tcW w:w="2389" w:type="dxa"/>
          </w:tcPr>
          <w:p w14:paraId="12F3C923" w14:textId="2216EE36" w:rsidR="005366D4" w:rsidRDefault="00B6212B" w:rsidP="00AE27E6">
            <w:pPr>
              <w:jc w:val="center"/>
            </w:pPr>
            <w:r w:rsidRPr="00B6212B">
              <w:t>244.4927936930635</w:t>
            </w:r>
          </w:p>
        </w:tc>
      </w:tr>
    </w:tbl>
    <w:p w14:paraId="16CB9965" w14:textId="2621AA7F" w:rsidR="00085822" w:rsidRDefault="00B6212B" w:rsidP="00CD3FA0">
      <w:r>
        <w:t xml:space="preserve">Based on the mathematics formular, </w:t>
      </w:r>
      <w:r w:rsidR="00AE27E6">
        <w:t>the</w:t>
      </w:r>
      <w:r>
        <w:t xml:space="preserve"> expected value of means and standard deviation should be</w:t>
      </w:r>
    </w:p>
    <w:tbl>
      <w:tblPr>
        <w:tblStyle w:val="TableGrid"/>
        <w:tblW w:w="0" w:type="auto"/>
        <w:jc w:val="center"/>
        <w:tblLook w:val="04A0" w:firstRow="1" w:lastRow="0" w:firstColumn="1" w:lastColumn="0" w:noHBand="0" w:noVBand="1"/>
      </w:tblPr>
      <w:tblGrid>
        <w:gridCol w:w="2011"/>
        <w:gridCol w:w="2099"/>
        <w:gridCol w:w="2973"/>
      </w:tblGrid>
      <w:tr w:rsidR="00B6212B" w14:paraId="588BB209" w14:textId="77777777" w:rsidTr="002A7C73">
        <w:trPr>
          <w:jc w:val="center"/>
        </w:trPr>
        <w:tc>
          <w:tcPr>
            <w:tcW w:w="2011" w:type="dxa"/>
          </w:tcPr>
          <w:p w14:paraId="7088358D" w14:textId="77777777" w:rsidR="00B6212B" w:rsidRDefault="00B6212B" w:rsidP="00E22B97"/>
        </w:tc>
        <w:tc>
          <w:tcPr>
            <w:tcW w:w="2099" w:type="dxa"/>
          </w:tcPr>
          <w:p w14:paraId="347B517E" w14:textId="5753E29F" w:rsidR="00B6212B" w:rsidRDefault="00B6212B" w:rsidP="00E22B97">
            <m:oMathPara>
              <m:oMath>
                <m:acc>
                  <m:accPr>
                    <m:ctrlPr>
                      <w:rPr>
                        <w:rFonts w:ascii="Cambria Math" w:hAnsi="Cambria Math"/>
                        <w:i/>
                      </w:rPr>
                    </m:ctrlPr>
                  </m:accPr>
                  <m:e>
                    <m:sSub>
                      <m:sSubPr>
                        <m:ctrlPr>
                          <w:rPr>
                            <w:rFonts w:ascii="Cambria Math" w:hAnsi="Cambria Math"/>
                            <w:i/>
                          </w:rPr>
                        </m:ctrlPr>
                      </m:sSubPr>
                      <m:e>
                        <m:r>
                          <w:rPr>
                            <w:rFonts w:ascii="Cambria Math" w:hAnsi="Cambria Math"/>
                          </w:rPr>
                          <m:t>μ(P</m:t>
                        </m:r>
                      </m:e>
                      <m:sub>
                        <m:r>
                          <w:rPr>
                            <w:rFonts w:ascii="Cambria Math" w:hAnsi="Cambria Math"/>
                          </w:rPr>
                          <m:t>t</m:t>
                        </m:r>
                      </m:sub>
                    </m:sSub>
                    <m:r>
                      <w:rPr>
                        <w:rFonts w:ascii="Cambria Math" w:hAnsi="Cambria Math"/>
                      </w:rPr>
                      <m:t>)</m:t>
                    </m:r>
                  </m:e>
                </m:acc>
              </m:oMath>
            </m:oMathPara>
          </w:p>
        </w:tc>
        <w:tc>
          <w:tcPr>
            <w:tcW w:w="2973" w:type="dxa"/>
          </w:tcPr>
          <w:p w14:paraId="79F21E92" w14:textId="6DB1C1CC" w:rsidR="00B6212B" w:rsidRDefault="00B6212B" w:rsidP="00E22B97">
            <m:oMathPara>
              <m:oMath>
                <m:acc>
                  <m:accPr>
                    <m:ctrlPr>
                      <w:rPr>
                        <w:rFonts w:ascii="Cambria Math" w:hAnsi="Cambria Math"/>
                        <w:i/>
                      </w:rPr>
                    </m:ctrlPr>
                  </m:accPr>
                  <m:e>
                    <m:r>
                      <w:rPr>
                        <w:rFonts w:ascii="Cambria Math" w:hAnsi="Cambria Math"/>
                      </w:rPr>
                      <m:t>σ</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e>
                </m:acc>
              </m:oMath>
            </m:oMathPara>
          </w:p>
        </w:tc>
      </w:tr>
      <w:tr w:rsidR="00B6212B" w14:paraId="2A8DEBE4" w14:textId="77777777" w:rsidTr="002A7C73">
        <w:trPr>
          <w:jc w:val="center"/>
        </w:trPr>
        <w:tc>
          <w:tcPr>
            <w:tcW w:w="2011" w:type="dxa"/>
          </w:tcPr>
          <w:p w14:paraId="0239EBCC" w14:textId="77777777" w:rsidR="00B6212B" w:rsidRDefault="00B6212B" w:rsidP="00E22B97">
            <w:r>
              <w:t>Classical Returns</w:t>
            </w:r>
          </w:p>
        </w:tc>
        <w:tc>
          <w:tcPr>
            <w:tcW w:w="2099" w:type="dxa"/>
          </w:tcPr>
          <w:p w14:paraId="0317B380" w14:textId="2FB2AB6C" w:rsidR="00B6212B" w:rsidRDefault="00B6212B" w:rsidP="00E22B97">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=100</m:t>
                </m:r>
              </m:oMath>
            </m:oMathPara>
          </w:p>
        </w:tc>
        <w:tc>
          <w:tcPr>
            <w:tcW w:w="2973" w:type="dxa"/>
          </w:tcPr>
          <w:p w14:paraId="3F4DE66E" w14:textId="5569A471" w:rsidR="00B6212B" w:rsidRDefault="00FA6F0F" w:rsidP="00FA6F0F">
            <w:pPr>
              <w:jc w:val="center"/>
            </w:pPr>
            <m:oMathPara>
              <m:oMath>
                <m:r>
                  <w:rPr>
                    <w:rFonts w:ascii="Cambria Math" w:hAnsi="Cambria Math"/>
                  </w:rPr>
                  <m:t>σ</m:t>
                </m:r>
                <m:r>
                  <w:rPr>
                    <w:rFonts w:ascii="Cambria Math" w:hAnsi="Cambria Math"/>
                  </w:rPr>
                  <m:t>=1</m:t>
                </m:r>
              </m:oMath>
            </m:oMathPara>
          </w:p>
        </w:tc>
      </w:tr>
      <w:tr w:rsidR="00B6212B" w14:paraId="6FC54390" w14:textId="77777777" w:rsidTr="002A7C73">
        <w:trPr>
          <w:jc w:val="center"/>
        </w:trPr>
        <w:tc>
          <w:tcPr>
            <w:tcW w:w="2011" w:type="dxa"/>
          </w:tcPr>
          <w:p w14:paraId="219F452C" w14:textId="77777777" w:rsidR="00B6212B" w:rsidRDefault="00B6212B" w:rsidP="00E22B97">
            <w:r w:rsidRPr="005366D4">
              <w:t>Arithmetic Returns</w:t>
            </w:r>
          </w:p>
        </w:tc>
        <w:tc>
          <w:tcPr>
            <w:tcW w:w="2099" w:type="dxa"/>
          </w:tcPr>
          <w:p w14:paraId="762D7D6D" w14:textId="381E2B74" w:rsidR="00B6212B" w:rsidRDefault="00B6212B" w:rsidP="00E22B97">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=100</m:t>
                </m:r>
              </m:oMath>
            </m:oMathPara>
          </w:p>
        </w:tc>
        <w:tc>
          <w:tcPr>
            <w:tcW w:w="2973" w:type="dxa"/>
          </w:tcPr>
          <w:p w14:paraId="4A31B3A3" w14:textId="05E438BA" w:rsidR="00B6212B" w:rsidRDefault="00FA6F0F" w:rsidP="00E22B97">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r>
                  <w:rPr>
                    <w:rFonts w:ascii="Cambria Math" w:hAnsi="Cambria Math"/>
                  </w:rPr>
                  <m:t>σ</m:t>
                </m:r>
                <m:r>
                  <w:rPr>
                    <w:rFonts w:ascii="Cambria Math" w:hAnsi="Cambria Math"/>
                  </w:rPr>
                  <m:t>=100</m:t>
                </m:r>
              </m:oMath>
            </m:oMathPara>
          </w:p>
        </w:tc>
      </w:tr>
      <w:tr w:rsidR="00B6212B" w14:paraId="182A9633" w14:textId="77777777" w:rsidTr="002A7C73">
        <w:trPr>
          <w:jc w:val="center"/>
        </w:trPr>
        <w:tc>
          <w:tcPr>
            <w:tcW w:w="2011" w:type="dxa"/>
          </w:tcPr>
          <w:p w14:paraId="7DBDD2DC" w14:textId="77777777" w:rsidR="00B6212B" w:rsidRDefault="00B6212B" w:rsidP="00E22B97">
            <w:r>
              <w:t>Log Returns</w:t>
            </w:r>
          </w:p>
        </w:tc>
        <w:tc>
          <w:tcPr>
            <w:tcW w:w="2099" w:type="dxa"/>
          </w:tcPr>
          <w:p w14:paraId="764F4352" w14:textId="501933AD" w:rsidR="00B6212B" w:rsidRDefault="00B6212B" w:rsidP="00E22B97">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=164.87</m:t>
                </m:r>
              </m:oMath>
            </m:oMathPara>
          </w:p>
        </w:tc>
        <w:tc>
          <w:tcPr>
            <w:tcW w:w="2973" w:type="dxa"/>
          </w:tcPr>
          <w:p w14:paraId="59D6954D" w14:textId="4B32A468" w:rsidR="00B6212B" w:rsidRDefault="00FA6F0F" w:rsidP="00E22B97">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rad>
                  <m:radPr>
                    <m:degHide m:val="1"/>
                    <m:ctrlPr>
                      <w:rPr>
                        <w:rFonts w:ascii="Cambria Math" w:hAnsi="Cambria Math"/>
                        <w:i/>
                      </w:rPr>
                    </m:ctrlPr>
                  </m:radPr>
                  <m:deg/>
                  <m:e>
                    <m:r>
                      <w:rPr>
                        <w:rFonts w:ascii="Cambria Math" w:hAnsi="Cambria Math"/>
                      </w:rPr>
                      <m:t>e</m:t>
                    </m:r>
                    <m:d>
                      <m:dPr>
                        <m:ctrlPr>
                          <w:rPr>
                            <w:rFonts w:ascii="Cambria Math" w:hAnsi="Cambria Math"/>
                            <w:i/>
                          </w:rPr>
                        </m:ctrlPr>
                      </m:dPr>
                      <m:e>
                        <m:r>
                          <w:rPr>
                            <w:rFonts w:ascii="Cambria Math" w:hAnsi="Cambria Math"/>
                          </w:rPr>
                          <m:t>e-1</m:t>
                        </m:r>
                      </m:e>
                    </m:d>
                  </m:e>
                </m:rad>
                <m:r>
                  <w:rPr>
                    <w:rFonts w:ascii="Cambria Math" w:hAnsi="Cambria Math"/>
                  </w:rPr>
                  <m:t>=216.12</m:t>
                </m:r>
              </m:oMath>
            </m:oMathPara>
          </w:p>
        </w:tc>
      </w:tr>
    </w:tbl>
    <w:p w14:paraId="257BA8E2" w14:textId="27A55301" w:rsidR="00BD7D75" w:rsidRDefault="002A7C73" w:rsidP="003D0903">
      <w:r>
        <w:t>We can observe that the calculated results are not too much different with the expected value.</w:t>
      </w:r>
    </w:p>
    <w:p w14:paraId="76DA7EF8" w14:textId="77777777" w:rsidR="002A7C73" w:rsidRDefault="002A7C73" w:rsidP="003D0903"/>
    <w:p w14:paraId="4C95A6B5" w14:textId="4A0E929F" w:rsidR="008453DD" w:rsidRDefault="003D0903" w:rsidP="002A7C73">
      <w:pPr>
        <w:pStyle w:val="Heading1"/>
      </w:pPr>
      <w:r>
        <w:t>Problem 2</w:t>
      </w:r>
    </w:p>
    <w:p w14:paraId="3D626C00" w14:textId="428B49F7" w:rsidR="002A7C73" w:rsidRDefault="002A7C73" w:rsidP="002A7C73">
      <w:r>
        <w:t>The arithmetic returns of real prices data are calculated based on the formula above, and the VaRs are simulated through the following ways with the assumption of confidence level is 95%.</w:t>
      </w:r>
    </w:p>
    <w:p w14:paraId="304C976B" w14:textId="1F6F1FEF" w:rsidR="002A7C73" w:rsidRPr="002A7C73" w:rsidRDefault="002A7C73" w:rsidP="002A7C73">
      <w:pPr>
        <w:pStyle w:val="Heading2"/>
      </w:pPr>
      <w:r>
        <w:t>2.1</w:t>
      </w:r>
    </w:p>
    <w:p w14:paraId="2C929727" w14:textId="64149D18" w:rsidR="002A7C73" w:rsidRDefault="002A7C73" w:rsidP="008453DD">
      <w:r>
        <w:t>When u</w:t>
      </w:r>
      <w:r w:rsidRPr="002A7C73">
        <w:t>sing a normal distribution</w:t>
      </w:r>
      <w:r>
        <w:t>, the VaR is directly calculated by</w:t>
      </w:r>
    </w:p>
    <w:p w14:paraId="63F05736" w14:textId="38C876E8" w:rsidR="002A7C73" w:rsidRPr="00306EF7" w:rsidRDefault="002A7C73" w:rsidP="002A7C73">
      <m:oMathPara>
        <m:oMath>
          <m:r>
            <w:rPr>
              <w:rFonts w:ascii="Cambria Math" w:hAnsi="Cambria Math"/>
            </w:rPr>
            <m:t>VaR</m:t>
          </m:r>
          <m:r>
            <w:rPr>
              <w:rFonts w:ascii="Cambria Math" w:hAnsi="Cambria Math"/>
            </w:rPr>
            <m:t xml:space="preserve">= </m:t>
          </m:r>
          <m:r>
            <w:rPr>
              <w:rFonts w:ascii="Cambria Math" w:hAnsi="Cambria Math"/>
            </w:rPr>
            <m:t xml:space="preserve">1.65* </m:t>
          </m:r>
          <m:sSub>
            <m:sSubPr>
              <m:ctrlPr>
                <w:rPr>
                  <w:rFonts w:ascii="Cambria Math" w:hAnsi="Cambria Math"/>
                  <w:i/>
                </w:rPr>
              </m:ctrlPr>
            </m:sSubPr>
            <m:e>
              <m:r>
                <w:rPr>
                  <w:rFonts w:ascii="Cambria Math" w:hAnsi="Cambria Math"/>
                </w:rPr>
                <m:t>σ</m:t>
              </m:r>
            </m:e>
            <m:sub>
              <m:r>
                <w:rPr>
                  <w:rFonts w:ascii="Cambria Math" w:hAnsi="Cambria Math"/>
                </w:rPr>
                <m:t>r</m:t>
              </m:r>
            </m:sub>
          </m:sSub>
        </m:oMath>
      </m:oMathPara>
    </w:p>
    <w:p w14:paraId="30FB7FA2" w14:textId="78959E24" w:rsidR="00C87FE7" w:rsidRDefault="002A7C73" w:rsidP="00C87FE7">
      <w:r>
        <w:t xml:space="preserve">The </w:t>
      </w:r>
      <w:r w:rsidR="00C87FE7">
        <w:t xml:space="preserve">result is </w:t>
      </w:r>
      <w:r w:rsidR="00C87FE7" w:rsidRPr="00C87FE7">
        <w:t>0.05455326925723376</w:t>
      </w:r>
      <w:r w:rsidR="00C87FE7">
        <w:t>.</w:t>
      </w:r>
    </w:p>
    <w:p w14:paraId="2DB8BF60" w14:textId="601D9BFC" w:rsidR="00C87FE7" w:rsidRDefault="00C87FE7" w:rsidP="00C87FE7">
      <w:pPr>
        <w:pStyle w:val="Heading2"/>
      </w:pPr>
      <w:r>
        <w:t>2.2</w:t>
      </w:r>
    </w:p>
    <w:p w14:paraId="7B573725" w14:textId="25F48809" w:rsidR="00C87FE7" w:rsidRDefault="00C87FE7" w:rsidP="00C87FE7">
      <w:r>
        <w:t>When u</w:t>
      </w:r>
      <w:r w:rsidRPr="002A7C73">
        <w:t>sing a</w:t>
      </w:r>
      <w:r w:rsidRPr="00C87FE7">
        <w:t xml:space="preserve"> normal distribution with an Exponentially Weighted variance</w:t>
      </w:r>
      <w:r>
        <w:t xml:space="preserve">, </w:t>
      </w:r>
      <w:r>
        <w:t>variance matrix is updated first:</w:t>
      </w:r>
    </w:p>
    <w:p w14:paraId="54A5FBB6" w14:textId="372E753E" w:rsidR="00C87FE7" w:rsidRDefault="00C87FE7" w:rsidP="00C87FE7">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2</m:t>
              </m:r>
            </m:sup>
          </m:sSup>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r>
                    <w:rPr>
                      <w:rFonts w:ascii="Cambria Math" w:hAnsi="Cambria Math"/>
                    </w:rPr>
                    <m:t>-1</m:t>
                  </m:r>
                </m:sub>
              </m:sSub>
            </m:e>
            <m:sup>
              <m:r>
                <w:rPr>
                  <w:rFonts w:ascii="Cambria Math" w:hAnsi="Cambria Math"/>
                </w:rPr>
                <m:t>2</m:t>
              </m:r>
            </m:sup>
          </m:sSup>
          <m:r>
            <w:rPr>
              <w:rFonts w:ascii="Cambria Math" w:hAnsi="Cambria Math"/>
            </w:rPr>
            <m:t>+(1-λ)</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oMath>
      </m:oMathPara>
    </w:p>
    <w:p w14:paraId="58361567" w14:textId="66F4295C" w:rsidR="00A22251" w:rsidRDefault="00C87FE7" w:rsidP="008453DD">
      <w:r>
        <w:lastRenderedPageBreak/>
        <w:t xml:space="preserve">Then, similarly, directly calculated the VaR by assuming the normal distribution, and the result is </w:t>
      </w:r>
      <w:r w:rsidRPr="00C87FE7">
        <w:t>0.03106754744474217</w:t>
      </w:r>
      <w:r>
        <w:t>.</w:t>
      </w:r>
    </w:p>
    <w:p w14:paraId="05BCCE87" w14:textId="10EF873A" w:rsidR="00A22251" w:rsidRDefault="00C87FE7" w:rsidP="00C87FE7">
      <w:pPr>
        <w:pStyle w:val="Heading2"/>
      </w:pPr>
      <w:r>
        <w:t>2.3</w:t>
      </w:r>
    </w:p>
    <w:p w14:paraId="0EDDA46C" w14:textId="2A49FC73" w:rsidR="00354054" w:rsidRDefault="00C87FE7" w:rsidP="00C87FE7">
      <w:r>
        <w:rPr>
          <w:noProof/>
        </w:rPr>
        <w:t xml:space="preserve">If we use </w:t>
      </w:r>
      <w:r w:rsidRPr="00C87FE7">
        <w:rPr>
          <w:noProof/>
        </w:rPr>
        <w:t>a MLE fitted T distribution</w:t>
      </w:r>
      <w:r>
        <w:rPr>
          <w:noProof/>
        </w:rPr>
        <w:t xml:space="preserve">, we simply fit the model and use PDF function with fitted parameters to calculate the result in confidence level, the result is </w:t>
      </w:r>
      <w:r w:rsidRPr="00C87FE7">
        <w:rPr>
          <w:noProof/>
        </w:rPr>
        <w:t>0.04112246904952898</w:t>
      </w:r>
      <w:r>
        <w:rPr>
          <w:noProof/>
        </w:rPr>
        <w:t>.</w:t>
      </w:r>
    </w:p>
    <w:p w14:paraId="47C6686F" w14:textId="1274EA37" w:rsidR="00AD0BAC" w:rsidRDefault="00C87FE7" w:rsidP="00EF6A49">
      <w:pPr>
        <w:pStyle w:val="Heading2"/>
      </w:pPr>
      <w:r>
        <w:t>2.4</w:t>
      </w:r>
    </w:p>
    <w:p w14:paraId="57BAAEBE" w14:textId="73EF0F55" w:rsidR="00BD7D75" w:rsidRDefault="00EF6A49" w:rsidP="004347C8">
      <w:r>
        <w:t xml:space="preserve">When </w:t>
      </w:r>
      <w:r w:rsidR="00C87FE7">
        <w:t xml:space="preserve">using </w:t>
      </w:r>
      <w:r w:rsidR="00C87FE7" w:rsidRPr="00C87FE7">
        <w:t>a fitted AR(1) model</w:t>
      </w:r>
      <w:r w:rsidR="00C87FE7">
        <w:t>, without the assumption of normal distribution, we use Monte Carlo method and simulate 1000 points to get the VaR.</w:t>
      </w:r>
      <w:r w:rsidR="004347C8">
        <w:t xml:space="preserve"> The result is </w:t>
      </w:r>
      <w:r w:rsidR="004347C8" w:rsidRPr="004347C8">
        <w:t>0.0520304404475868</w:t>
      </w:r>
      <w:r w:rsidR="004347C8">
        <w:t>.</w:t>
      </w:r>
    </w:p>
    <w:p w14:paraId="7C799925" w14:textId="3248DDA3" w:rsidR="004347C8" w:rsidRDefault="004347C8" w:rsidP="004347C8">
      <w:pPr>
        <w:pStyle w:val="Heading2"/>
      </w:pPr>
      <w:r>
        <w:t>2.5</w:t>
      </w:r>
    </w:p>
    <w:p w14:paraId="266E9E32" w14:textId="48F3FB68" w:rsidR="004347C8" w:rsidRDefault="004347C8" w:rsidP="004347C8">
      <w:r>
        <w:t xml:space="preserve">If we choose to use </w:t>
      </w:r>
      <w:r>
        <w:t>a Historic Simulation</w:t>
      </w:r>
      <w:r>
        <w:t xml:space="preserve">, firstly we need to sort our returns and select a percentage of our data. With this selection, the VaR is </w:t>
      </w:r>
      <w:r w:rsidRPr="004347C8">
        <w:t>0.04121586193570658</w:t>
      </w:r>
      <w:r>
        <w:t>.</w:t>
      </w:r>
    </w:p>
    <w:p w14:paraId="5AA9A1BC" w14:textId="77777777" w:rsidR="004347C8" w:rsidRPr="004347C8" w:rsidRDefault="004347C8" w:rsidP="004347C8"/>
    <w:p w14:paraId="5B3FD5D1" w14:textId="6795AEAA" w:rsidR="009A5F16" w:rsidRDefault="009A5F16" w:rsidP="009A5F16">
      <w:pPr>
        <w:pStyle w:val="Heading1"/>
      </w:pPr>
      <w:r>
        <w:t>Problem 3</w:t>
      </w:r>
    </w:p>
    <w:p w14:paraId="19850BEA" w14:textId="7373015B" w:rsidR="004347C8" w:rsidRDefault="004347C8" w:rsidP="004347C8">
      <w:pPr>
        <w:pStyle w:val="Heading2"/>
      </w:pPr>
      <w:r>
        <w:t>3.1</w:t>
      </w:r>
    </w:p>
    <w:p w14:paraId="30C30155" w14:textId="4B01B3EF" w:rsidR="004347C8" w:rsidRDefault="004347C8" w:rsidP="004347C8">
      <w:r>
        <w:t xml:space="preserve">For the first method to calculate the returns, I use </w:t>
      </w:r>
      <w:r w:rsidRPr="005366D4">
        <w:t>Arithmetic</w:t>
      </w:r>
      <w:r>
        <w:t xml:space="preserve"> method. Then, based on the exponentially weighted </w:t>
      </w:r>
      <w:r w:rsidR="000E03B9">
        <w:t>covariance</w:t>
      </w:r>
      <w:r>
        <w:t xml:space="preserve">, the updated covariance matrix is calculated. </w:t>
      </w:r>
      <w:r w:rsidR="000E03B9">
        <w:t>Then, we assume that the current rate of return meets the normal distribution. The VaR of each portfolio and the total VaR can be calculated.</w:t>
      </w:r>
    </w:p>
    <w:tbl>
      <w:tblPr>
        <w:tblStyle w:val="TableGrid"/>
        <w:tblW w:w="0" w:type="auto"/>
        <w:jc w:val="center"/>
        <w:tblLook w:val="04A0" w:firstRow="1" w:lastRow="0" w:firstColumn="1" w:lastColumn="0" w:noHBand="0" w:noVBand="1"/>
      </w:tblPr>
      <w:tblGrid>
        <w:gridCol w:w="1655"/>
        <w:gridCol w:w="1274"/>
      </w:tblGrid>
      <w:tr w:rsidR="000E03B9" w14:paraId="74BACC24" w14:textId="77777777" w:rsidTr="000E03B9">
        <w:trPr>
          <w:jc w:val="center"/>
        </w:trPr>
        <w:tc>
          <w:tcPr>
            <w:tcW w:w="1655" w:type="dxa"/>
          </w:tcPr>
          <w:p w14:paraId="00348DF2" w14:textId="1C99F2B4" w:rsidR="000E03B9" w:rsidRDefault="000E03B9" w:rsidP="004347C8">
            <w:r>
              <w:t>Portfolio A VaR</w:t>
            </w:r>
          </w:p>
        </w:tc>
        <w:tc>
          <w:tcPr>
            <w:tcW w:w="1274" w:type="dxa"/>
          </w:tcPr>
          <w:p w14:paraId="7B362539" w14:textId="42E74BC2" w:rsidR="000E03B9" w:rsidRDefault="000E03B9" w:rsidP="004347C8">
            <w:r w:rsidRPr="000E03B9">
              <w:t>$15253.97</w:t>
            </w:r>
          </w:p>
        </w:tc>
      </w:tr>
      <w:tr w:rsidR="000E03B9" w14:paraId="6B91895C" w14:textId="77777777" w:rsidTr="000E03B9">
        <w:trPr>
          <w:jc w:val="center"/>
        </w:trPr>
        <w:tc>
          <w:tcPr>
            <w:tcW w:w="1655" w:type="dxa"/>
          </w:tcPr>
          <w:p w14:paraId="3D366662" w14:textId="56C41313" w:rsidR="000E03B9" w:rsidRDefault="000E03B9" w:rsidP="004347C8">
            <w:r>
              <w:t xml:space="preserve">Portfolio </w:t>
            </w:r>
            <w:r>
              <w:t>B</w:t>
            </w:r>
            <w:r>
              <w:t xml:space="preserve"> VaR</w:t>
            </w:r>
          </w:p>
        </w:tc>
        <w:tc>
          <w:tcPr>
            <w:tcW w:w="1274" w:type="dxa"/>
          </w:tcPr>
          <w:p w14:paraId="6B028741" w14:textId="44FB0FB8" w:rsidR="000E03B9" w:rsidRDefault="000E03B9" w:rsidP="004347C8">
            <w:r w:rsidRPr="000E03B9">
              <w:t>$7765.47</w:t>
            </w:r>
          </w:p>
        </w:tc>
      </w:tr>
      <w:tr w:rsidR="000E03B9" w14:paraId="04210371" w14:textId="77777777" w:rsidTr="000E03B9">
        <w:trPr>
          <w:jc w:val="center"/>
        </w:trPr>
        <w:tc>
          <w:tcPr>
            <w:tcW w:w="1655" w:type="dxa"/>
          </w:tcPr>
          <w:p w14:paraId="494F8CC0" w14:textId="54B5AF03" w:rsidR="000E03B9" w:rsidRDefault="000E03B9" w:rsidP="004347C8">
            <w:r>
              <w:t xml:space="preserve">Portfolio </w:t>
            </w:r>
            <w:r>
              <w:t>C</w:t>
            </w:r>
            <w:r>
              <w:t xml:space="preserve"> VaR</w:t>
            </w:r>
          </w:p>
        </w:tc>
        <w:tc>
          <w:tcPr>
            <w:tcW w:w="1274" w:type="dxa"/>
          </w:tcPr>
          <w:p w14:paraId="0BD7852F" w14:textId="4AEB026F" w:rsidR="000E03B9" w:rsidRDefault="000E03B9" w:rsidP="004347C8">
            <w:r w:rsidRPr="000E03B9">
              <w:t>$17933.67</w:t>
            </w:r>
          </w:p>
        </w:tc>
      </w:tr>
      <w:tr w:rsidR="000E03B9" w14:paraId="7C1BE943" w14:textId="77777777" w:rsidTr="000E03B9">
        <w:trPr>
          <w:jc w:val="center"/>
        </w:trPr>
        <w:tc>
          <w:tcPr>
            <w:tcW w:w="1655" w:type="dxa"/>
          </w:tcPr>
          <w:p w14:paraId="018DB782" w14:textId="787B0648" w:rsidR="000E03B9" w:rsidRDefault="000E03B9" w:rsidP="004347C8">
            <w:r>
              <w:t>Total</w:t>
            </w:r>
            <w:r>
              <w:t xml:space="preserve"> VaR</w:t>
            </w:r>
          </w:p>
        </w:tc>
        <w:tc>
          <w:tcPr>
            <w:tcW w:w="1274" w:type="dxa"/>
          </w:tcPr>
          <w:p w14:paraId="34C5A535" w14:textId="30971C09" w:rsidR="000E03B9" w:rsidRDefault="000E03B9" w:rsidP="004347C8">
            <w:r w:rsidRPr="000E03B9">
              <w:t>$38091.10</w:t>
            </w:r>
          </w:p>
        </w:tc>
      </w:tr>
    </w:tbl>
    <w:p w14:paraId="6AABB47A" w14:textId="1BA90BCF" w:rsidR="000E03B9" w:rsidRDefault="000E03B9" w:rsidP="000E03B9">
      <w:pPr>
        <w:pStyle w:val="Heading2"/>
      </w:pPr>
      <w:r>
        <w:t>3.2</w:t>
      </w:r>
    </w:p>
    <w:p w14:paraId="352ACBBD" w14:textId="26A17F58" w:rsidR="000E03B9" w:rsidRDefault="000E03B9" w:rsidP="000E03B9">
      <w:r>
        <w:t>Then, the returns are calculated with log method, and the result changes to</w:t>
      </w:r>
    </w:p>
    <w:tbl>
      <w:tblPr>
        <w:tblStyle w:val="TableGrid"/>
        <w:tblW w:w="0" w:type="auto"/>
        <w:jc w:val="center"/>
        <w:tblLook w:val="04A0" w:firstRow="1" w:lastRow="0" w:firstColumn="1" w:lastColumn="0" w:noHBand="0" w:noVBand="1"/>
      </w:tblPr>
      <w:tblGrid>
        <w:gridCol w:w="1655"/>
        <w:gridCol w:w="1274"/>
      </w:tblGrid>
      <w:tr w:rsidR="000E03B9" w14:paraId="5CACA376" w14:textId="77777777" w:rsidTr="00E22B97">
        <w:trPr>
          <w:jc w:val="center"/>
        </w:trPr>
        <w:tc>
          <w:tcPr>
            <w:tcW w:w="1655" w:type="dxa"/>
          </w:tcPr>
          <w:p w14:paraId="105A627F" w14:textId="77777777" w:rsidR="000E03B9" w:rsidRDefault="000E03B9" w:rsidP="00E22B97">
            <w:r>
              <w:t>Portfolio A VaR</w:t>
            </w:r>
          </w:p>
        </w:tc>
        <w:tc>
          <w:tcPr>
            <w:tcW w:w="1274" w:type="dxa"/>
          </w:tcPr>
          <w:p w14:paraId="7681627F" w14:textId="3C3FA24F" w:rsidR="000E03B9" w:rsidRDefault="000E03B9" w:rsidP="00E22B97">
            <w:r w:rsidRPr="000E03B9">
              <w:t>$15289.78</w:t>
            </w:r>
          </w:p>
        </w:tc>
      </w:tr>
      <w:tr w:rsidR="000E03B9" w14:paraId="741AE61F" w14:textId="77777777" w:rsidTr="00E22B97">
        <w:trPr>
          <w:jc w:val="center"/>
        </w:trPr>
        <w:tc>
          <w:tcPr>
            <w:tcW w:w="1655" w:type="dxa"/>
          </w:tcPr>
          <w:p w14:paraId="6607D37C" w14:textId="77777777" w:rsidR="000E03B9" w:rsidRDefault="000E03B9" w:rsidP="00E22B97">
            <w:r>
              <w:t>Portfolio B VaR</w:t>
            </w:r>
          </w:p>
        </w:tc>
        <w:tc>
          <w:tcPr>
            <w:tcW w:w="1274" w:type="dxa"/>
          </w:tcPr>
          <w:p w14:paraId="55493248" w14:textId="155DFA4B" w:rsidR="000E03B9" w:rsidRDefault="000E03B9" w:rsidP="00E22B97">
            <w:r w:rsidRPr="000E03B9">
              <w:t>$7799.41</w:t>
            </w:r>
          </w:p>
        </w:tc>
      </w:tr>
      <w:tr w:rsidR="000E03B9" w14:paraId="6ECC5ADE" w14:textId="77777777" w:rsidTr="00E22B97">
        <w:trPr>
          <w:jc w:val="center"/>
        </w:trPr>
        <w:tc>
          <w:tcPr>
            <w:tcW w:w="1655" w:type="dxa"/>
          </w:tcPr>
          <w:p w14:paraId="46FB17AA" w14:textId="77777777" w:rsidR="000E03B9" w:rsidRDefault="000E03B9" w:rsidP="00E22B97">
            <w:r>
              <w:t>Portfolio C VaR</w:t>
            </w:r>
          </w:p>
        </w:tc>
        <w:tc>
          <w:tcPr>
            <w:tcW w:w="1274" w:type="dxa"/>
          </w:tcPr>
          <w:p w14:paraId="29C7BDE2" w14:textId="1EC8503A" w:rsidR="000E03B9" w:rsidRDefault="000E03B9" w:rsidP="00E22B97">
            <w:r w:rsidRPr="000E03B9">
              <w:t>$17891.81</w:t>
            </w:r>
          </w:p>
        </w:tc>
      </w:tr>
      <w:tr w:rsidR="000E03B9" w14:paraId="5367E7C1" w14:textId="77777777" w:rsidTr="00E22B97">
        <w:trPr>
          <w:jc w:val="center"/>
        </w:trPr>
        <w:tc>
          <w:tcPr>
            <w:tcW w:w="1655" w:type="dxa"/>
          </w:tcPr>
          <w:p w14:paraId="30C6F9B3" w14:textId="77777777" w:rsidR="000E03B9" w:rsidRDefault="000E03B9" w:rsidP="00E22B97">
            <w:r>
              <w:t>Total VaR</w:t>
            </w:r>
          </w:p>
        </w:tc>
        <w:tc>
          <w:tcPr>
            <w:tcW w:w="1274" w:type="dxa"/>
          </w:tcPr>
          <w:p w14:paraId="5C661607" w14:textId="3ED00D70" w:rsidR="000E03B9" w:rsidRDefault="000E03B9" w:rsidP="00E22B97">
            <w:r w:rsidRPr="000E03B9">
              <w:t>$38158.29</w:t>
            </w:r>
          </w:p>
        </w:tc>
      </w:tr>
    </w:tbl>
    <w:p w14:paraId="1F7A3A7A" w14:textId="47DDE609" w:rsidR="000E03B9" w:rsidRPr="000E03B9" w:rsidRDefault="000E03B9" w:rsidP="000E03B9">
      <w:r>
        <w:t xml:space="preserve">For long-term data, using </w:t>
      </w:r>
      <w:r w:rsidR="00406A6E">
        <w:t>the log</w:t>
      </w:r>
      <w:r>
        <w:t xml:space="preserve"> method to calculate</w:t>
      </w:r>
      <w:r w:rsidR="00406A6E">
        <w:t xml:space="preserve"> returns is more suitable. The first reason is stabilizing the data. In addition, the log method can transform the data to normal distribution, which is good for our simulation. The accumulation of data can be easily conducted though this method. Overall, using the log method to calculate the returns has better performance.</w:t>
      </w:r>
    </w:p>
    <w:sectPr w:rsidR="000E03B9" w:rsidRPr="000E0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81"/>
    <w:rsid w:val="00020BE5"/>
    <w:rsid w:val="00085822"/>
    <w:rsid w:val="000E03B9"/>
    <w:rsid w:val="002A7C73"/>
    <w:rsid w:val="00306EF7"/>
    <w:rsid w:val="00354054"/>
    <w:rsid w:val="003A10DC"/>
    <w:rsid w:val="003D0903"/>
    <w:rsid w:val="00406A6E"/>
    <w:rsid w:val="004347C8"/>
    <w:rsid w:val="004E3303"/>
    <w:rsid w:val="004E4481"/>
    <w:rsid w:val="004E7EE1"/>
    <w:rsid w:val="005366D4"/>
    <w:rsid w:val="0055147F"/>
    <w:rsid w:val="00587081"/>
    <w:rsid w:val="008453DD"/>
    <w:rsid w:val="008D3FF7"/>
    <w:rsid w:val="00972CAB"/>
    <w:rsid w:val="009A5F16"/>
    <w:rsid w:val="00A22251"/>
    <w:rsid w:val="00A777BA"/>
    <w:rsid w:val="00AD0BAC"/>
    <w:rsid w:val="00AE27E6"/>
    <w:rsid w:val="00B6212B"/>
    <w:rsid w:val="00B655D3"/>
    <w:rsid w:val="00BD7D75"/>
    <w:rsid w:val="00C50F38"/>
    <w:rsid w:val="00C87FE7"/>
    <w:rsid w:val="00CC23F9"/>
    <w:rsid w:val="00CD3FA0"/>
    <w:rsid w:val="00D769DA"/>
    <w:rsid w:val="00E379B2"/>
    <w:rsid w:val="00EF056A"/>
    <w:rsid w:val="00EF6A49"/>
    <w:rsid w:val="00F01CFF"/>
    <w:rsid w:val="00FA6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17B2"/>
  <w15:chartTrackingRefBased/>
  <w15:docId w15:val="{69B2584C-1A50-44EC-ACE1-4B4F1E8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3F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C23F9"/>
    <w:rPr>
      <w:color w:val="666666"/>
    </w:rPr>
  </w:style>
  <w:style w:type="table" w:styleId="TableGrid">
    <w:name w:val="Table Grid"/>
    <w:basedOn w:val="TableNormal"/>
    <w:uiPriority w:val="39"/>
    <w:rsid w:val="003D0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3202">
      <w:bodyDiv w:val="1"/>
      <w:marLeft w:val="0"/>
      <w:marRight w:val="0"/>
      <w:marTop w:val="0"/>
      <w:marBottom w:val="0"/>
      <w:divBdr>
        <w:top w:val="none" w:sz="0" w:space="0" w:color="auto"/>
        <w:left w:val="none" w:sz="0" w:space="0" w:color="auto"/>
        <w:bottom w:val="none" w:sz="0" w:space="0" w:color="auto"/>
        <w:right w:val="none" w:sz="0" w:space="0" w:color="auto"/>
      </w:divBdr>
    </w:div>
    <w:div w:id="812333374">
      <w:bodyDiv w:val="1"/>
      <w:marLeft w:val="0"/>
      <w:marRight w:val="0"/>
      <w:marTop w:val="0"/>
      <w:marBottom w:val="0"/>
      <w:divBdr>
        <w:top w:val="none" w:sz="0" w:space="0" w:color="auto"/>
        <w:left w:val="none" w:sz="0" w:space="0" w:color="auto"/>
        <w:bottom w:val="none" w:sz="0" w:space="0" w:color="auto"/>
        <w:right w:val="none" w:sz="0" w:space="0" w:color="auto"/>
      </w:divBdr>
    </w:div>
    <w:div w:id="1240795937">
      <w:bodyDiv w:val="1"/>
      <w:marLeft w:val="0"/>
      <w:marRight w:val="0"/>
      <w:marTop w:val="0"/>
      <w:marBottom w:val="0"/>
      <w:divBdr>
        <w:top w:val="none" w:sz="0" w:space="0" w:color="auto"/>
        <w:left w:val="none" w:sz="0" w:space="0" w:color="auto"/>
        <w:bottom w:val="none" w:sz="0" w:space="0" w:color="auto"/>
        <w:right w:val="none" w:sz="0" w:space="0" w:color="auto"/>
      </w:divBdr>
    </w:div>
    <w:div w:id="1733582999">
      <w:bodyDiv w:val="1"/>
      <w:marLeft w:val="0"/>
      <w:marRight w:val="0"/>
      <w:marTop w:val="0"/>
      <w:marBottom w:val="0"/>
      <w:divBdr>
        <w:top w:val="none" w:sz="0" w:space="0" w:color="auto"/>
        <w:left w:val="none" w:sz="0" w:space="0" w:color="auto"/>
        <w:bottom w:val="none" w:sz="0" w:space="0" w:color="auto"/>
        <w:right w:val="none" w:sz="0" w:space="0" w:color="auto"/>
      </w:divBdr>
    </w:div>
    <w:div w:id="1786654178">
      <w:bodyDiv w:val="1"/>
      <w:marLeft w:val="0"/>
      <w:marRight w:val="0"/>
      <w:marTop w:val="0"/>
      <w:marBottom w:val="0"/>
      <w:divBdr>
        <w:top w:val="none" w:sz="0" w:space="0" w:color="auto"/>
        <w:left w:val="none" w:sz="0" w:space="0" w:color="auto"/>
        <w:bottom w:val="none" w:sz="0" w:space="0" w:color="auto"/>
        <w:right w:val="none" w:sz="0" w:space="0" w:color="auto"/>
      </w:divBdr>
    </w:div>
    <w:div w:id="1818060770">
      <w:bodyDiv w:val="1"/>
      <w:marLeft w:val="0"/>
      <w:marRight w:val="0"/>
      <w:marTop w:val="0"/>
      <w:marBottom w:val="0"/>
      <w:divBdr>
        <w:top w:val="none" w:sz="0" w:space="0" w:color="auto"/>
        <w:left w:val="none" w:sz="0" w:space="0" w:color="auto"/>
        <w:bottom w:val="none" w:sz="0" w:space="0" w:color="auto"/>
        <w:right w:val="none" w:sz="0" w:space="0" w:color="auto"/>
      </w:divBdr>
    </w:div>
    <w:div w:id="205449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Hongzheng Cui</dc:creator>
  <cp:keywords/>
  <dc:description/>
  <cp:lastModifiedBy>Hongzheng Cui</cp:lastModifiedBy>
  <cp:revision>7</cp:revision>
  <cp:lastPrinted>2024-02-24T00:21:00Z</cp:lastPrinted>
  <dcterms:created xsi:type="dcterms:W3CDTF">2024-01-25T17:53:00Z</dcterms:created>
  <dcterms:modified xsi:type="dcterms:W3CDTF">2024-02-24T00:21:00Z</dcterms:modified>
</cp:coreProperties>
</file>