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 Thiết kế Measure Metric và KPI</w:t>
      </w:r>
    </w:p>
    <w:p>
      <w:pPr>
        <w:jc w:val="left"/>
      </w:pPr>
      <w:r>
        <w:rPr>
          <w:b/>
          <w:color w:val="26364D"/>
          <w:sz w:val="22"/>
        </w:rPr>
        <w:t>Problem Statement 5 | Dự báo xu hướng doanh thu trong các tháng tiếp theo</w:t>
      </w:r>
    </w:p>
    <w:p>
      <w:r>
        <w:t>Mục tiêu của phần này là xác định dữ liệu cần dùng để tổng hợp doanh thu lịch sử theo tháng, đánh giá dự báo 3–6 tháng tiếp theo và theo dõi kết quả bằng KPI. Dữ liệu trong project cho thấy FACT_SALES_RETURN là bảng giao dịch chính, còn DIM_DATE cung cấp chiều thời gian.</w:t>
      </w:r>
    </w:p>
    <w:p>
      <w:pPr>
        <w:pStyle w:val="Heading1"/>
      </w:pPr>
      <w:r>
        <w:t>1. Bảng dữ liệu và cột tham gia</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088"/>
            <w:shd w:fill="173E91"/>
            <w:vAlign w:val="center"/>
          </w:tcPr>
          <w:p>
            <w:pPr>
              <w:spacing w:after="20"/>
            </w:pPr>
            <w:r/>
            <w:r>
              <w:rPr>
                <w:rFonts w:ascii="Arial" w:hAnsi="Arial" w:eastAsia="Arial"/>
                <w:b/>
                <w:color w:val="FFFFFF"/>
                <w:sz w:val="16"/>
              </w:rPr>
              <w:t>Bảng</w:t>
            </w:r>
          </w:p>
        </w:tc>
        <w:tc>
          <w:tcPr>
            <w:tcW w:type="dxa" w:w="3024"/>
            <w:shd w:fill="173E91"/>
            <w:vAlign w:val="center"/>
          </w:tcPr>
          <w:p>
            <w:pPr>
              <w:spacing w:after="20"/>
            </w:pPr>
            <w:r/>
            <w:r>
              <w:rPr>
                <w:rFonts w:ascii="Arial" w:hAnsi="Arial" w:eastAsia="Arial"/>
                <w:b/>
                <w:color w:val="FFFFFF"/>
                <w:sz w:val="16"/>
              </w:rPr>
              <w:t>Vai trò</w:t>
            </w:r>
          </w:p>
        </w:tc>
        <w:tc>
          <w:tcPr>
            <w:tcW w:type="dxa" w:w="4536"/>
            <w:shd w:fill="173E91"/>
            <w:vAlign w:val="center"/>
          </w:tcPr>
          <w:p>
            <w:pPr>
              <w:spacing w:after="20"/>
            </w:pPr>
            <w:r/>
            <w:r>
              <w:rPr>
                <w:rFonts w:ascii="Arial" w:hAnsi="Arial" w:eastAsia="Arial"/>
                <w:b/>
                <w:color w:val="FFFFFF"/>
                <w:sz w:val="16"/>
              </w:rPr>
              <w:t>Cột sử dụng</w:t>
            </w:r>
          </w:p>
        </w:tc>
      </w:tr>
      <w:tr>
        <w:tc>
          <w:tcPr>
            <w:tcW w:type="dxa" w:w="2088"/>
            <w:vAlign w:val="center"/>
          </w:tcPr>
          <w:p>
            <w:pPr>
              <w:spacing w:after="20"/>
            </w:pPr>
            <w:r/>
            <w:r>
              <w:rPr>
                <w:rFonts w:ascii="Arial" w:hAnsi="Arial" w:eastAsia="Arial"/>
                <w:color w:val="26364D"/>
                <w:sz w:val="16"/>
              </w:rPr>
              <w:t>FACT_SALES_RETURN</w:t>
            </w:r>
          </w:p>
        </w:tc>
        <w:tc>
          <w:tcPr>
            <w:tcW w:type="dxa" w:w="3024"/>
            <w:vAlign w:val="center"/>
          </w:tcPr>
          <w:p>
            <w:pPr>
              <w:spacing w:after="20"/>
            </w:pPr>
            <w:r/>
            <w:r>
              <w:rPr>
                <w:rFonts w:ascii="Arial" w:hAnsi="Arial" w:eastAsia="Arial"/>
                <w:color w:val="26364D"/>
                <w:sz w:val="16"/>
              </w:rPr>
              <w:t>Bảng fact; mỗi dòng là một mặt hàng trong đơn hàng.</w:t>
            </w:r>
          </w:p>
        </w:tc>
        <w:tc>
          <w:tcPr>
            <w:tcW w:type="dxa" w:w="4536"/>
            <w:vAlign w:val="center"/>
          </w:tcPr>
          <w:p>
            <w:pPr>
              <w:spacing w:after="20"/>
            </w:pPr>
            <w:r/>
            <w:r>
              <w:rPr>
                <w:rFonts w:ascii="Arial" w:hAnsi="Arial" w:eastAsia="Arial"/>
                <w:color w:val="26364D"/>
                <w:sz w:val="16"/>
              </w:rPr>
              <w:t>order_date_key, order_item_id, order_id, quantity, unit_price, gross_amount, discount_amount, net_amount, refund_amount, estimated_profit</w:t>
            </w:r>
          </w:p>
        </w:tc>
      </w:tr>
      <w:tr>
        <w:tc>
          <w:tcPr>
            <w:tcW w:type="dxa" w:w="2088"/>
            <w:vAlign w:val="center"/>
          </w:tcPr>
          <w:p>
            <w:pPr>
              <w:spacing w:after="20"/>
            </w:pPr>
            <w:r/>
            <w:r>
              <w:rPr>
                <w:rFonts w:ascii="Arial" w:hAnsi="Arial" w:eastAsia="Arial"/>
                <w:color w:val="26364D"/>
                <w:sz w:val="16"/>
              </w:rPr>
              <w:t>DIM_DATE</w:t>
            </w:r>
          </w:p>
        </w:tc>
        <w:tc>
          <w:tcPr>
            <w:tcW w:type="dxa" w:w="3024"/>
            <w:vAlign w:val="center"/>
          </w:tcPr>
          <w:p>
            <w:pPr>
              <w:spacing w:after="20"/>
            </w:pPr>
            <w:r/>
            <w:r>
              <w:rPr>
                <w:rFonts w:ascii="Arial" w:hAnsi="Arial" w:eastAsia="Arial"/>
                <w:color w:val="26364D"/>
                <w:sz w:val="16"/>
              </w:rPr>
              <w:t>Dùng để tổng hợp doanh thu theo tháng, quý, năm.</w:t>
            </w:r>
          </w:p>
        </w:tc>
        <w:tc>
          <w:tcPr>
            <w:tcW w:type="dxa" w:w="4536"/>
            <w:vAlign w:val="center"/>
          </w:tcPr>
          <w:p>
            <w:pPr>
              <w:spacing w:after="20"/>
            </w:pPr>
            <w:r/>
            <w:r>
              <w:rPr>
                <w:rFonts w:ascii="Arial" w:hAnsi="Arial" w:eastAsia="Arial"/>
                <w:color w:val="26364D"/>
                <w:sz w:val="16"/>
              </w:rPr>
              <w:t>date_key, full_date, month, month_name, quarter, year</w:t>
            </w:r>
          </w:p>
        </w:tc>
      </w:tr>
      <w:tr>
        <w:tc>
          <w:tcPr>
            <w:tcW w:type="dxa" w:w="2088"/>
            <w:vAlign w:val="center"/>
          </w:tcPr>
          <w:p>
            <w:pPr>
              <w:spacing w:after="20"/>
            </w:pPr>
            <w:r/>
            <w:r>
              <w:rPr>
                <w:rFonts w:ascii="Arial" w:hAnsi="Arial" w:eastAsia="Arial"/>
                <w:color w:val="26364D"/>
                <w:sz w:val="16"/>
              </w:rPr>
              <w:t>Bảng dự báo trong mô hình</w:t>
            </w:r>
          </w:p>
        </w:tc>
        <w:tc>
          <w:tcPr>
            <w:tcW w:type="dxa" w:w="3024"/>
            <w:vAlign w:val="center"/>
          </w:tcPr>
          <w:p>
            <w:pPr>
              <w:spacing w:after="20"/>
            </w:pPr>
            <w:r/>
            <w:r>
              <w:rPr>
                <w:rFonts w:ascii="Arial" w:hAnsi="Arial" w:eastAsia="Arial"/>
                <w:color w:val="26364D"/>
                <w:sz w:val="16"/>
              </w:rPr>
              <w:t>Lưu giá trị dự báo và dữ liệu holdout để đánh giá.</w:t>
            </w:r>
          </w:p>
        </w:tc>
        <w:tc>
          <w:tcPr>
            <w:tcW w:type="dxa" w:w="4536"/>
            <w:vAlign w:val="center"/>
          </w:tcPr>
          <w:p>
            <w:pPr>
              <w:spacing w:after="20"/>
            </w:pPr>
            <w:r/>
            <w:r>
              <w:rPr>
                <w:rFonts w:ascii="Arial" w:hAnsi="Arial" w:eastAsia="Arial"/>
                <w:color w:val="26364D"/>
                <w:sz w:val="16"/>
              </w:rPr>
              <w:t>forecast_date_key, forecast_revenue, forecast_horizon_month; holdout có forecast_revenue và forecast_error</w:t>
            </w:r>
          </w:p>
        </w:tc>
      </w:tr>
    </w:tbl>
    <w:p>
      <w:pPr>
        <w:spacing w:after="0"/>
      </w:pPr>
    </w:p>
    <w:p>
      <w:r>
        <w:t>Khóa nối: FACT_SALES_RETURN.order_date_key = DIM_DATE.date_key. Sau khi nối, nhóm theo năm và tháng rồi cộng doanh thu. Fact có cấp dòng mặt hàng; không nối thêm bảng có nhiều dòng cho mỗi đơn nếu không kiểm soát khóa, vì có thể làm doanh thu bị đếm lặp.</w:t>
      </w:r>
    </w:p>
    <w:p>
      <w:pPr>
        <w:pStyle w:val="Heading1"/>
      </w:pPr>
      <w:r>
        <w:t>2. Measure - trường số đầu vào</w:t>
      </w:r>
    </w:p>
    <w:tbl>
      <w:tblPr>
        <w:tblStyle w:val="TableGrid"/>
        <w:tblW w:type="auto" w:w="0"/>
        <w:jc w:val="center"/>
        <w:tblLayout w:type="fixed"/>
        <w:tblLook w:firstColumn="1" w:firstRow="1" w:lastColumn="0" w:lastRow="0" w:noHBand="0" w:noVBand="1" w:val="04A0"/>
      </w:tblPr>
      <w:tblGrid>
        <w:gridCol w:w="5112"/>
        <w:gridCol w:w="5112"/>
      </w:tblGrid>
      <w:tr>
        <w:tc>
          <w:tcPr>
            <w:tcW w:type="dxa" w:w="2448"/>
            <w:shd w:fill="173E91"/>
            <w:vAlign w:val="center"/>
          </w:tcPr>
          <w:p>
            <w:pPr>
              <w:spacing w:after="20"/>
            </w:pPr>
            <w:r/>
            <w:r>
              <w:rPr>
                <w:rFonts w:ascii="Arial" w:hAnsi="Arial" w:eastAsia="Arial"/>
                <w:b/>
                <w:color w:val="FFFFFF"/>
                <w:sz w:val="16"/>
              </w:rPr>
              <w:t>Measure</w:t>
            </w:r>
          </w:p>
        </w:tc>
        <w:tc>
          <w:tcPr>
            <w:tcW w:type="dxa" w:w="7200"/>
            <w:shd w:fill="173E91"/>
            <w:vAlign w:val="center"/>
          </w:tcPr>
          <w:p>
            <w:pPr>
              <w:spacing w:after="20"/>
            </w:pPr>
            <w:r/>
            <w:r>
              <w:rPr>
                <w:rFonts w:ascii="Arial" w:hAnsi="Arial" w:eastAsia="Arial"/>
                <w:b/>
                <w:color w:val="FFFFFF"/>
                <w:sz w:val="16"/>
              </w:rPr>
              <w:t>Định nghĩa / vai trò</w:t>
            </w:r>
          </w:p>
        </w:tc>
      </w:tr>
      <w:tr>
        <w:tc>
          <w:tcPr>
            <w:tcW w:type="dxa" w:w="2448"/>
            <w:vAlign w:val="center"/>
          </w:tcPr>
          <w:p>
            <w:pPr>
              <w:spacing w:after="20"/>
            </w:pPr>
            <w:r/>
            <w:r>
              <w:rPr>
                <w:rFonts w:ascii="Arial" w:hAnsi="Arial" w:eastAsia="Arial"/>
                <w:color w:val="26364D"/>
                <w:sz w:val="16"/>
              </w:rPr>
              <w:t>quantity</w:t>
            </w:r>
          </w:p>
        </w:tc>
        <w:tc>
          <w:tcPr>
            <w:tcW w:type="dxa" w:w="7200"/>
            <w:vAlign w:val="center"/>
          </w:tcPr>
          <w:p>
            <w:pPr>
              <w:spacing w:after="20"/>
            </w:pPr>
            <w:r/>
            <w:r>
              <w:rPr>
                <w:rFonts w:ascii="Arial" w:hAnsi="Arial" w:eastAsia="Arial"/>
                <w:color w:val="26364D"/>
                <w:sz w:val="16"/>
              </w:rPr>
              <w:t>Số lượng sản phẩm bán ở cấp dòng hàng.</w:t>
            </w:r>
          </w:p>
        </w:tc>
      </w:tr>
      <w:tr>
        <w:tc>
          <w:tcPr>
            <w:tcW w:type="dxa" w:w="2448"/>
            <w:vAlign w:val="center"/>
          </w:tcPr>
          <w:p>
            <w:pPr>
              <w:spacing w:after="20"/>
            </w:pPr>
            <w:r/>
            <w:r>
              <w:rPr>
                <w:rFonts w:ascii="Arial" w:hAnsi="Arial" w:eastAsia="Arial"/>
                <w:color w:val="26364D"/>
                <w:sz w:val="16"/>
              </w:rPr>
              <w:t>unit_price</w:t>
            </w:r>
          </w:p>
        </w:tc>
        <w:tc>
          <w:tcPr>
            <w:tcW w:type="dxa" w:w="7200"/>
            <w:vAlign w:val="center"/>
          </w:tcPr>
          <w:p>
            <w:pPr>
              <w:spacing w:after="20"/>
            </w:pPr>
            <w:r/>
            <w:r>
              <w:rPr>
                <w:rFonts w:ascii="Arial" w:hAnsi="Arial" w:eastAsia="Arial"/>
                <w:color w:val="26364D"/>
                <w:sz w:val="16"/>
              </w:rPr>
              <w:t>Đơn giá sản phẩm.</w:t>
            </w:r>
          </w:p>
        </w:tc>
      </w:tr>
      <w:tr>
        <w:tc>
          <w:tcPr>
            <w:tcW w:type="dxa" w:w="2448"/>
            <w:vAlign w:val="center"/>
          </w:tcPr>
          <w:p>
            <w:pPr>
              <w:spacing w:after="20"/>
            </w:pPr>
            <w:r/>
            <w:r>
              <w:rPr>
                <w:rFonts w:ascii="Arial" w:hAnsi="Arial" w:eastAsia="Arial"/>
                <w:color w:val="26364D"/>
                <w:sz w:val="16"/>
              </w:rPr>
              <w:t>gross_amount</w:t>
            </w:r>
          </w:p>
        </w:tc>
        <w:tc>
          <w:tcPr>
            <w:tcW w:type="dxa" w:w="7200"/>
            <w:vAlign w:val="center"/>
          </w:tcPr>
          <w:p>
            <w:pPr>
              <w:spacing w:after="20"/>
            </w:pPr>
            <w:r/>
            <w:r>
              <w:rPr>
                <w:rFonts w:ascii="Arial" w:hAnsi="Arial" w:eastAsia="Arial"/>
                <w:color w:val="26364D"/>
                <w:sz w:val="16"/>
              </w:rPr>
              <w:t>Giá trị hàng trước giảm giá.</w:t>
            </w:r>
          </w:p>
        </w:tc>
      </w:tr>
      <w:tr>
        <w:tc>
          <w:tcPr>
            <w:tcW w:type="dxa" w:w="2448"/>
            <w:vAlign w:val="center"/>
          </w:tcPr>
          <w:p>
            <w:pPr>
              <w:spacing w:after="20"/>
            </w:pPr>
            <w:r/>
            <w:r>
              <w:rPr>
                <w:rFonts w:ascii="Arial" w:hAnsi="Arial" w:eastAsia="Arial"/>
                <w:color w:val="26364D"/>
                <w:sz w:val="16"/>
              </w:rPr>
              <w:t>discount_amount</w:t>
            </w:r>
          </w:p>
        </w:tc>
        <w:tc>
          <w:tcPr>
            <w:tcW w:type="dxa" w:w="7200"/>
            <w:vAlign w:val="center"/>
          </w:tcPr>
          <w:p>
            <w:pPr>
              <w:spacing w:after="20"/>
            </w:pPr>
            <w:r/>
            <w:r>
              <w:rPr>
                <w:rFonts w:ascii="Arial" w:hAnsi="Arial" w:eastAsia="Arial"/>
                <w:color w:val="26364D"/>
                <w:sz w:val="16"/>
              </w:rPr>
              <w:t>Số tiền giảm giá.</w:t>
            </w:r>
          </w:p>
        </w:tc>
      </w:tr>
      <w:tr>
        <w:tc>
          <w:tcPr>
            <w:tcW w:type="dxa" w:w="2448"/>
            <w:vAlign w:val="center"/>
          </w:tcPr>
          <w:p>
            <w:pPr>
              <w:spacing w:after="20"/>
            </w:pPr>
            <w:r/>
            <w:r>
              <w:rPr>
                <w:rFonts w:ascii="Arial" w:hAnsi="Arial" w:eastAsia="Arial"/>
                <w:color w:val="26364D"/>
                <w:sz w:val="16"/>
              </w:rPr>
              <w:t>net_amount</w:t>
            </w:r>
          </w:p>
        </w:tc>
        <w:tc>
          <w:tcPr>
            <w:tcW w:type="dxa" w:w="7200"/>
            <w:vAlign w:val="center"/>
          </w:tcPr>
          <w:p>
            <w:pPr>
              <w:spacing w:after="20"/>
            </w:pPr>
            <w:r/>
            <w:r>
              <w:rPr>
                <w:rFonts w:ascii="Arial" w:hAnsi="Arial" w:eastAsia="Arial"/>
                <w:color w:val="26364D"/>
                <w:sz w:val="16"/>
              </w:rPr>
              <w:t>Doanh thu sau giảm giá theo dữ liệu kho.</w:t>
            </w:r>
          </w:p>
        </w:tc>
      </w:tr>
      <w:tr>
        <w:tc>
          <w:tcPr>
            <w:tcW w:type="dxa" w:w="2448"/>
            <w:vAlign w:val="center"/>
          </w:tcPr>
          <w:p>
            <w:pPr>
              <w:spacing w:after="20"/>
            </w:pPr>
            <w:r/>
            <w:r>
              <w:rPr>
                <w:rFonts w:ascii="Arial" w:hAnsi="Arial" w:eastAsia="Arial"/>
                <w:color w:val="26364D"/>
                <w:sz w:val="16"/>
              </w:rPr>
              <w:t>refund_amount</w:t>
            </w:r>
          </w:p>
        </w:tc>
        <w:tc>
          <w:tcPr>
            <w:tcW w:type="dxa" w:w="7200"/>
            <w:vAlign w:val="center"/>
          </w:tcPr>
          <w:p>
            <w:pPr>
              <w:spacing w:after="20"/>
            </w:pPr>
            <w:r/>
            <w:r>
              <w:rPr>
                <w:rFonts w:ascii="Arial" w:hAnsi="Arial" w:eastAsia="Arial"/>
                <w:color w:val="26364D"/>
                <w:sz w:val="16"/>
              </w:rPr>
              <w:t>Số tiền hoàn lại.</w:t>
            </w:r>
          </w:p>
        </w:tc>
      </w:tr>
      <w:tr>
        <w:tc>
          <w:tcPr>
            <w:tcW w:type="dxa" w:w="2448"/>
            <w:vAlign w:val="center"/>
          </w:tcPr>
          <w:p>
            <w:pPr>
              <w:spacing w:after="20"/>
            </w:pPr>
            <w:r/>
            <w:r>
              <w:rPr>
                <w:rFonts w:ascii="Arial" w:hAnsi="Arial" w:eastAsia="Arial"/>
                <w:color w:val="26364D"/>
                <w:sz w:val="16"/>
              </w:rPr>
              <w:t>estimated_profit</w:t>
            </w:r>
          </w:p>
        </w:tc>
        <w:tc>
          <w:tcPr>
            <w:tcW w:type="dxa" w:w="7200"/>
            <w:vAlign w:val="center"/>
          </w:tcPr>
          <w:p>
            <w:pPr>
              <w:spacing w:after="20"/>
            </w:pPr>
            <w:r/>
            <w:r>
              <w:rPr>
                <w:rFonts w:ascii="Arial" w:hAnsi="Arial" w:eastAsia="Arial"/>
                <w:color w:val="26364D"/>
                <w:sz w:val="16"/>
              </w:rPr>
              <w:t>Lợi nhuận ước tính.</w:t>
            </w:r>
          </w:p>
        </w:tc>
      </w:tr>
      <w:tr>
        <w:tc>
          <w:tcPr>
            <w:tcW w:type="dxa" w:w="2448"/>
            <w:vAlign w:val="center"/>
          </w:tcPr>
          <w:p>
            <w:pPr>
              <w:spacing w:after="20"/>
            </w:pPr>
            <w:r/>
            <w:r>
              <w:rPr>
                <w:rFonts w:ascii="Arial" w:hAnsi="Arial" w:eastAsia="Arial"/>
                <w:color w:val="26364D"/>
                <w:sz w:val="16"/>
              </w:rPr>
              <w:t>forecast_revenue</w:t>
            </w:r>
          </w:p>
        </w:tc>
        <w:tc>
          <w:tcPr>
            <w:tcW w:type="dxa" w:w="7200"/>
            <w:vAlign w:val="center"/>
          </w:tcPr>
          <w:p>
            <w:pPr>
              <w:spacing w:after="20"/>
            </w:pPr>
            <w:r/>
            <w:r>
              <w:rPr>
                <w:rFonts w:ascii="Arial" w:hAnsi="Arial" w:eastAsia="Arial"/>
                <w:color w:val="26364D"/>
                <w:sz w:val="16"/>
              </w:rPr>
              <w:t>Doanh thu do mô hình dự báo.</w:t>
            </w:r>
          </w:p>
        </w:tc>
      </w:tr>
      <w:tr>
        <w:tc>
          <w:tcPr>
            <w:tcW w:type="dxa" w:w="2448"/>
            <w:vAlign w:val="center"/>
          </w:tcPr>
          <w:p>
            <w:pPr>
              <w:spacing w:after="20"/>
            </w:pPr>
            <w:r/>
            <w:r>
              <w:rPr>
                <w:rFonts w:ascii="Arial" w:hAnsi="Arial" w:eastAsia="Arial"/>
                <w:color w:val="26364D"/>
                <w:sz w:val="16"/>
              </w:rPr>
              <w:t>forecast_error</w:t>
            </w:r>
          </w:p>
        </w:tc>
        <w:tc>
          <w:tcPr>
            <w:tcW w:type="dxa" w:w="7200"/>
            <w:vAlign w:val="center"/>
          </w:tcPr>
          <w:p>
            <w:pPr>
              <w:spacing w:after="20"/>
            </w:pPr>
            <w:r/>
            <w:r>
              <w:rPr>
                <w:rFonts w:ascii="Arial" w:hAnsi="Arial" w:eastAsia="Arial"/>
                <w:color w:val="26364D"/>
                <w:sz w:val="16"/>
              </w:rPr>
              <w:t>Chênh lệch giữa thực tế và dự báo.</w:t>
            </w:r>
          </w:p>
        </w:tc>
      </w:tr>
    </w:tbl>
    <w:p>
      <w:pPr>
        <w:spacing w:after="0"/>
      </w:pPr>
    </w:p>
    <w:p>
      <w:r>
        <w:t>Nếu cần theo dõi doanh thu sau hoàn tiền, có thể dùng net_amount − refund_amount. Cần xác nhận định nghĩa nghiệp vụ của net_amount và refund_amount trước khi chốt chỉ tiêu. Dùng cùng một định nghĩa doanh thu cho cả dữ liệu huấn luyện, dự báo và đánh giá.</w:t>
      </w:r>
    </w:p>
    <w:p>
      <w:pPr>
        <w:pStyle w:val="Heading1"/>
      </w:pPr>
      <w:r>
        <w:t>3. Metric - chỉ số nghiệp vụ</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088"/>
            <w:shd w:fill="173E91"/>
            <w:vAlign w:val="center"/>
          </w:tcPr>
          <w:p>
            <w:pPr>
              <w:spacing w:after="20"/>
            </w:pPr>
            <w:r/>
            <w:r>
              <w:rPr>
                <w:rFonts w:ascii="Arial" w:hAnsi="Arial" w:eastAsia="Arial"/>
                <w:b/>
                <w:color w:val="FFFFFF"/>
                <w:sz w:val="16"/>
              </w:rPr>
              <w:t>Metric</w:t>
            </w:r>
          </w:p>
        </w:tc>
        <w:tc>
          <w:tcPr>
            <w:tcW w:type="dxa" w:w="3600"/>
            <w:shd w:fill="173E91"/>
            <w:vAlign w:val="center"/>
          </w:tcPr>
          <w:p>
            <w:pPr>
              <w:spacing w:after="20"/>
            </w:pPr>
            <w:r/>
            <w:r>
              <w:rPr>
                <w:rFonts w:ascii="Arial" w:hAnsi="Arial" w:eastAsia="Arial"/>
                <w:b/>
                <w:color w:val="FFFFFF"/>
                <w:sz w:val="16"/>
              </w:rPr>
              <w:t>Công thức gợi ý</w:t>
            </w:r>
          </w:p>
        </w:tc>
        <w:tc>
          <w:tcPr>
            <w:tcW w:type="dxa" w:w="3960"/>
            <w:shd w:fill="173E91"/>
            <w:vAlign w:val="center"/>
          </w:tcPr>
          <w:p>
            <w:pPr>
              <w:spacing w:after="20"/>
            </w:pPr>
            <w:r/>
            <w:r>
              <w:rPr>
                <w:rFonts w:ascii="Arial" w:hAnsi="Arial" w:eastAsia="Arial"/>
                <w:b/>
                <w:color w:val="FFFFFF"/>
                <w:sz w:val="16"/>
              </w:rPr>
              <w:t>Diễn giải</w:t>
            </w:r>
          </w:p>
        </w:tc>
      </w:tr>
      <w:tr>
        <w:tc>
          <w:tcPr>
            <w:tcW w:type="dxa" w:w="2088"/>
            <w:vAlign w:val="center"/>
          </w:tcPr>
          <w:p>
            <w:pPr>
              <w:spacing w:after="20"/>
            </w:pPr>
            <w:r/>
            <w:r>
              <w:rPr>
                <w:rFonts w:ascii="Arial" w:hAnsi="Arial" w:eastAsia="Arial"/>
                <w:color w:val="26364D"/>
                <w:sz w:val="16"/>
              </w:rPr>
              <w:t>Tổng doanh thu thuần tháng</w:t>
            </w:r>
          </w:p>
        </w:tc>
        <w:tc>
          <w:tcPr>
            <w:tcW w:type="dxa" w:w="3600"/>
            <w:vAlign w:val="center"/>
          </w:tcPr>
          <w:p>
            <w:pPr>
              <w:spacing w:after="20"/>
            </w:pPr>
            <w:r/>
            <w:r>
              <w:rPr>
                <w:rFonts w:ascii="Arial" w:hAnsi="Arial" w:eastAsia="Arial"/>
                <w:color w:val="26364D"/>
                <w:sz w:val="16"/>
              </w:rPr>
              <w:t>SUM(net_amount), nhóm theo tháng</w:t>
            </w:r>
          </w:p>
        </w:tc>
        <w:tc>
          <w:tcPr>
            <w:tcW w:type="dxa" w:w="3960"/>
            <w:vAlign w:val="center"/>
          </w:tcPr>
          <w:p>
            <w:pPr>
              <w:spacing w:after="20"/>
            </w:pPr>
            <w:r/>
            <w:r>
              <w:rPr>
                <w:rFonts w:ascii="Arial" w:hAnsi="Arial" w:eastAsia="Arial"/>
                <w:color w:val="26364D"/>
                <w:sz w:val="16"/>
              </w:rPr>
              <w:t>Xu hướng doanh thu sau giảm giá.</w:t>
            </w:r>
          </w:p>
        </w:tc>
      </w:tr>
      <w:tr>
        <w:tc>
          <w:tcPr>
            <w:tcW w:type="dxa" w:w="2088"/>
            <w:vAlign w:val="center"/>
          </w:tcPr>
          <w:p>
            <w:pPr>
              <w:spacing w:after="20"/>
            </w:pPr>
            <w:r/>
            <w:r>
              <w:rPr>
                <w:rFonts w:ascii="Arial" w:hAnsi="Arial" w:eastAsia="Arial"/>
                <w:color w:val="26364D"/>
                <w:sz w:val="16"/>
              </w:rPr>
              <w:t>Doanh thu sau hoàn tiền</w:t>
            </w:r>
          </w:p>
        </w:tc>
        <w:tc>
          <w:tcPr>
            <w:tcW w:type="dxa" w:w="3600"/>
            <w:vAlign w:val="center"/>
          </w:tcPr>
          <w:p>
            <w:pPr>
              <w:spacing w:after="20"/>
            </w:pPr>
            <w:r/>
            <w:r>
              <w:rPr>
                <w:rFonts w:ascii="Arial" w:hAnsi="Arial" w:eastAsia="Arial"/>
                <w:color w:val="26364D"/>
                <w:sz w:val="16"/>
              </w:rPr>
              <w:t>SUM(net_amount − refund_amount)</w:t>
            </w:r>
          </w:p>
        </w:tc>
        <w:tc>
          <w:tcPr>
            <w:tcW w:type="dxa" w:w="3960"/>
            <w:vAlign w:val="center"/>
          </w:tcPr>
          <w:p>
            <w:pPr>
              <w:spacing w:after="20"/>
            </w:pPr>
            <w:r/>
            <w:r>
              <w:rPr>
                <w:rFonts w:ascii="Arial" w:hAnsi="Arial" w:eastAsia="Arial"/>
                <w:color w:val="26364D"/>
                <w:sz w:val="16"/>
              </w:rPr>
              <w:t>Doanh thu sau khi tính tiền hoàn.</w:t>
            </w:r>
          </w:p>
        </w:tc>
      </w:tr>
      <w:tr>
        <w:tc>
          <w:tcPr>
            <w:tcW w:type="dxa" w:w="2088"/>
            <w:vAlign w:val="center"/>
          </w:tcPr>
          <w:p>
            <w:pPr>
              <w:spacing w:after="20"/>
            </w:pPr>
            <w:r/>
            <w:r>
              <w:rPr>
                <w:rFonts w:ascii="Arial" w:hAnsi="Arial" w:eastAsia="Arial"/>
                <w:color w:val="26364D"/>
                <w:sz w:val="16"/>
              </w:rPr>
              <w:t>Tăng trưởng doanh thu MoM</w:t>
            </w:r>
          </w:p>
        </w:tc>
        <w:tc>
          <w:tcPr>
            <w:tcW w:type="dxa" w:w="3600"/>
            <w:vAlign w:val="center"/>
          </w:tcPr>
          <w:p>
            <w:pPr>
              <w:spacing w:after="20"/>
            </w:pPr>
            <w:r/>
            <w:r>
              <w:rPr>
                <w:rFonts w:ascii="Arial" w:hAnsi="Arial" w:eastAsia="Arial"/>
                <w:color w:val="26364D"/>
                <w:sz w:val="16"/>
              </w:rPr>
              <w:t>(Tháng này − tháng trước) / tháng trước</w:t>
            </w:r>
          </w:p>
        </w:tc>
        <w:tc>
          <w:tcPr>
            <w:tcW w:type="dxa" w:w="3960"/>
            <w:vAlign w:val="center"/>
          </w:tcPr>
          <w:p>
            <w:pPr>
              <w:spacing w:after="20"/>
            </w:pPr>
            <w:r/>
            <w:r>
              <w:rPr>
                <w:rFonts w:ascii="Arial" w:hAnsi="Arial" w:eastAsia="Arial"/>
                <w:color w:val="26364D"/>
                <w:sz w:val="16"/>
              </w:rPr>
              <w:t>Tốc độ tăng hoặc giảm so với tháng liền trước.</w:t>
            </w:r>
          </w:p>
        </w:tc>
      </w:tr>
      <w:tr>
        <w:tc>
          <w:tcPr>
            <w:tcW w:type="dxa" w:w="2088"/>
            <w:vAlign w:val="center"/>
          </w:tcPr>
          <w:p>
            <w:pPr>
              <w:spacing w:after="20"/>
            </w:pPr>
            <w:r/>
            <w:r>
              <w:rPr>
                <w:rFonts w:ascii="Arial" w:hAnsi="Arial" w:eastAsia="Arial"/>
                <w:color w:val="26364D"/>
                <w:sz w:val="16"/>
              </w:rPr>
              <w:t>Doanh thu dự báo</w:t>
            </w:r>
          </w:p>
        </w:tc>
        <w:tc>
          <w:tcPr>
            <w:tcW w:type="dxa" w:w="3600"/>
            <w:vAlign w:val="center"/>
          </w:tcPr>
          <w:p>
            <w:pPr>
              <w:spacing w:after="20"/>
            </w:pPr>
            <w:r/>
            <w:r>
              <w:rPr>
                <w:rFonts w:ascii="Arial" w:hAnsi="Arial" w:eastAsia="Arial"/>
                <w:color w:val="26364D"/>
                <w:sz w:val="16"/>
              </w:rPr>
              <w:t>SUM(forecast_revenue) theo tháng dự báo</w:t>
            </w:r>
          </w:p>
        </w:tc>
        <w:tc>
          <w:tcPr>
            <w:tcW w:type="dxa" w:w="3960"/>
            <w:vAlign w:val="center"/>
          </w:tcPr>
          <w:p>
            <w:pPr>
              <w:spacing w:after="20"/>
            </w:pPr>
            <w:r/>
            <w:r>
              <w:rPr>
                <w:rFonts w:ascii="Arial" w:hAnsi="Arial" w:eastAsia="Arial"/>
                <w:color w:val="26364D"/>
                <w:sz w:val="16"/>
              </w:rPr>
              <w:t>Mức doanh thu mô hình dự kiến.</w:t>
            </w:r>
          </w:p>
        </w:tc>
      </w:tr>
      <w:tr>
        <w:tc>
          <w:tcPr>
            <w:tcW w:type="dxa" w:w="2088"/>
            <w:vAlign w:val="center"/>
          </w:tcPr>
          <w:p>
            <w:pPr>
              <w:spacing w:after="20"/>
            </w:pPr>
            <w:r/>
            <w:r>
              <w:rPr>
                <w:rFonts w:ascii="Arial" w:hAnsi="Arial" w:eastAsia="Arial"/>
                <w:color w:val="26364D"/>
                <w:sz w:val="16"/>
              </w:rPr>
              <w:t>Sai số tuyệt đối</w:t>
            </w:r>
          </w:p>
        </w:tc>
        <w:tc>
          <w:tcPr>
            <w:tcW w:type="dxa" w:w="3600"/>
            <w:vAlign w:val="center"/>
          </w:tcPr>
          <w:p>
            <w:pPr>
              <w:spacing w:after="20"/>
            </w:pPr>
            <w:r/>
            <w:r>
              <w:rPr>
                <w:rFonts w:ascii="Arial" w:hAnsi="Arial" w:eastAsia="Arial"/>
                <w:color w:val="26364D"/>
                <w:sz w:val="16"/>
              </w:rPr>
              <w:t>ABS(thực tế − dự báo)</w:t>
            </w:r>
          </w:p>
        </w:tc>
        <w:tc>
          <w:tcPr>
            <w:tcW w:type="dxa" w:w="3960"/>
            <w:vAlign w:val="center"/>
          </w:tcPr>
          <w:p>
            <w:pPr>
              <w:spacing w:after="20"/>
            </w:pPr>
            <w:r/>
            <w:r>
              <w:rPr>
                <w:rFonts w:ascii="Arial" w:hAnsi="Arial" w:eastAsia="Arial"/>
                <w:color w:val="26364D"/>
                <w:sz w:val="16"/>
              </w:rPr>
              <w:t>Độ lệch của dự báo theo tháng.</w:t>
            </w:r>
          </w:p>
        </w:tc>
      </w:tr>
      <w:tr>
        <w:tc>
          <w:tcPr>
            <w:tcW w:type="dxa" w:w="2088"/>
            <w:vAlign w:val="center"/>
          </w:tcPr>
          <w:p>
            <w:pPr>
              <w:spacing w:after="20"/>
            </w:pPr>
            <w:r/>
            <w:r>
              <w:rPr>
                <w:rFonts w:ascii="Arial" w:hAnsi="Arial" w:eastAsia="Arial"/>
                <w:color w:val="26364D"/>
                <w:sz w:val="16"/>
              </w:rPr>
              <w:t>WAPE</w:t>
            </w:r>
          </w:p>
        </w:tc>
        <w:tc>
          <w:tcPr>
            <w:tcW w:type="dxa" w:w="3600"/>
            <w:vAlign w:val="center"/>
          </w:tcPr>
          <w:p>
            <w:pPr>
              <w:spacing w:after="20"/>
            </w:pPr>
            <w:r/>
            <w:r>
              <w:rPr>
                <w:rFonts w:ascii="Arial" w:hAnsi="Arial" w:eastAsia="Arial"/>
                <w:color w:val="26364D"/>
                <w:sz w:val="16"/>
              </w:rPr>
              <w:t>SUM(sai số tuyệt đối) / SUM(ABS(thực tế))</w:t>
            </w:r>
          </w:p>
        </w:tc>
        <w:tc>
          <w:tcPr>
            <w:tcW w:type="dxa" w:w="3960"/>
            <w:vAlign w:val="center"/>
          </w:tcPr>
          <w:p>
            <w:pPr>
              <w:spacing w:after="20"/>
            </w:pPr>
            <w:r/>
            <w:r>
              <w:rPr>
                <w:rFonts w:ascii="Arial" w:hAnsi="Arial" w:eastAsia="Arial"/>
                <w:color w:val="26364D"/>
                <w:sz w:val="16"/>
              </w:rPr>
              <w:t>Sai số tương đối tổng thể; thấp hơn là tốt hơn.</w:t>
            </w:r>
          </w:p>
        </w:tc>
      </w:tr>
      <w:tr>
        <w:tc>
          <w:tcPr>
            <w:tcW w:type="dxa" w:w="2088"/>
            <w:vAlign w:val="center"/>
          </w:tcPr>
          <w:p>
            <w:pPr>
              <w:spacing w:after="20"/>
            </w:pPr>
            <w:r/>
            <w:r>
              <w:rPr>
                <w:rFonts w:ascii="Arial" w:hAnsi="Arial" w:eastAsia="Arial"/>
                <w:color w:val="26364D"/>
                <w:sz w:val="16"/>
              </w:rPr>
              <w:t>Độ chính xác dự báo</w:t>
            </w:r>
          </w:p>
        </w:tc>
        <w:tc>
          <w:tcPr>
            <w:tcW w:type="dxa" w:w="3600"/>
            <w:vAlign w:val="center"/>
          </w:tcPr>
          <w:p>
            <w:pPr>
              <w:spacing w:after="20"/>
            </w:pPr>
            <w:r/>
            <w:r>
              <w:rPr>
                <w:rFonts w:ascii="Arial" w:hAnsi="Arial" w:eastAsia="Arial"/>
                <w:color w:val="26364D"/>
                <w:sz w:val="16"/>
              </w:rPr>
              <w:t>1 − WAPE</w:t>
            </w:r>
          </w:p>
        </w:tc>
        <w:tc>
          <w:tcPr>
            <w:tcW w:type="dxa" w:w="3960"/>
            <w:vAlign w:val="center"/>
          </w:tcPr>
          <w:p>
            <w:pPr>
              <w:spacing w:after="20"/>
            </w:pPr>
            <w:r/>
            <w:r>
              <w:rPr>
                <w:rFonts w:ascii="Arial" w:hAnsi="Arial" w:eastAsia="Arial"/>
                <w:color w:val="26364D"/>
                <w:sz w:val="16"/>
              </w:rPr>
              <w:t>Chỉ số thuận chiều; cao hơn là tốt hơn.</w:t>
            </w:r>
          </w:p>
        </w:tc>
      </w:tr>
      <w:tr>
        <w:tc>
          <w:tcPr>
            <w:tcW w:type="dxa" w:w="2088"/>
            <w:vAlign w:val="center"/>
          </w:tcPr>
          <w:p>
            <w:pPr>
              <w:spacing w:after="20"/>
            </w:pPr>
            <w:r/>
            <w:r>
              <w:rPr>
                <w:rFonts w:ascii="Arial" w:hAnsi="Arial" w:eastAsia="Arial"/>
                <w:color w:val="26364D"/>
                <w:sz w:val="16"/>
              </w:rPr>
              <w:t>RMSE</w:t>
            </w:r>
          </w:p>
        </w:tc>
        <w:tc>
          <w:tcPr>
            <w:tcW w:type="dxa" w:w="3600"/>
            <w:vAlign w:val="center"/>
          </w:tcPr>
          <w:p>
            <w:pPr>
              <w:spacing w:after="20"/>
            </w:pPr>
            <w:r/>
            <w:r>
              <w:rPr>
                <w:rFonts w:ascii="Arial" w:hAnsi="Arial" w:eastAsia="Arial"/>
                <w:color w:val="26364D"/>
                <w:sz w:val="16"/>
              </w:rPr>
              <w:t>SQRT(AVG((thực tế − dự báo)^2))</w:t>
            </w:r>
          </w:p>
        </w:tc>
        <w:tc>
          <w:tcPr>
            <w:tcW w:type="dxa" w:w="3960"/>
            <w:vAlign w:val="center"/>
          </w:tcPr>
          <w:p>
            <w:pPr>
              <w:spacing w:after="20"/>
            </w:pPr>
            <w:r/>
            <w:r>
              <w:rPr>
                <w:rFonts w:ascii="Arial" w:hAnsi="Arial" w:eastAsia="Arial"/>
                <w:color w:val="26364D"/>
                <w:sz w:val="16"/>
              </w:rPr>
              <w:t>Nhấn mạnh các tháng có sai số lớn.</w:t>
            </w:r>
          </w:p>
        </w:tc>
      </w:tr>
    </w:tbl>
    <w:p>
      <w:pPr>
        <w:spacing w:after="0"/>
      </w:pPr>
    </w:p>
    <w:p>
      <w:r>
        <w:t>Khuyến nghị dùng WAPE làm chỉ số chính để đánh giá trên nhiều tháng và RMSE làm chỉ số bổ sung để phát hiện sai số lớn. Cần quy định cách xử lý trường hợp doanh thu thực tế bằng 0 khi tính tỷ lệ sai số.</w:t>
      </w:r>
    </w:p>
    <w:p>
      <w:pPr>
        <w:pStyle w:val="Heading1"/>
      </w:pPr>
      <w:r>
        <w:t>4. KPI - metric gắn với mục tiêu</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232"/>
            <w:shd w:fill="173E91"/>
            <w:vAlign w:val="center"/>
          </w:tcPr>
          <w:p>
            <w:pPr>
              <w:spacing w:after="20"/>
            </w:pPr>
            <w:r/>
            <w:r>
              <w:rPr>
                <w:rFonts w:ascii="Arial" w:hAnsi="Arial" w:eastAsia="Arial"/>
                <w:b/>
                <w:color w:val="FFFFFF"/>
                <w:sz w:val="16"/>
              </w:rPr>
              <w:t>KPI</w:t>
            </w:r>
          </w:p>
        </w:tc>
        <w:tc>
          <w:tcPr>
            <w:tcW w:type="dxa" w:w="3816"/>
            <w:shd w:fill="173E91"/>
            <w:vAlign w:val="center"/>
          </w:tcPr>
          <w:p>
            <w:pPr>
              <w:spacing w:after="20"/>
            </w:pPr>
            <w:r/>
            <w:r>
              <w:rPr>
                <w:rFonts w:ascii="Arial" w:hAnsi="Arial" w:eastAsia="Arial"/>
                <w:b/>
                <w:color w:val="FFFFFF"/>
                <w:sz w:val="16"/>
              </w:rPr>
              <w:t>Cách theo dõi</w:t>
            </w:r>
          </w:p>
        </w:tc>
        <w:tc>
          <w:tcPr>
            <w:tcW w:type="dxa" w:w="3600"/>
            <w:shd w:fill="173E91"/>
            <w:vAlign w:val="center"/>
          </w:tcPr>
          <w:p>
            <w:pPr>
              <w:spacing w:after="20"/>
            </w:pPr>
            <w:r/>
            <w:r>
              <w:rPr>
                <w:rFonts w:ascii="Arial" w:hAnsi="Arial" w:eastAsia="Arial"/>
                <w:b/>
                <w:color w:val="FFFFFF"/>
                <w:sz w:val="16"/>
              </w:rPr>
              <w:t>Mục tiêu / ngưỡng</w:t>
            </w:r>
          </w:p>
        </w:tc>
      </w:tr>
      <w:tr>
        <w:tc>
          <w:tcPr>
            <w:tcW w:type="dxa" w:w="2232"/>
            <w:vAlign w:val="center"/>
          </w:tcPr>
          <w:p>
            <w:pPr>
              <w:spacing w:after="20"/>
            </w:pPr>
            <w:r/>
            <w:r>
              <w:rPr>
                <w:rFonts w:ascii="Arial" w:hAnsi="Arial" w:eastAsia="Arial"/>
                <w:color w:val="26364D"/>
                <w:sz w:val="16"/>
              </w:rPr>
              <w:t>Độ chính xác dự báo</w:t>
            </w:r>
          </w:p>
        </w:tc>
        <w:tc>
          <w:tcPr>
            <w:tcW w:type="dxa" w:w="3816"/>
            <w:vAlign w:val="center"/>
          </w:tcPr>
          <w:p>
            <w:pPr>
              <w:spacing w:after="20"/>
            </w:pPr>
            <w:r/>
            <w:r>
              <w:rPr>
                <w:rFonts w:ascii="Arial" w:hAnsi="Arial" w:eastAsia="Arial"/>
                <w:color w:val="26364D"/>
                <w:sz w:val="16"/>
              </w:rPr>
              <w:t>Theo dõi trên tập holdout; cập nhật khi có doanh thu thực tế.</w:t>
            </w:r>
          </w:p>
        </w:tc>
        <w:tc>
          <w:tcPr>
            <w:tcW w:type="dxa" w:w="3600"/>
            <w:vAlign w:val="center"/>
          </w:tcPr>
          <w:p>
            <w:pPr>
              <w:spacing w:after="20"/>
            </w:pPr>
            <w:r/>
            <w:r>
              <w:rPr>
                <w:rFonts w:ascii="Arial" w:hAnsi="Arial" w:eastAsia="Arial"/>
                <w:color w:val="26364D"/>
                <w:sz w:val="16"/>
              </w:rPr>
              <w:t>Nhóm hoặc quản lý thống nhất mức tối thiểu chấp nhận được.</w:t>
            </w:r>
          </w:p>
        </w:tc>
      </w:tr>
      <w:tr>
        <w:tc>
          <w:tcPr>
            <w:tcW w:type="dxa" w:w="2232"/>
            <w:vAlign w:val="center"/>
          </w:tcPr>
          <w:p>
            <w:pPr>
              <w:spacing w:after="20"/>
            </w:pPr>
            <w:r/>
            <w:r>
              <w:rPr>
                <w:rFonts w:ascii="Arial" w:hAnsi="Arial" w:eastAsia="Arial"/>
                <w:color w:val="26364D"/>
                <w:sz w:val="16"/>
              </w:rPr>
              <w:t>Tăng trưởng doanh thu tháng</w:t>
            </w:r>
          </w:p>
        </w:tc>
        <w:tc>
          <w:tcPr>
            <w:tcW w:type="dxa" w:w="3816"/>
            <w:vAlign w:val="center"/>
          </w:tcPr>
          <w:p>
            <w:pPr>
              <w:spacing w:after="20"/>
            </w:pPr>
            <w:r/>
            <w:r>
              <w:rPr>
                <w:rFonts w:ascii="Arial" w:hAnsi="Arial" w:eastAsia="Arial"/>
                <w:color w:val="26364D"/>
                <w:sz w:val="16"/>
              </w:rPr>
              <w:t>So sánh MoM thực tế với chỉ tiêu tháng.</w:t>
            </w:r>
          </w:p>
        </w:tc>
        <w:tc>
          <w:tcPr>
            <w:tcW w:type="dxa" w:w="3600"/>
            <w:vAlign w:val="center"/>
          </w:tcPr>
          <w:p>
            <w:pPr>
              <w:spacing w:after="20"/>
            </w:pPr>
            <w:r/>
            <w:r>
              <w:rPr>
                <w:rFonts w:ascii="Arial" w:hAnsi="Arial" w:eastAsia="Arial"/>
                <w:color w:val="26364D"/>
                <w:sz w:val="16"/>
              </w:rPr>
              <w:t>Dựa trên mục tiêu doanh thu đã phê duyệt.</w:t>
            </w:r>
          </w:p>
        </w:tc>
      </w:tr>
      <w:tr>
        <w:tc>
          <w:tcPr>
            <w:tcW w:type="dxa" w:w="2232"/>
            <w:vAlign w:val="center"/>
          </w:tcPr>
          <w:p>
            <w:pPr>
              <w:spacing w:after="20"/>
            </w:pPr>
            <w:r/>
            <w:r>
              <w:rPr>
                <w:rFonts w:ascii="Arial" w:hAnsi="Arial" w:eastAsia="Arial"/>
                <w:color w:val="26364D"/>
                <w:sz w:val="16"/>
              </w:rPr>
              <w:t>Mức đáp ứng dự báo</w:t>
            </w:r>
          </w:p>
        </w:tc>
        <w:tc>
          <w:tcPr>
            <w:tcW w:type="dxa" w:w="3816"/>
            <w:vAlign w:val="center"/>
          </w:tcPr>
          <w:p>
            <w:pPr>
              <w:spacing w:after="20"/>
            </w:pPr>
            <w:r/>
            <w:r>
              <w:rPr>
                <w:rFonts w:ascii="Arial" w:hAnsi="Arial" w:eastAsia="Arial"/>
                <w:color w:val="26364D"/>
                <w:sz w:val="16"/>
              </w:rPr>
              <w:t>Doanh thu thực tế / doanh thu dự báo.</w:t>
            </w:r>
          </w:p>
        </w:tc>
        <w:tc>
          <w:tcPr>
            <w:tcW w:type="dxa" w:w="3600"/>
            <w:vAlign w:val="center"/>
          </w:tcPr>
          <w:p>
            <w:pPr>
              <w:spacing w:after="20"/>
            </w:pPr>
            <w:r/>
            <w:r>
              <w:rPr>
                <w:rFonts w:ascii="Arial" w:hAnsi="Arial" w:eastAsia="Arial"/>
                <w:color w:val="26364D"/>
                <w:sz w:val="16"/>
              </w:rPr>
              <w:t>Đặt vùng cảnh báo theo quy ước của nhóm.</w:t>
            </w:r>
          </w:p>
        </w:tc>
      </w:tr>
      <w:tr>
        <w:tc>
          <w:tcPr>
            <w:tcW w:type="dxa" w:w="2232"/>
            <w:vAlign w:val="center"/>
          </w:tcPr>
          <w:p>
            <w:pPr>
              <w:spacing w:after="20"/>
            </w:pPr>
            <w:r/>
            <w:r>
              <w:rPr>
                <w:rFonts w:ascii="Arial" w:hAnsi="Arial" w:eastAsia="Arial"/>
                <w:color w:val="26364D"/>
                <w:sz w:val="16"/>
              </w:rPr>
              <w:t>Tỷ lệ hoàn tiền</w:t>
            </w:r>
          </w:p>
        </w:tc>
        <w:tc>
          <w:tcPr>
            <w:tcW w:type="dxa" w:w="3816"/>
            <w:vAlign w:val="center"/>
          </w:tcPr>
          <w:p>
            <w:pPr>
              <w:spacing w:after="20"/>
            </w:pPr>
            <w:r/>
            <w:r>
              <w:rPr>
                <w:rFonts w:ascii="Arial" w:hAnsi="Arial" w:eastAsia="Arial"/>
                <w:color w:val="26364D"/>
                <w:sz w:val="16"/>
              </w:rPr>
              <w:t>SUM(refund_amount) / SUM(net_amount).</w:t>
            </w:r>
          </w:p>
        </w:tc>
        <w:tc>
          <w:tcPr>
            <w:tcW w:type="dxa" w:w="3600"/>
            <w:vAlign w:val="center"/>
          </w:tcPr>
          <w:p>
            <w:pPr>
              <w:spacing w:after="20"/>
            </w:pPr>
            <w:r/>
            <w:r>
              <w:rPr>
                <w:rFonts w:ascii="Arial" w:hAnsi="Arial" w:eastAsia="Arial"/>
                <w:color w:val="26364D"/>
                <w:sz w:val="16"/>
              </w:rPr>
              <w:t>Đặt ngưỡng cảnh báo sau khi thống nhất quy tắc tính.</w:t>
            </w:r>
          </w:p>
        </w:tc>
      </w:tr>
    </w:tbl>
    <w:p>
      <w:pPr>
        <w:spacing w:after="0"/>
      </w:pPr>
    </w:p>
    <w:p>
      <w:r>
        <w:t>KPI cần có kỳ đo, chủ sở hữu và ngưỡng rõ ràng. Không nên tự gán ngưỡng khi chưa có dữ liệu chuẩn hoặc mục tiêu quản lý; có thể để ngưỡng là mục tiêu do doanh nghiệp phê duyệt.</w:t>
      </w:r>
    </w:p>
    <w:p>
      <w:pPr>
        <w:pStyle w:val="Heading1"/>
      </w:pPr>
      <w:r>
        <w:t>5. Ứng dụng cho kế hoạch kinh doanh</w:t>
      </w:r>
    </w:p>
    <w:p>
      <w:pPr>
        <w:pStyle w:val="ListBullet"/>
      </w:pPr>
      <w:r>
        <w:t>Dùng doanh thu dự báo theo tháng làm cơ sở đề xuất chỉ tiêu kinh doanh cho 3–6 tháng tới.</w:t>
      </w:r>
    </w:p>
    <w:p>
      <w:pPr>
        <w:pStyle w:val="ListBullet"/>
      </w:pPr>
      <w:r>
        <w:t>Phân tích theo sản phẩm hoặc danh mục qua DIM_PRODUCT để hỗ trợ kế hoạch nhập hàng.</w:t>
      </w:r>
    </w:p>
    <w:p>
      <w:pPr>
        <w:pStyle w:val="ListBullet"/>
      </w:pPr>
      <w:r>
        <w:t>Đối chiếu thực tế với dự báo mỗi tháng để cập nhật dự báo và kế hoạch marketing.</w:t>
      </w:r>
    </w:p>
    <w:p>
      <w:pPr>
        <w:pStyle w:val="ListBullet"/>
      </w:pPr>
      <w:r>
        <w:t>Chỉ đề xuất ngân sách marketing khi có thêm dữ liệu chi phí hoặc hiệu quả chiến dịch; doanh thu đơn thuần chưa đủ để xác định ngân sách tối ưu.</w:t>
      </w:r>
    </w:p>
    <w:p>
      <w:pPr>
        <w:pStyle w:val="Heading1"/>
      </w:pPr>
      <w:r>
        <w:t>Tóm tắt</w:t>
      </w:r>
    </w:p>
    <w:p>
      <w:r>
        <w:t>FACT_SALES_RETURN cung cấp các Measure; DIM_DATE cho phép tổng hợp theo chuỗi thời gian. Các Metric chuyển dữ liệu thành xu hướng và độ sai lệch dự báo. KPI bổ sung mục tiêu và ngưỡng để nhà quản lý theo dõi doanh thu, độ chính xác mô hình và rủi ro hoàn tiền.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E9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4B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E9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Measure Metric và KPI cho Problem Statement 5</dc:title>
  <dc:subject>Dự báo xu hướng doanh thu theo tháng trong thương mại điện tử</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