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Create index.html file: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1695450" cy="183832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&lt;html&gt;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&lt;head&gt;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&lt;/head&gt;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&lt;body&gt;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&lt;script src="</w:t>
      </w: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./dist/main.js</w:t>
      </w:r>
      <w:r>
        <w:rPr>
          <w:rFonts w:ascii="Comic Sans MS" w:hAnsi="Comic Sans MS" w:eastAsia="Comic Sans MS"/>
          <w:sz w:val="24"/>
          <w:szCs w:val="24"/>
        </w:rPr>
        <w:t>"&gt;&lt;/script&gt;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&lt;/body&gt;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&lt;/html&gt;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Once the file opened, the entry (index.js) will run: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57800" cy="1905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