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759" w:rsidRPr="00714759" w:rsidRDefault="00714759" w:rsidP="00714759">
      <w:pPr>
        <w:pStyle w:val="Nadpis3"/>
        <w:rPr>
          <w:color w:val="auto"/>
        </w:rPr>
      </w:pPr>
      <w:bookmarkStart w:id="0" w:name="_Toc501390100"/>
      <w:bookmarkStart w:id="1" w:name="__RefHeading___Toc2730_2339991646"/>
      <w:r w:rsidRPr="00714759">
        <w:rPr>
          <w:color w:val="auto"/>
        </w:rPr>
        <w:t>ARP</w:t>
      </w:r>
      <w:bookmarkEnd w:id="0"/>
      <w:bookmarkEnd w:id="1"/>
    </w:p>
    <w:p w:rsidR="00714759" w:rsidRPr="00714759" w:rsidRDefault="00714759" w:rsidP="00714759">
      <w:pPr>
        <w:pStyle w:val="Odstavecseseznamem"/>
        <w:numPr>
          <w:ilvl w:val="0"/>
          <w:numId w:val="2"/>
        </w:numPr>
      </w:pPr>
      <w:r w:rsidRPr="00714759">
        <w:t xml:space="preserve">zkr. pro </w:t>
      </w:r>
      <w:proofErr w:type="spellStart"/>
      <w:r w:rsidRPr="00714759">
        <w:t>Address</w:t>
      </w:r>
      <w:proofErr w:type="spellEnd"/>
      <w:r w:rsidRPr="00714759">
        <w:t xml:space="preserve"> </w:t>
      </w:r>
      <w:proofErr w:type="spellStart"/>
      <w:r w:rsidRPr="00714759">
        <w:t>Resolution</w:t>
      </w:r>
      <w:proofErr w:type="spellEnd"/>
      <w:r w:rsidRPr="00714759">
        <w:t xml:space="preserve"> </w:t>
      </w:r>
      <w:proofErr w:type="spellStart"/>
      <w:r w:rsidRPr="00714759">
        <w:t>Protocol</w:t>
      </w:r>
      <w:proofErr w:type="spellEnd"/>
    </w:p>
    <w:p w:rsidR="00714759" w:rsidRPr="00714759" w:rsidRDefault="00714759" w:rsidP="00714759">
      <w:pPr>
        <w:pStyle w:val="Odstavecseseznamem"/>
        <w:numPr>
          <w:ilvl w:val="0"/>
          <w:numId w:val="3"/>
        </w:numPr>
      </w:pPr>
      <w:r w:rsidRPr="00714759">
        <w:t>slouží k překladu IP adres na MAC adresy</w:t>
      </w:r>
    </w:p>
    <w:p w:rsidR="00714759" w:rsidRPr="00714759" w:rsidRDefault="00714759" w:rsidP="00714759">
      <w:pPr>
        <w:pStyle w:val="Odstavecseseznamem"/>
        <w:numPr>
          <w:ilvl w:val="0"/>
          <w:numId w:val="3"/>
        </w:numPr>
      </w:pPr>
      <w:r w:rsidRPr="00714759">
        <w:t xml:space="preserve">používá se tam, kde se používá </w:t>
      </w:r>
      <w:proofErr w:type="spellStart"/>
      <w:r w:rsidRPr="00714759">
        <w:t>broadcast</w:t>
      </w:r>
      <w:proofErr w:type="spellEnd"/>
    </w:p>
    <w:p w:rsidR="00714759" w:rsidRPr="00714759" w:rsidRDefault="00714759" w:rsidP="00714759">
      <w:pPr>
        <w:pStyle w:val="Nadpis4"/>
        <w:rPr>
          <w:color w:val="auto"/>
        </w:rPr>
      </w:pPr>
      <w:proofErr w:type="spellStart"/>
      <w:r w:rsidRPr="00714759">
        <w:rPr>
          <w:color w:val="auto"/>
        </w:rPr>
        <w:t>Broadcast</w:t>
      </w:r>
      <w:proofErr w:type="spellEnd"/>
    </w:p>
    <w:p w:rsidR="00714759" w:rsidRPr="00714759" w:rsidRDefault="00714759" w:rsidP="00714759">
      <w:pPr>
        <w:pStyle w:val="Odstavecseseznamem"/>
        <w:numPr>
          <w:ilvl w:val="0"/>
          <w:numId w:val="5"/>
        </w:numPr>
      </w:pPr>
      <w:r w:rsidRPr="00714759">
        <w:t>všesměrné vysílání</w:t>
      </w:r>
    </w:p>
    <w:p w:rsidR="00714759" w:rsidRPr="00714759" w:rsidRDefault="00714759" w:rsidP="00714759">
      <w:pPr>
        <w:pStyle w:val="Odstavecseseznamem"/>
        <w:numPr>
          <w:ilvl w:val="0"/>
          <w:numId w:val="6"/>
        </w:numPr>
      </w:pPr>
      <w:r w:rsidRPr="00714759">
        <w:t>dotaz se pošle všem zařízením v síti a odpoví na něj uzel, který pozná svoji IP adresu</w:t>
      </w:r>
    </w:p>
    <w:p w:rsidR="00714759" w:rsidRPr="00714759" w:rsidRDefault="00714759" w:rsidP="00714759">
      <w:pPr>
        <w:pStyle w:val="Nadpis3"/>
        <w:rPr>
          <w:color w:val="auto"/>
        </w:rPr>
      </w:pPr>
      <w:bookmarkStart w:id="2" w:name="_Toc501390101"/>
      <w:bookmarkStart w:id="3" w:name="__RefHeading___Toc2732_2339991646"/>
      <w:r w:rsidRPr="00714759">
        <w:rPr>
          <w:color w:val="auto"/>
        </w:rPr>
        <w:t>IGMP</w:t>
      </w:r>
      <w:bookmarkEnd w:id="2"/>
      <w:bookmarkEnd w:id="3"/>
    </w:p>
    <w:p w:rsidR="00714759" w:rsidRPr="00714759" w:rsidRDefault="00714759" w:rsidP="00714759">
      <w:pPr>
        <w:pStyle w:val="Odstavecseseznamem"/>
        <w:numPr>
          <w:ilvl w:val="0"/>
          <w:numId w:val="8"/>
        </w:numPr>
      </w:pPr>
      <w:r w:rsidRPr="00714759">
        <w:t xml:space="preserve">Internet Group Management </w:t>
      </w:r>
      <w:proofErr w:type="spellStart"/>
      <w:r w:rsidRPr="00714759">
        <w:t>Protocol</w:t>
      </w:r>
      <w:proofErr w:type="spellEnd"/>
    </w:p>
    <w:p w:rsidR="00714759" w:rsidRPr="00714759" w:rsidRDefault="00714759" w:rsidP="00714759">
      <w:pPr>
        <w:pStyle w:val="Odstavecseseznamem"/>
        <w:numPr>
          <w:ilvl w:val="0"/>
          <w:numId w:val="9"/>
        </w:numPr>
      </w:pPr>
      <w:r w:rsidRPr="00714759">
        <w:t xml:space="preserve">umožňuje </w:t>
      </w:r>
      <w:proofErr w:type="spellStart"/>
      <w:r w:rsidRPr="00714759">
        <w:t>vícesměrové</w:t>
      </w:r>
      <w:proofErr w:type="spellEnd"/>
      <w:r w:rsidRPr="00714759">
        <w:t xml:space="preserve"> vysílání – </w:t>
      </w:r>
      <w:proofErr w:type="spellStart"/>
      <w:r w:rsidRPr="00714759">
        <w:t>multicast</w:t>
      </w:r>
      <w:proofErr w:type="spellEnd"/>
    </w:p>
    <w:p w:rsidR="00714759" w:rsidRPr="00714759" w:rsidRDefault="00714759" w:rsidP="00714759">
      <w:pPr>
        <w:pStyle w:val="Odstavecseseznamem"/>
        <w:numPr>
          <w:ilvl w:val="0"/>
          <w:numId w:val="9"/>
        </w:numPr>
      </w:pPr>
      <w:r w:rsidRPr="00714759">
        <w:t>pakety IGMP jsou baleny do IP paketů</w:t>
      </w:r>
    </w:p>
    <w:p w:rsidR="00714759" w:rsidRPr="00714759" w:rsidRDefault="00714759" w:rsidP="00714759">
      <w:pPr>
        <w:pStyle w:val="Odstavecseseznamem"/>
        <w:numPr>
          <w:ilvl w:val="0"/>
          <w:numId w:val="9"/>
        </w:numPr>
      </w:pPr>
      <w:r w:rsidRPr="00714759">
        <w:t>slouží pro výměnu informací o členství ve skupině</w:t>
      </w:r>
    </w:p>
    <w:p w:rsidR="00714759" w:rsidRPr="00714759" w:rsidRDefault="00714759" w:rsidP="00714759">
      <w:pPr>
        <w:pStyle w:val="Nadpis2"/>
      </w:pPr>
      <w:bookmarkStart w:id="4" w:name="_Toc501390102"/>
      <w:bookmarkStart w:id="5" w:name="__RefHeading___Toc2734_2339991646"/>
      <w:r w:rsidRPr="00714759">
        <w:t>3. Transportní vrstva</w:t>
      </w:r>
      <w:bookmarkEnd w:id="4"/>
      <w:bookmarkEnd w:id="5"/>
    </w:p>
    <w:p w:rsidR="00714759" w:rsidRPr="00714759" w:rsidRDefault="00714759" w:rsidP="00714759">
      <w:pPr>
        <w:pStyle w:val="Odstavecseseznamem"/>
        <w:numPr>
          <w:ilvl w:val="0"/>
          <w:numId w:val="11"/>
        </w:numPr>
      </w:pPr>
      <w:r w:rsidRPr="00714759">
        <w:t>mění charakter služeb</w:t>
      </w:r>
    </w:p>
    <w:p w:rsidR="00714759" w:rsidRPr="00714759" w:rsidRDefault="00714759" w:rsidP="00714759">
      <w:pPr>
        <w:pStyle w:val="Nadpis3"/>
        <w:rPr>
          <w:color w:val="auto"/>
        </w:rPr>
      </w:pPr>
      <w:bookmarkStart w:id="6" w:name="_Toc501390103"/>
      <w:bookmarkStart w:id="7" w:name="__RefHeading___Toc2736_2339991646"/>
      <w:r w:rsidRPr="00714759">
        <w:rPr>
          <w:color w:val="auto"/>
        </w:rPr>
        <w:t>UDP</w:t>
      </w:r>
      <w:bookmarkEnd w:id="6"/>
      <w:bookmarkEnd w:id="7"/>
    </w:p>
    <w:p w:rsidR="00714759" w:rsidRPr="00714759" w:rsidRDefault="00714759" w:rsidP="00714759">
      <w:pPr>
        <w:pStyle w:val="Odstavecseseznamem"/>
        <w:numPr>
          <w:ilvl w:val="0"/>
          <w:numId w:val="12"/>
        </w:numPr>
      </w:pPr>
      <w:r w:rsidRPr="00714759">
        <w:t xml:space="preserve">User Datagram </w:t>
      </w:r>
      <w:proofErr w:type="spellStart"/>
      <w:r w:rsidRPr="00714759">
        <w:t>Protocol</w:t>
      </w:r>
      <w:proofErr w:type="spellEnd"/>
    </w:p>
    <w:p w:rsidR="00714759" w:rsidRPr="00714759" w:rsidRDefault="00714759" w:rsidP="00714759">
      <w:pPr>
        <w:pStyle w:val="Odstavecseseznamem"/>
        <w:numPr>
          <w:ilvl w:val="0"/>
          <w:numId w:val="12"/>
        </w:numPr>
      </w:pPr>
      <w:r w:rsidRPr="00714759">
        <w:t xml:space="preserve">přenáší </w:t>
      </w:r>
      <w:r w:rsidRPr="00714759">
        <w:rPr>
          <w:b/>
        </w:rPr>
        <w:t>datagramy</w:t>
      </w:r>
      <w:r w:rsidRPr="00714759">
        <w:t xml:space="preserve"> – pakety nespolehlivého přenosu</w:t>
      </w:r>
    </w:p>
    <w:p w:rsidR="00714759" w:rsidRPr="00714759" w:rsidRDefault="00714759" w:rsidP="00714759">
      <w:pPr>
        <w:pStyle w:val="Odstavecseseznamem"/>
        <w:numPr>
          <w:ilvl w:val="0"/>
          <w:numId w:val="12"/>
        </w:numPr>
      </w:pPr>
      <w:r w:rsidRPr="00714759">
        <w:t xml:space="preserve">funguje </w:t>
      </w:r>
      <w:proofErr w:type="spellStart"/>
      <w:r w:rsidRPr="00714759">
        <w:t>nespojovaně</w:t>
      </w:r>
      <w:proofErr w:type="spellEnd"/>
      <w:r w:rsidRPr="00714759">
        <w:t xml:space="preserve"> a nespolehlivě</w:t>
      </w:r>
    </w:p>
    <w:p w:rsidR="00714759" w:rsidRPr="00714759" w:rsidRDefault="00714759" w:rsidP="00714759">
      <w:pPr>
        <w:pStyle w:val="Odstavecseseznamem"/>
        <w:numPr>
          <w:ilvl w:val="0"/>
          <w:numId w:val="12"/>
        </w:numPr>
      </w:pPr>
      <w:r w:rsidRPr="00714759">
        <w:t>ztráty a duplicity nejsou ošetřeny</w:t>
      </w:r>
    </w:p>
    <w:p w:rsidR="00714759" w:rsidRPr="00714759" w:rsidRDefault="00714759" w:rsidP="00714759">
      <w:pPr>
        <w:pStyle w:val="Odstavecseseznamem"/>
        <w:numPr>
          <w:ilvl w:val="0"/>
          <w:numId w:val="12"/>
        </w:numPr>
      </w:pPr>
      <w:r w:rsidRPr="00714759">
        <w:t>rozlišování služeb pomocí portů</w:t>
      </w:r>
    </w:p>
    <w:p w:rsidR="00714759" w:rsidRPr="00714759" w:rsidRDefault="00714759" w:rsidP="00714759">
      <w:pPr>
        <w:pStyle w:val="Odstavecseseznamem"/>
        <w:numPr>
          <w:ilvl w:val="1"/>
          <w:numId w:val="12"/>
        </w:numPr>
      </w:pPr>
      <w:r w:rsidRPr="00714759">
        <w:t>HTTP – 80</w:t>
      </w:r>
    </w:p>
    <w:p w:rsidR="00714759" w:rsidRPr="00714759" w:rsidRDefault="00714759" w:rsidP="00714759">
      <w:pPr>
        <w:pStyle w:val="Odstavecseseznamem"/>
        <w:numPr>
          <w:ilvl w:val="1"/>
          <w:numId w:val="12"/>
        </w:numPr>
      </w:pPr>
      <w:r w:rsidRPr="00714759">
        <w:t>DNS – 53</w:t>
      </w:r>
    </w:p>
    <w:p w:rsidR="00714759" w:rsidRPr="00714759" w:rsidRDefault="00714759" w:rsidP="00714759">
      <w:pPr>
        <w:pStyle w:val="Odstavecseseznamem"/>
        <w:numPr>
          <w:ilvl w:val="1"/>
          <w:numId w:val="12"/>
        </w:numPr>
      </w:pPr>
      <w:r w:rsidRPr="00714759">
        <w:t>FTP – 20, 21</w:t>
      </w:r>
    </w:p>
    <w:p w:rsidR="00714759" w:rsidRPr="00714759" w:rsidRDefault="00714759" w:rsidP="00714759">
      <w:pPr>
        <w:pStyle w:val="Odstavecseseznamem"/>
        <w:numPr>
          <w:ilvl w:val="0"/>
          <w:numId w:val="12"/>
        </w:numPr>
      </w:pPr>
      <w:r w:rsidRPr="00714759">
        <w:t>IP adresa + číslo portu specifikuje program</w:t>
      </w:r>
    </w:p>
    <w:p w:rsidR="00714759" w:rsidRPr="00714759" w:rsidRDefault="00714759" w:rsidP="00714759">
      <w:pPr>
        <w:pStyle w:val="Odstavecseseznamem"/>
        <w:numPr>
          <w:ilvl w:val="0"/>
          <w:numId w:val="12"/>
        </w:numPr>
      </w:pPr>
      <w:proofErr w:type="spellStart"/>
      <w:r w:rsidRPr="00714759">
        <w:t>Socket</w:t>
      </w:r>
      <w:proofErr w:type="spellEnd"/>
      <w:r w:rsidRPr="00714759">
        <w:t xml:space="preserve"> – koncová spojení – kombinace IP adresa + číslo portu + použitý protokol</w:t>
      </w:r>
    </w:p>
    <w:p w:rsidR="00714759" w:rsidRPr="00714759" w:rsidRDefault="00714759" w:rsidP="00714759">
      <w:pPr>
        <w:pStyle w:val="Nadpis3"/>
        <w:rPr>
          <w:color w:val="auto"/>
        </w:rPr>
      </w:pPr>
      <w:bookmarkStart w:id="8" w:name="_Toc501390104"/>
      <w:bookmarkStart w:id="9" w:name="__RefHeading___Toc2738_2339991646"/>
      <w:r w:rsidRPr="00714759">
        <w:rPr>
          <w:color w:val="auto"/>
        </w:rPr>
        <w:t>TCP</w:t>
      </w:r>
      <w:bookmarkEnd w:id="8"/>
      <w:bookmarkEnd w:id="9"/>
    </w:p>
    <w:p w:rsidR="00714759" w:rsidRPr="00714759" w:rsidRDefault="00714759" w:rsidP="00714759">
      <w:pPr>
        <w:pStyle w:val="Odstavecseseznamem"/>
        <w:numPr>
          <w:ilvl w:val="0"/>
          <w:numId w:val="14"/>
        </w:numPr>
      </w:pPr>
      <w:proofErr w:type="spellStart"/>
      <w:r w:rsidRPr="00714759">
        <w:t>Transmission</w:t>
      </w:r>
      <w:proofErr w:type="spellEnd"/>
      <w:r w:rsidRPr="00714759">
        <w:t xml:space="preserve"> </w:t>
      </w:r>
      <w:proofErr w:type="spellStart"/>
      <w:r w:rsidRPr="00714759">
        <w:t>Control</w:t>
      </w:r>
      <w:proofErr w:type="spellEnd"/>
      <w:r w:rsidRPr="00714759">
        <w:t xml:space="preserve"> </w:t>
      </w:r>
      <w:proofErr w:type="spellStart"/>
      <w:r w:rsidRPr="00714759">
        <w:t>Protocol</w:t>
      </w:r>
      <w:proofErr w:type="spellEnd"/>
    </w:p>
    <w:p w:rsidR="00714759" w:rsidRPr="00714759" w:rsidRDefault="00714759" w:rsidP="00714759">
      <w:pPr>
        <w:pStyle w:val="Odstavecseseznamem"/>
        <w:numPr>
          <w:ilvl w:val="0"/>
          <w:numId w:val="15"/>
        </w:numPr>
      </w:pPr>
      <w:r w:rsidRPr="00714759">
        <w:t xml:space="preserve">přenáší </w:t>
      </w:r>
      <w:r w:rsidRPr="00714759">
        <w:rPr>
          <w:b/>
        </w:rPr>
        <w:t>pakety</w:t>
      </w:r>
    </w:p>
    <w:p w:rsidR="00714759" w:rsidRPr="00714759" w:rsidRDefault="00714759" w:rsidP="00714759">
      <w:pPr>
        <w:pStyle w:val="Odstavecseseznamem"/>
        <w:numPr>
          <w:ilvl w:val="0"/>
          <w:numId w:val="15"/>
        </w:numPr>
      </w:pPr>
      <w:r w:rsidRPr="00714759">
        <w:t>spojovaná, spolehlivá komunikace</w:t>
      </w:r>
    </w:p>
    <w:p w:rsidR="00714759" w:rsidRPr="00714759" w:rsidRDefault="00714759" w:rsidP="00714759">
      <w:pPr>
        <w:pStyle w:val="Odstavecseseznamem"/>
        <w:numPr>
          <w:ilvl w:val="0"/>
          <w:numId w:val="15"/>
        </w:numPr>
      </w:pPr>
      <w:r w:rsidRPr="00714759">
        <w:t>musí se navázat spojení s komunikačním partnerem</w:t>
      </w:r>
    </w:p>
    <w:p w:rsidR="00714759" w:rsidRPr="00714759" w:rsidRDefault="00714759" w:rsidP="00714759">
      <w:pPr>
        <w:pStyle w:val="Odstavecseseznamem"/>
        <w:numPr>
          <w:ilvl w:val="0"/>
          <w:numId w:val="15"/>
        </w:numPr>
      </w:pPr>
      <w:r w:rsidRPr="00714759">
        <w:lastRenderedPageBreak/>
        <w:t xml:space="preserve">navázání má 3 fáze – třícestný </w:t>
      </w:r>
      <w:proofErr w:type="spellStart"/>
      <w:r w:rsidRPr="00714759">
        <w:t>handshake</w:t>
      </w:r>
      <w:proofErr w:type="spellEnd"/>
    </w:p>
    <w:p w:rsidR="00714759" w:rsidRPr="00714759" w:rsidRDefault="00714759" w:rsidP="00714759">
      <w:pPr>
        <w:pStyle w:val="Odstavecseseznamem"/>
        <w:numPr>
          <w:ilvl w:val="0"/>
          <w:numId w:val="17"/>
        </w:numPr>
        <w:tabs>
          <w:tab w:val="left" w:pos="2228"/>
        </w:tabs>
      </w:pPr>
      <w:r w:rsidRPr="00714759">
        <w:t>SYN – příznak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SEQ – náhodné číslo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ACK – náhodné číslo</w:t>
      </w:r>
    </w:p>
    <w:p w:rsid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CTL – které kontrolní bity jsou 1</w:t>
      </w:r>
    </w:p>
    <w:p w:rsidR="00714759" w:rsidRPr="00714759" w:rsidRDefault="00714759" w:rsidP="00714759">
      <w:pPr>
        <w:pStyle w:val="Odstavecseseznamem"/>
        <w:tabs>
          <w:tab w:val="left" w:pos="2228"/>
        </w:tabs>
        <w:ind w:left="720"/>
      </w:pPr>
      <w:bookmarkStart w:id="10" w:name="_GoBack"/>
      <w:bookmarkEnd w:id="10"/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následuje přenos dat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ukončení spojení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 xml:space="preserve">protokol vytváří iluzi </w:t>
      </w:r>
      <w:proofErr w:type="spellStart"/>
      <w:r w:rsidRPr="00714759">
        <w:t>streamu</w:t>
      </w:r>
      <w:proofErr w:type="spellEnd"/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 xml:space="preserve">na straně odesílatele, TCP shromažďuje byty do vyrovnávací paměti a po naplnění se data pošlou jako blok – </w:t>
      </w:r>
      <w:r w:rsidRPr="00714759">
        <w:rPr>
          <w:b/>
        </w:rPr>
        <w:t>segment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každý segment má pořadové číslo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aplikace pracuje se souvislým datovým tokem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TCP potvrzuje úspěšně přijatá data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na chyby neupozorňuje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 xml:space="preserve">pokud klient neobdrží potvrzení do </w:t>
      </w:r>
      <w:proofErr w:type="spellStart"/>
      <w:r w:rsidRPr="00714759">
        <w:t>timeoutu</w:t>
      </w:r>
      <w:proofErr w:type="spellEnd"/>
      <w:r w:rsidRPr="00714759">
        <w:t>, začne data odesílat znovu</w:t>
      </w:r>
    </w:p>
    <w:p w:rsidR="00714759" w:rsidRPr="00714759" w:rsidRDefault="00714759" w:rsidP="00714759">
      <w:pPr>
        <w:pStyle w:val="Odstavecseseznamem"/>
        <w:numPr>
          <w:ilvl w:val="0"/>
          <w:numId w:val="18"/>
        </w:numPr>
        <w:tabs>
          <w:tab w:val="left" w:pos="2228"/>
        </w:tabs>
      </w:pPr>
      <w:r w:rsidRPr="00714759">
        <w:t>odesílatel může začít odesílat další data bez potvrzení přijetí předchozích dat – metoda okénka</w:t>
      </w:r>
    </w:p>
    <w:p w:rsidR="00714759" w:rsidRPr="00714759" w:rsidRDefault="00714759" w:rsidP="00714759">
      <w:pPr>
        <w:pStyle w:val="Nadpis2"/>
      </w:pPr>
      <w:bookmarkStart w:id="11" w:name="_Toc501390105"/>
      <w:bookmarkStart w:id="12" w:name="__RefHeading___Toc2740_2339991646"/>
      <w:r w:rsidRPr="00714759">
        <w:t>4. Aplikační vrstva</w:t>
      </w:r>
      <w:bookmarkEnd w:id="11"/>
      <w:bookmarkEnd w:id="12"/>
    </w:p>
    <w:p w:rsidR="00714759" w:rsidRPr="00714759" w:rsidRDefault="00714759" w:rsidP="00714759">
      <w:pPr>
        <w:pStyle w:val="Odstavecseseznamem"/>
        <w:numPr>
          <w:ilvl w:val="0"/>
          <w:numId w:val="20"/>
        </w:numPr>
      </w:pPr>
      <w:r w:rsidRPr="00714759">
        <w:t>služby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elektronická pošta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vzdálené přihlašování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správa sítě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sdílení souborů</w:t>
      </w:r>
    </w:p>
    <w:p w:rsidR="00714759" w:rsidRPr="00714759" w:rsidRDefault="00714759" w:rsidP="00714759">
      <w:pPr>
        <w:pStyle w:val="Odstavecseseznamem"/>
        <w:numPr>
          <w:ilvl w:val="0"/>
          <w:numId w:val="21"/>
        </w:numPr>
      </w:pPr>
      <w:r w:rsidRPr="00714759">
        <w:t>protokoly služeb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HTTP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FTP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WWW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Telnet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lastRenderedPageBreak/>
        <w:t>SSH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SMTP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IMAP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POP3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DNS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DHCP</w:t>
      </w:r>
    </w:p>
    <w:p w:rsidR="00714759" w:rsidRPr="00714759" w:rsidRDefault="00714759" w:rsidP="00714759">
      <w:pPr>
        <w:pStyle w:val="Odstavecseseznamem"/>
        <w:numPr>
          <w:ilvl w:val="1"/>
          <w:numId w:val="21"/>
        </w:numPr>
      </w:pPr>
      <w:r w:rsidRPr="00714759">
        <w:t>…</w:t>
      </w:r>
    </w:p>
    <w:p w:rsidR="00B74A84" w:rsidRPr="00714759" w:rsidRDefault="00B74A84"/>
    <w:sectPr w:rsidR="00B74A84" w:rsidRPr="0071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1E"/>
    <w:multiLevelType w:val="multilevel"/>
    <w:tmpl w:val="F686291A"/>
    <w:styleLink w:val="WWNum6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AC4584"/>
    <w:multiLevelType w:val="multilevel"/>
    <w:tmpl w:val="3DE4D452"/>
    <w:styleLink w:val="WWNum6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56C50E8"/>
    <w:multiLevelType w:val="multilevel"/>
    <w:tmpl w:val="115C6CD6"/>
    <w:styleLink w:val="WWNum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A3024FA"/>
    <w:multiLevelType w:val="multilevel"/>
    <w:tmpl w:val="9BF6AF6E"/>
    <w:styleLink w:val="WWNum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EC968CB"/>
    <w:multiLevelType w:val="multilevel"/>
    <w:tmpl w:val="26444AD6"/>
    <w:styleLink w:val="WWNum6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74E0370"/>
    <w:multiLevelType w:val="multilevel"/>
    <w:tmpl w:val="0EFC1464"/>
    <w:styleLink w:val="WWNum7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AF29A2"/>
    <w:multiLevelType w:val="multilevel"/>
    <w:tmpl w:val="B0B0DBAE"/>
    <w:styleLink w:val="WWNum6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5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59"/>
    <w:rsid w:val="006E3C5B"/>
    <w:rsid w:val="00714759"/>
    <w:rsid w:val="00B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7E74"/>
  <w15:chartTrackingRefBased/>
  <w15:docId w15:val="{A826B822-87C6-4772-9A55-890C8B77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1475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</w:rPr>
  </w:style>
  <w:style w:type="paragraph" w:styleId="Nadpis1">
    <w:name w:val="heading 1"/>
    <w:basedOn w:val="Normln"/>
    <w:next w:val="Normln"/>
    <w:link w:val="Nadpis1Char"/>
    <w:uiPriority w:val="9"/>
    <w:qFormat/>
    <w:rsid w:val="00714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Standard"/>
    <w:link w:val="Nadpis2Char"/>
    <w:uiPriority w:val="9"/>
    <w:semiHidden/>
    <w:unhideWhenUsed/>
    <w:qFormat/>
    <w:rsid w:val="00714759"/>
    <w:pPr>
      <w:keepNext/>
      <w:keepLines/>
      <w:spacing w:before="200" w:after="0"/>
      <w:outlineLvl w:val="1"/>
    </w:pPr>
    <w:rPr>
      <w:rFonts w:ascii="Arial" w:hAnsi="Arial"/>
      <w:b/>
      <w:bCs/>
      <w:sz w:val="26"/>
      <w:szCs w:val="26"/>
    </w:rPr>
  </w:style>
  <w:style w:type="paragraph" w:styleId="Nadpis3">
    <w:name w:val="heading 3"/>
    <w:basedOn w:val="Standard"/>
    <w:link w:val="Nadpis3Char"/>
    <w:uiPriority w:val="9"/>
    <w:semiHidden/>
    <w:unhideWhenUsed/>
    <w:qFormat/>
    <w:rsid w:val="00714759"/>
    <w:pPr>
      <w:keepNext/>
      <w:keepLines/>
      <w:spacing w:before="200" w:after="0"/>
      <w:outlineLvl w:val="2"/>
    </w:pPr>
    <w:rPr>
      <w:rFonts w:ascii="Arial" w:hAnsi="Arial"/>
      <w:b/>
      <w:bCs/>
      <w:color w:val="4F81BD"/>
    </w:rPr>
  </w:style>
  <w:style w:type="paragraph" w:styleId="Nadpis4">
    <w:name w:val="heading 4"/>
    <w:basedOn w:val="Standard"/>
    <w:link w:val="Nadpis4Char"/>
    <w:uiPriority w:val="9"/>
    <w:semiHidden/>
    <w:unhideWhenUsed/>
    <w:qFormat/>
    <w:rsid w:val="00714759"/>
    <w:pPr>
      <w:keepNext/>
      <w:keepLines/>
      <w:spacing w:before="40" w:after="0"/>
      <w:outlineLvl w:val="3"/>
    </w:pPr>
    <w:rPr>
      <w:rFonts w:ascii="Arial" w:hAnsi="Arial"/>
      <w:i/>
      <w:iCs/>
      <w:color w:val="365F9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714759"/>
    <w:rPr>
      <w:rFonts w:ascii="Arial" w:eastAsia="Times New Roman" w:hAnsi="Arial" w:cs="Tahoma"/>
      <w:b/>
      <w:bCs/>
      <w:kern w:val="3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4759"/>
    <w:rPr>
      <w:rFonts w:ascii="Arial" w:eastAsia="Times New Roman" w:hAnsi="Arial" w:cs="Tahoma"/>
      <w:b/>
      <w:bCs/>
      <w:color w:val="4F81BD"/>
      <w:kern w:val="3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4759"/>
    <w:rPr>
      <w:rFonts w:ascii="Arial" w:eastAsia="Times New Roman" w:hAnsi="Arial" w:cs="Tahoma"/>
      <w:i/>
      <w:iCs/>
      <w:color w:val="365F91"/>
      <w:kern w:val="3"/>
    </w:rPr>
  </w:style>
  <w:style w:type="paragraph" w:customStyle="1" w:styleId="Standard">
    <w:name w:val="Standard"/>
    <w:rsid w:val="00714759"/>
    <w:pPr>
      <w:suppressAutoHyphens/>
      <w:autoSpaceDN w:val="0"/>
      <w:spacing w:after="200" w:line="276" w:lineRule="auto"/>
    </w:pPr>
    <w:rPr>
      <w:rFonts w:ascii="Times New Roman" w:eastAsia="Times New Roman" w:hAnsi="Times New Roman" w:cs="Tahoma"/>
      <w:kern w:val="3"/>
    </w:rPr>
  </w:style>
  <w:style w:type="paragraph" w:styleId="Odstavecseseznamem">
    <w:name w:val="List Paragraph"/>
    <w:basedOn w:val="Standard"/>
    <w:qFormat/>
    <w:rsid w:val="00714759"/>
  </w:style>
  <w:style w:type="numbering" w:customStyle="1" w:styleId="WWNum65">
    <w:name w:val="WWNum65"/>
    <w:rsid w:val="00714759"/>
    <w:pPr>
      <w:numPr>
        <w:numId w:val="1"/>
      </w:numPr>
    </w:pPr>
  </w:style>
  <w:style w:type="numbering" w:customStyle="1" w:styleId="WWNum66">
    <w:name w:val="WWNum66"/>
    <w:rsid w:val="00714759"/>
    <w:pPr>
      <w:numPr>
        <w:numId w:val="4"/>
      </w:numPr>
    </w:pPr>
  </w:style>
  <w:style w:type="numbering" w:customStyle="1" w:styleId="WWNum68">
    <w:name w:val="WWNum68"/>
    <w:rsid w:val="00714759"/>
    <w:pPr>
      <w:numPr>
        <w:numId w:val="7"/>
      </w:numPr>
    </w:pPr>
  </w:style>
  <w:style w:type="numbering" w:customStyle="1" w:styleId="WWNum67">
    <w:name w:val="WWNum67"/>
    <w:rsid w:val="00714759"/>
    <w:pPr>
      <w:numPr>
        <w:numId w:val="10"/>
      </w:numPr>
    </w:pPr>
  </w:style>
  <w:style w:type="numbering" w:customStyle="1" w:styleId="WWNum69">
    <w:name w:val="WWNum69"/>
    <w:rsid w:val="00714759"/>
    <w:pPr>
      <w:numPr>
        <w:numId w:val="13"/>
      </w:numPr>
    </w:pPr>
  </w:style>
  <w:style w:type="numbering" w:customStyle="1" w:styleId="WWNum70">
    <w:name w:val="WWNum70"/>
    <w:rsid w:val="00714759"/>
    <w:pPr>
      <w:numPr>
        <w:numId w:val="16"/>
      </w:numPr>
    </w:pPr>
  </w:style>
  <w:style w:type="numbering" w:customStyle="1" w:styleId="WWNum71">
    <w:name w:val="WWNum71"/>
    <w:rsid w:val="00714759"/>
    <w:pPr>
      <w:numPr>
        <w:numId w:val="19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714759"/>
    <w:rPr>
      <w:rFonts w:asciiTheme="majorHAnsi" w:eastAsiaTheme="majorEastAsia" w:hAnsiTheme="majorHAnsi" w:cstheme="majorBidi"/>
      <w:kern w:val="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2018-11-07T17:12:00Z</dcterms:created>
  <dcterms:modified xsi:type="dcterms:W3CDTF">2018-11-07T17:15:00Z</dcterms:modified>
</cp:coreProperties>
</file>