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190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857375"/>
                    </a:xfrm>
                    <a:prstGeom prst="rect">
                      <a:avLst/>
                    </a:prstGeom>
                  </pic:spPr>
                </pic:pic>
              </a:graphicData>
            </a:graphic>
          </wp:inline>
        </w:drawing>
      </w:r>
    </w:p>
    <w:p>
      <w:pPr>
        <w:spacing w:before="600"/>
        <w:jc w:val="center"/>
      </w:pPr>
      <w:r>
        <w:rPr>
          <w:b/>
          <w:bCs/>
          <w:color w:val="1E3A8A"/>
          <w:sz w:val="44"/>
          <w:szCs w:val="44"/>
        </w:rPr>
        <w:t xml:space="preserve">CAHIER DES CHARGES FONCTIONNEL</w:t>
      </w:r>
    </w:p>
    <w:p>
      <w:pPr>
        <w:spacing w:before="200"/>
        <w:jc w:val="center"/>
      </w:pPr>
      <w:r>
        <w:rPr>
          <w:color w:val="1D4ED8"/>
          <w:sz w:val="28"/>
          <w:szCs w:val="28"/>
        </w:rPr>
        <w:t xml:space="preserve">Plateforme SecurTrajet — Suivi familial GPS &amp; sécurité</w:t>
      </w:r>
    </w:p>
    <w:p>
      <w:pPr>
        <w:spacing w:before="7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1238250"/>
                    </a:xfrm>
                    <a:prstGeom prst="rect">
                      <a:avLst/>
                    </a:prstGeom>
                  </pic:spPr>
                </pic:pic>
              </a:graphicData>
            </a:graphic>
          </wp:inline>
        </w:drawing>
      </w:r>
    </w:p>
    <w:p>
      <w:pPr>
        <w:spacing w:before="900"/>
        <w:jc w:val="center"/>
      </w:pPr>
      <w:r>
        <w:rPr>
          <w:color w:val="64748B"/>
          <w:sz w:val="22"/>
          <w:szCs w:val="22"/>
        </w:rPr>
        <w:t xml:space="preserve">Préparé par Nova Tech Solution SARL</w:t>
      </w:r>
    </w:p>
    <w:p>
      <w:pPr>
        <w:spacing w:before="60"/>
        <w:jc w:val="center"/>
      </w:pPr>
      <w:r>
        <w:rPr>
          <w:color w:val="64748B"/>
          <w:sz w:val="20"/>
          <w:szCs w:val="20"/>
        </w:rPr>
        <w:t xml:space="preserve">Conçu et développé par Honoré Djomo Kamga — Développeur Fullstack</w:t>
      </w:r>
    </w:p>
    <w:p>
      <w:pPr>
        <w:spacing w:before="100"/>
        <w:jc w:val="center"/>
      </w:pPr>
      <w:r>
        <w:rPr>
          <w:color w:val="64748B"/>
          <w:sz w:val="20"/>
          <w:szCs w:val="20"/>
        </w:rPr>
        <w:t xml:space="preserve">28 août 2026</w:t>
      </w:r>
    </w:p>
    <w:p>
      <w:pPr>
        <w:spacing w:before="100"/>
        <w:jc w:val="center"/>
      </w:pPr>
      <w:r>
        <w:rPr>
          <w:i/>
          <w:iCs/>
          <w:color w:val="64748B"/>
          <w:sz w:val="18"/>
          <w:szCs w:val="18"/>
        </w:rPr>
        <w:t xml:space="preserve">Document confidentiel — usage réservé au client destinataire</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D4ED8" w:sz="12" w:space="4"/>
        </w:pBdr>
        <w:spacing w:after="180" w:before="360"/>
      </w:pPr>
      <w:r>
        <w:rPr>
          <w:b/>
          <w:bCs/>
          <w:color w:val="1E3A8A"/>
          <w:sz w:val="30"/>
          <w:szCs w:val="30"/>
        </w:rPr>
        <w:t xml:space="preserve">1. Présentation du projet</w:t>
      </w:r>
    </w:p>
    <w:p>
      <w:pPr>
        <w:spacing w:after="140" w:line="300"/>
      </w:pPr>
      <w:r>
        <w:rPr>
          <w:sz w:val="21"/>
          <w:szCs w:val="21"/>
        </w:rPr>
        <w:t xml:space="preserve">SecurTrajet est une plateforme web progressive (PWA) de suivi familial GPS et de contrôle parental, permettant à un parent de suivre en temps réel la position de ses enfants, de recevoir des alertes de sécurité, et de gérer un abonnement mensuel via Mobile Money.</w:t>
      </w: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Éditeur</w:t>
            </w:r>
          </w:p>
          <w:p>
            <w:r>
              <w:rPr>
                <w:sz w:val="20"/>
                <w:szCs w:val="20"/>
              </w:rPr>
              <w:t xml:space="preserve">Nova Tech Solution SARL</w:t>
            </w:r>
          </w:p>
        </w:tc>
        <w:tc>
          <w:tcPr>
            <w:tcW w:type="dxa" w:w="4600"/>
          </w:tcPr>
          <w:p>
            <w:r>
              <w:rPr>
                <w:b/>
                <w:bCs/>
                <w:color w:val="1E3A8A"/>
                <w:sz w:val="20"/>
                <w:szCs w:val="20"/>
              </w:rPr>
              <w:t xml:space="preserve">Nom commercial</w:t>
            </w:r>
          </w:p>
          <w:p>
            <w:r>
              <w:rPr>
                <w:sz w:val="20"/>
                <w:szCs w:val="20"/>
              </w:rPr>
              <w:t xml:space="preserve">SecurTrajet</w:t>
            </w:r>
          </w:p>
        </w:tc>
      </w:tr>
    </w:tbl>
    <w:p>
      <w:pPr>
        <w:spacing w:before="200"/>
      </w:pP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Type de solution</w:t>
            </w:r>
          </w:p>
          <w:p>
            <w:r>
              <w:rPr>
                <w:sz w:val="20"/>
                <w:szCs w:val="20"/>
              </w:rPr>
              <w:t xml:space="preserve">Application web progressive (PWA)</w:t>
            </w:r>
          </w:p>
        </w:tc>
        <w:tc>
          <w:tcPr>
            <w:tcW w:type="dxa" w:w="4600"/>
          </w:tcPr>
          <w:p>
            <w:r>
              <w:rPr>
                <w:b/>
                <w:bCs/>
                <w:color w:val="1E3A8A"/>
                <w:sz w:val="20"/>
                <w:szCs w:val="20"/>
              </w:rPr>
              <w:t xml:space="preserve">Modèle économique</w:t>
            </w:r>
          </w:p>
          <w:p>
            <w:r>
              <w:rPr>
                <w:sz w:val="20"/>
                <w:szCs w:val="20"/>
              </w:rPr>
              <w:t xml:space="preserve">Essai gratuit 30 jours puis 2 500 FCFA/mois</w:t>
            </w:r>
          </w:p>
        </w:tc>
      </w:tr>
    </w:tbl>
    <w:p>
      <w:pPr>
        <w:spacing w:before="200"/>
      </w:pP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Conception &amp; développement</w:t>
            </w:r>
          </w:p>
          <w:p>
            <w:r>
              <w:rPr>
                <w:sz w:val="20"/>
                <w:szCs w:val="20"/>
              </w:rPr>
              <w:t xml:space="preserve">Honoré Djomo Kamga — Développeur Fullstack</w:t>
            </w:r>
          </w:p>
        </w:tc>
        <w:tc>
          <w:tcPr>
            <w:tcW w:type="dxa" w:w="4600"/>
          </w:tcPr>
          <w:p>
            <w:r>
              <w:rPr>
                <w:b/>
                <w:bCs/>
                <w:color w:val="1E3A8A"/>
                <w:sz w:val="20"/>
                <w:szCs w:val="20"/>
              </w:rPr>
              <w:t xml:space="preserve">Pour le compte de</w:t>
            </w:r>
          </w:p>
          <w:p>
            <w:r>
              <w:rPr>
                <w:sz w:val="20"/>
                <w:szCs w:val="20"/>
              </w:rPr>
              <w:t xml:space="preserve">Nova Tech Solution SARL</w:t>
            </w:r>
          </w:p>
        </w:tc>
      </w:tr>
    </w:tbl>
    <w:p>
      <w:pPr>
        <w:pStyle w:val="Heading1"/>
        <w:pBdr>
          <w:bottom w:val="single" w:color="1D4ED8" w:sz="12" w:space="4"/>
        </w:pBdr>
        <w:spacing w:after="180" w:before="360"/>
      </w:pPr>
      <w:r>
        <w:rPr>
          <w:b/>
          <w:bCs/>
          <w:color w:val="1E3A8A"/>
          <w:sz w:val="30"/>
          <w:szCs w:val="30"/>
        </w:rPr>
        <w:t xml:space="preserve">2. Contexte et objectifs</w:t>
      </w:r>
    </w:p>
    <w:p>
      <w:pPr>
        <w:spacing w:after="140" w:line="300"/>
      </w:pPr>
      <w:r>
        <w:rPr>
          <w:sz w:val="21"/>
          <w:szCs w:val="21"/>
        </w:rPr>
        <w:t xml:space="preserve">Le projet répond à un besoin croissant de sécurité familiale, en particulier dans les zones urbaines, en offrant un outil simple, accessible depuis un navigateur (sans passer obligatoirement par un store d'applications), et installable comme une application native.</w:t>
      </w:r>
    </w:p>
    <w:p>
      <w:pPr>
        <w:pStyle w:val="Heading2"/>
        <w:spacing w:after="140" w:before="260"/>
      </w:pPr>
      <w:r>
        <w:rPr>
          <w:b/>
          <w:bCs/>
          <w:color w:val="1D4ED8"/>
          <w:sz w:val="24"/>
          <w:szCs w:val="24"/>
        </w:rPr>
        <w:t xml:space="preserve">Objectifs principaux</w:t>
      </w:r>
    </w:p>
    <w:p>
      <w:pPr>
        <w:pStyle w:val="ListParagraph"/>
        <w:numPr>
          <w:ilvl w:val="0"/>
          <w:numId w:val="2"/>
        </w:numPr>
        <w:spacing w:after="80"/>
      </w:pPr>
      <w:r>
        <w:rPr>
          <w:sz w:val="21"/>
          <w:szCs w:val="21"/>
        </w:rPr>
        <w:t xml:space="preserve">Permettre à un parent de localiser ses enfants en temps réel.</w:t>
      </w:r>
    </w:p>
    <w:p>
      <w:pPr>
        <w:pStyle w:val="ListParagraph"/>
        <w:numPr>
          <w:ilvl w:val="0"/>
          <w:numId w:val="2"/>
        </w:numPr>
        <w:spacing w:after="80"/>
      </w:pPr>
      <w:r>
        <w:rPr>
          <w:sz w:val="21"/>
          <w:szCs w:val="21"/>
        </w:rPr>
        <w:t xml:space="preserve">Alerter automatiquement en cas de situation à risque (batterie faible, sortie de zone, perte de signal).</w:t>
      </w:r>
    </w:p>
    <w:p>
      <w:pPr>
        <w:pStyle w:val="ListParagraph"/>
        <w:numPr>
          <w:ilvl w:val="0"/>
          <w:numId w:val="2"/>
        </w:numPr>
        <w:spacing w:after="80"/>
      </w:pPr>
      <w:r>
        <w:rPr>
          <w:sz w:val="21"/>
          <w:szCs w:val="21"/>
        </w:rPr>
        <w:t xml:space="preserve">Garantir une isolation stricte des données entre familles.</w:t>
      </w:r>
    </w:p>
    <w:p>
      <w:pPr>
        <w:pStyle w:val="ListParagraph"/>
        <w:numPr>
          <w:ilvl w:val="0"/>
          <w:numId w:val="2"/>
        </w:numPr>
        <w:spacing w:after="80"/>
      </w:pPr>
      <w:r>
        <w:rPr>
          <w:sz w:val="21"/>
          <w:szCs w:val="21"/>
        </w:rPr>
        <w:t xml:space="preserve">Proposer un modèle d'abonnement accessible avec paiement Mobile Money.</w:t>
      </w:r>
    </w:p>
    <w:p>
      <w:pPr>
        <w:pStyle w:val="Heading1"/>
        <w:pBdr>
          <w:bottom w:val="single" w:color="1D4ED8" w:sz="12" w:space="4"/>
        </w:pBdr>
        <w:spacing w:after="180" w:before="360"/>
      </w:pPr>
      <w:r>
        <w:rPr>
          <w:b/>
          <w:bCs/>
          <w:color w:val="1E3A8A"/>
          <w:sz w:val="30"/>
          <w:szCs w:val="30"/>
        </w:rPr>
        <w:t xml:space="preserve">3. Utilisateurs et rôles</w:t>
      </w:r>
    </w:p>
    <w:p>
      <w:pPr>
        <w:pStyle w:val="Heading2"/>
        <w:spacing w:after="140" w:before="260"/>
      </w:pPr>
      <w:r>
        <w:rPr>
          <w:b/>
          <w:bCs/>
          <w:color w:val="1D4ED8"/>
          <w:sz w:val="24"/>
          <w:szCs w:val="24"/>
        </w:rPr>
        <w:t xml:space="preserve">Parent</w:t>
      </w:r>
    </w:p>
    <w:p>
      <w:pPr>
        <w:spacing w:after="140" w:line="300"/>
      </w:pPr>
      <w:r>
        <w:rPr>
          <w:sz w:val="21"/>
          <w:szCs w:val="21"/>
        </w:rPr>
        <w:t xml:space="preserve">Crée un compte, ajoute ses enfants, suit leur position, consulte les alertes, gère son abonnement.</w:t>
      </w:r>
    </w:p>
    <w:p>
      <w:pPr>
        <w:pStyle w:val="Heading2"/>
        <w:spacing w:after="140" w:before="260"/>
      </w:pPr>
      <w:r>
        <w:rPr>
          <w:b/>
          <w:bCs/>
          <w:color w:val="1D4ED8"/>
          <w:sz w:val="24"/>
          <w:szCs w:val="24"/>
        </w:rPr>
        <w:t xml:space="preserve">Administrateur</w:t>
      </w:r>
    </w:p>
    <w:p>
      <w:pPr>
        <w:spacing w:after="140" w:line="300"/>
      </w:pPr>
      <w:r>
        <w:rPr>
          <w:sz w:val="21"/>
          <w:szCs w:val="21"/>
        </w:rPr>
        <w:t xml:space="preserve">Valide les nouveaux comptes parents, consulte et modifie les informations des utilisateurs, supervise la plateforme.</w:t>
      </w:r>
    </w:p>
    <w:p>
      <w:pPr>
        <w:pStyle w:val="Heading1"/>
        <w:pBdr>
          <w:bottom w:val="single" w:color="1D4ED8" w:sz="12" w:space="4"/>
        </w:pBdr>
        <w:spacing w:after="180" w:before="360"/>
      </w:pPr>
      <w:r>
        <w:rPr>
          <w:b/>
          <w:bCs/>
          <w:color w:val="1E3A8A"/>
          <w:sz w:val="30"/>
          <w:szCs w:val="30"/>
        </w:rPr>
        <w:t xml:space="preserve">4. Périmètre fonctionnel</w:t>
      </w:r>
    </w:p>
    <w:p>
      <w:pPr>
        <w:pStyle w:val="Heading2"/>
        <w:spacing w:after="140" w:before="260"/>
      </w:pPr>
      <w:r>
        <w:rPr>
          <w:b/>
          <w:bCs/>
          <w:color w:val="1D4ED8"/>
          <w:sz w:val="24"/>
          <w:szCs w:val="24"/>
        </w:rPr>
        <w:t xml:space="preserve">4.1 Authentification &amp; gestion de compte</w:t>
      </w:r>
    </w:p>
    <w:p>
      <w:pPr>
        <w:pStyle w:val="ListParagraph"/>
        <w:numPr>
          <w:ilvl w:val="0"/>
          <w:numId w:val="2"/>
        </w:numPr>
        <w:spacing w:after="80"/>
      </w:pPr>
      <w:r>
        <w:rPr>
          <w:sz w:val="21"/>
          <w:szCs w:val="21"/>
        </w:rPr>
        <w:t xml:space="preserve">Inscription par email et mot de passe.</w:t>
      </w:r>
    </w:p>
    <w:p>
      <w:pPr>
        <w:pStyle w:val="ListParagraph"/>
        <w:numPr>
          <w:ilvl w:val="0"/>
          <w:numId w:val="2"/>
        </w:numPr>
        <w:spacing w:after="80"/>
      </w:pPr>
      <w:r>
        <w:rPr>
          <w:sz w:val="21"/>
          <w:szCs w:val="21"/>
        </w:rPr>
        <w:t xml:space="preserve">Confirmation d'adresse email (activable).</w:t>
      </w:r>
    </w:p>
    <w:p>
      <w:pPr>
        <w:pStyle w:val="ListParagraph"/>
        <w:numPr>
          <w:ilvl w:val="0"/>
          <w:numId w:val="2"/>
        </w:numPr>
        <w:spacing w:after="80"/>
      </w:pPr>
      <w:r>
        <w:rPr>
          <w:sz w:val="21"/>
          <w:szCs w:val="21"/>
        </w:rPr>
        <w:t xml:space="preserve">Connexion sécurisée et session persistante.</w:t>
      </w:r>
    </w:p>
    <w:p>
      <w:pPr>
        <w:pStyle w:val="ListParagraph"/>
        <w:numPr>
          <w:ilvl w:val="0"/>
          <w:numId w:val="2"/>
        </w:numPr>
        <w:spacing w:after="80"/>
      </w:pPr>
      <w:r>
        <w:rPr>
          <w:sz w:val="21"/>
          <w:szCs w:val="21"/>
        </w:rPr>
        <w:t xml:space="preserve">Validation manuelle obligatoire du compte par un administrateur avant accès complet.</w:t>
      </w:r>
    </w:p>
    <w:p>
      <w:pPr>
        <w:pStyle w:val="ListParagraph"/>
        <w:numPr>
          <w:ilvl w:val="0"/>
          <w:numId w:val="2"/>
        </w:numPr>
        <w:spacing w:after="80"/>
      </w:pPr>
      <w:r>
        <w:rPr>
          <w:sz w:val="21"/>
          <w:szCs w:val="21"/>
        </w:rPr>
        <w:t xml:space="preserve">Isolation stricte des données par famille (Row Level Security au niveau base de données).</w:t>
      </w:r>
    </w:p>
    <w:p>
      <w:pPr>
        <w:pStyle w:val="Heading2"/>
        <w:spacing w:after="140" w:before="260"/>
      </w:pPr>
      <w:r>
        <w:rPr>
          <w:b/>
          <w:bCs/>
          <w:color w:val="1D4ED8"/>
          <w:sz w:val="24"/>
          <w:szCs w:val="24"/>
        </w:rPr>
        <w:t xml:space="preserve">4.2 Abonnement &amp; paiement</w:t>
      </w:r>
    </w:p>
    <w:p>
      <w:pPr>
        <w:pStyle w:val="ListParagraph"/>
        <w:numPr>
          <w:ilvl w:val="0"/>
          <w:numId w:val="2"/>
        </w:numPr>
        <w:spacing w:after="80"/>
      </w:pPr>
      <w:r>
        <w:rPr>
          <w:sz w:val="21"/>
          <w:szCs w:val="21"/>
        </w:rPr>
        <w:t xml:space="preserve">Période d'essai gratuite de 30 jours dès l'approbation du compte.</w:t>
      </w:r>
    </w:p>
    <w:p>
      <w:pPr>
        <w:pStyle w:val="ListParagraph"/>
        <w:numPr>
          <w:ilvl w:val="0"/>
          <w:numId w:val="2"/>
        </w:numPr>
        <w:spacing w:after="80"/>
      </w:pPr>
      <w:r>
        <w:rPr>
          <w:sz w:val="21"/>
          <w:szCs w:val="21"/>
        </w:rPr>
        <w:t xml:space="preserve">Abonnement mensuel à 2 500 FCFA.</w:t>
      </w:r>
    </w:p>
    <w:p>
      <w:pPr>
        <w:pStyle w:val="ListParagraph"/>
        <w:numPr>
          <w:ilvl w:val="0"/>
          <w:numId w:val="2"/>
        </w:numPr>
        <w:spacing w:after="80"/>
      </w:pPr>
      <w:r>
        <w:rPr>
          <w:sz w:val="21"/>
          <w:szCs w:val="21"/>
        </w:rPr>
        <w:t xml:space="preserve">Paiement via Orange Money et MTN Mobile Money.</w:t>
      </w:r>
    </w:p>
    <w:p>
      <w:pPr>
        <w:pStyle w:val="ListParagraph"/>
        <w:numPr>
          <w:ilvl w:val="0"/>
          <w:numId w:val="2"/>
        </w:numPr>
        <w:spacing w:after="80"/>
      </w:pPr>
      <w:r>
        <w:rPr>
          <w:sz w:val="21"/>
          <w:szCs w:val="21"/>
        </w:rPr>
        <w:t xml:space="preserve">Tableau de bord dédié : statut, jours restants, historique de paiement.</w:t>
      </w:r>
    </w:p>
    <w:p>
      <w:pPr>
        <w:pStyle w:val="ListParagraph"/>
        <w:numPr>
          <w:ilvl w:val="0"/>
          <w:numId w:val="2"/>
        </w:numPr>
        <w:spacing w:after="80"/>
      </w:pPr>
      <w:r>
        <w:rPr>
          <w:sz w:val="21"/>
          <w:szCs w:val="21"/>
        </w:rPr>
        <w:t xml:space="preserve">Blocage automatique de l'accès à l'expiration de l'abonnement.</w:t>
      </w:r>
    </w:p>
    <w:p>
      <w:pPr>
        <w:pStyle w:val="Heading2"/>
        <w:spacing w:after="140" w:before="260"/>
      </w:pPr>
      <w:r>
        <w:rPr>
          <w:b/>
          <w:bCs/>
          <w:color w:val="1D4ED8"/>
          <w:sz w:val="24"/>
          <w:szCs w:val="24"/>
        </w:rPr>
        <w:t xml:space="preserve">4.3 Gestion des enfants</w:t>
      </w:r>
    </w:p>
    <w:p>
      <w:pPr>
        <w:pStyle w:val="ListParagraph"/>
        <w:numPr>
          <w:ilvl w:val="0"/>
          <w:numId w:val="2"/>
        </w:numPr>
        <w:spacing w:after="80"/>
      </w:pPr>
      <w:r>
        <w:rPr>
          <w:sz w:val="21"/>
          <w:szCs w:val="21"/>
        </w:rPr>
        <w:t xml:space="preserve">Ajout d'un enfant : prénom, nom, date de naissance, photo.</w:t>
      </w:r>
    </w:p>
    <w:p>
      <w:pPr>
        <w:pStyle w:val="ListParagraph"/>
        <w:numPr>
          <w:ilvl w:val="0"/>
          <w:numId w:val="2"/>
        </w:numPr>
        <w:spacing w:after="80"/>
      </w:pPr>
      <w:r>
        <w:rPr>
          <w:sz w:val="21"/>
          <w:szCs w:val="21"/>
        </w:rPr>
        <w:t xml:space="preserve">Génération automatique d'un identifiant de traceur unique.</w:t>
      </w:r>
    </w:p>
    <w:p>
      <w:pPr>
        <w:pStyle w:val="ListParagraph"/>
        <w:numPr>
          <w:ilvl w:val="0"/>
          <w:numId w:val="2"/>
        </w:numPr>
        <w:spacing w:after="80"/>
      </w:pPr>
      <w:r>
        <w:rPr>
          <w:sz w:val="21"/>
          <w:szCs w:val="21"/>
        </w:rPr>
        <w:t xml:space="preserve">Fiche détaillée par enfant (statut, batterie, historique).</w:t>
      </w:r>
    </w:p>
    <w:p>
      <w:pPr>
        <w:pStyle w:val="ListParagraph"/>
        <w:numPr>
          <w:ilvl w:val="0"/>
          <w:numId w:val="2"/>
        </w:numPr>
        <w:spacing w:after="80"/>
      </w:pPr>
      <w:r>
        <w:rPr>
          <w:sz w:val="21"/>
          <w:szCs w:val="21"/>
        </w:rPr>
        <w:t xml:space="preserve">Photo de profil utilisée comme repère visuel sur la carte.</w:t>
      </w:r>
    </w:p>
    <w:p>
      <w:pPr>
        <w:pStyle w:val="Heading2"/>
        <w:spacing w:after="140" w:before="260"/>
      </w:pPr>
      <w:r>
        <w:rPr>
          <w:b/>
          <w:bCs/>
          <w:color w:val="1D4ED8"/>
          <w:sz w:val="24"/>
          <w:szCs w:val="24"/>
        </w:rPr>
        <w:t xml:space="preserve">4.4 Suivi GPS &amp; cartographie</w:t>
      </w:r>
    </w:p>
    <w:p>
      <w:pPr>
        <w:pStyle w:val="ListParagraph"/>
        <w:numPr>
          <w:ilvl w:val="0"/>
          <w:numId w:val="2"/>
        </w:numPr>
        <w:spacing w:after="80"/>
      </w:pPr>
      <w:r>
        <w:rPr>
          <w:sz w:val="21"/>
          <w:szCs w:val="21"/>
        </w:rPr>
        <w:t xml:space="preserve">Carte interactive avec vue standard et vue satellite haute résolution.</w:t>
      </w:r>
    </w:p>
    <w:p>
      <w:pPr>
        <w:pStyle w:val="ListParagraph"/>
        <w:numPr>
          <w:ilvl w:val="0"/>
          <w:numId w:val="2"/>
        </w:numPr>
        <w:spacing w:after="80"/>
      </w:pPr>
      <w:r>
        <w:rPr>
          <w:sz w:val="21"/>
          <w:szCs w:val="21"/>
        </w:rPr>
        <w:t xml:space="preserve">Position en temps réel de chaque enfant, synchronisée entre tous les appareils du parent.</w:t>
      </w:r>
    </w:p>
    <w:p>
      <w:pPr>
        <w:pStyle w:val="ListParagraph"/>
        <w:numPr>
          <w:ilvl w:val="0"/>
          <w:numId w:val="2"/>
        </w:numPr>
        <w:spacing w:after="80"/>
      </w:pPr>
      <w:r>
        <w:rPr>
          <w:sz w:val="21"/>
          <w:szCs w:val="21"/>
        </w:rPr>
        <w:t xml:space="preserve">Historique des 30 dernières positions par enfant.</w:t>
      </w:r>
    </w:p>
    <w:p>
      <w:pPr>
        <w:pStyle w:val="ListParagraph"/>
        <w:numPr>
          <w:ilvl w:val="0"/>
          <w:numId w:val="2"/>
        </w:numPr>
        <w:spacing w:after="80"/>
      </w:pPr>
      <w:r>
        <w:rPr>
          <w:sz w:val="21"/>
          <w:szCs w:val="21"/>
        </w:rPr>
        <w:t xml:space="preserve">Indicateurs : statut en ligne/hors-ligne, niveau de batterie, dernière position connue.</w:t>
      </w:r>
    </w:p>
    <w:p>
      <w:pPr>
        <w:pStyle w:val="Heading2"/>
        <w:spacing w:after="140" w:before="260"/>
      </w:pPr>
      <w:r>
        <w:rPr>
          <w:b/>
          <w:bCs/>
          <w:color w:val="1D4ED8"/>
          <w:sz w:val="24"/>
          <w:szCs w:val="24"/>
        </w:rPr>
        <w:t xml:space="preserve">4.5 Zones de sécurité — géofencing (évolution proposée)</w:t>
      </w:r>
    </w:p>
    <w:p>
      <w:pPr>
        <w:spacing w:after="140" w:line="300"/>
      </w:pPr>
      <w:r>
        <w:rPr>
          <w:sz w:val="21"/>
          <w:szCs w:val="21"/>
        </w:rPr>
        <w:t xml:space="preserve">La structure technique (base de données et déclenchement d'alerte) est déjà prête. L'interface permettant au parent de dessiner et gérer ses zones depuis l'application reste à développer — voir section évolutions.</w:t>
      </w:r>
    </w:p>
    <w:p>
      <w:pPr>
        <w:pStyle w:val="Heading2"/>
        <w:spacing w:after="140" w:before="260"/>
      </w:pPr>
      <w:r>
        <w:rPr>
          <w:b/>
          <w:bCs/>
          <w:color w:val="1D4ED8"/>
          <w:sz w:val="24"/>
          <w:szCs w:val="24"/>
        </w:rPr>
        <w:t xml:space="preserve">4.6 Centre d'alertes</w:t>
      </w:r>
    </w:p>
    <w:p>
      <w:pPr>
        <w:pStyle w:val="ListParagraph"/>
        <w:numPr>
          <w:ilvl w:val="0"/>
          <w:numId w:val="2"/>
        </w:numPr>
        <w:spacing w:after="80"/>
      </w:pPr>
      <w:r>
        <w:rPr>
          <w:sz w:val="21"/>
          <w:szCs w:val="21"/>
        </w:rPr>
        <w:t xml:space="preserve">Notifications : batterie faible, appareil hors-ligne, sortie de zone, SOS.</w:t>
      </w:r>
    </w:p>
    <w:p>
      <w:pPr>
        <w:pStyle w:val="ListParagraph"/>
        <w:numPr>
          <w:ilvl w:val="0"/>
          <w:numId w:val="2"/>
        </w:numPr>
        <w:spacing w:after="80"/>
      </w:pPr>
      <w:r>
        <w:rPr>
          <w:sz w:val="21"/>
          <w:szCs w:val="21"/>
        </w:rPr>
        <w:t xml:space="preserve">Marquage lu / non lu et compteur de notifications.</w:t>
      </w:r>
    </w:p>
    <w:p>
      <w:pPr>
        <w:pStyle w:val="Heading2"/>
        <w:spacing w:after="140" w:before="260"/>
      </w:pPr>
      <w:r>
        <w:rPr>
          <w:b/>
          <w:bCs/>
          <w:color w:val="1D4ED8"/>
          <w:sz w:val="24"/>
          <w:szCs w:val="24"/>
        </w:rPr>
        <w:t xml:space="preserve">4.7 Espace administrateur</w:t>
      </w:r>
    </w:p>
    <w:p>
      <w:pPr>
        <w:pStyle w:val="ListParagraph"/>
        <w:numPr>
          <w:ilvl w:val="0"/>
          <w:numId w:val="2"/>
        </w:numPr>
        <w:spacing w:after="80"/>
      </w:pPr>
      <w:r>
        <w:rPr>
          <w:sz w:val="21"/>
          <w:szCs w:val="21"/>
        </w:rPr>
        <w:t xml:space="preserve">Liste des comptes avec statut d'abonnement et d'approbation.</w:t>
      </w:r>
    </w:p>
    <w:p>
      <w:pPr>
        <w:pStyle w:val="ListParagraph"/>
        <w:numPr>
          <w:ilvl w:val="0"/>
          <w:numId w:val="2"/>
        </w:numPr>
        <w:spacing w:after="80"/>
      </w:pPr>
      <w:r>
        <w:rPr>
          <w:sz w:val="21"/>
          <w:szCs w:val="21"/>
        </w:rPr>
        <w:t xml:space="preserve">Validation ou modification des comptes parents.</w:t>
      </w:r>
    </w:p>
    <w:p>
      <w:pPr>
        <w:pStyle w:val="Heading2"/>
        <w:spacing w:after="140" w:before="260"/>
      </w:pPr>
      <w:r>
        <w:rPr>
          <w:b/>
          <w:bCs/>
          <w:color w:val="1D4ED8"/>
          <w:sz w:val="24"/>
          <w:szCs w:val="24"/>
        </w:rPr>
        <w:t xml:space="preserve">4.8 Application installable (PWA)</w:t>
      </w:r>
    </w:p>
    <w:p>
      <w:pPr>
        <w:pStyle w:val="ListParagraph"/>
        <w:numPr>
          <w:ilvl w:val="0"/>
          <w:numId w:val="2"/>
        </w:numPr>
        <w:spacing w:after="80"/>
      </w:pPr>
      <w:r>
        <w:rPr>
          <w:sz w:val="21"/>
          <w:szCs w:val="21"/>
        </w:rPr>
        <w:t xml:space="preserve">Installation sur l'écran d'accueil (mobile et ordinateur).</w:t>
      </w:r>
    </w:p>
    <w:p>
      <w:pPr>
        <w:pStyle w:val="ListParagraph"/>
        <w:numPr>
          <w:ilvl w:val="0"/>
          <w:numId w:val="2"/>
        </w:numPr>
        <w:spacing w:after="80"/>
      </w:pPr>
      <w:r>
        <w:rPr>
          <w:sz w:val="21"/>
          <w:szCs w:val="21"/>
        </w:rPr>
        <w:t xml:space="preserve">Icônes et charte graphique personnalisées à l'identité de marque.</w:t>
      </w:r>
    </w:p>
    <w:p>
      <w:pPr>
        <w:pStyle w:val="Heading1"/>
        <w:pBdr>
          <w:bottom w:val="single" w:color="1D4ED8" w:sz="12" w:space="4"/>
        </w:pBdr>
        <w:spacing w:after="180" w:before="360"/>
      </w:pPr>
      <w:r>
        <w:rPr>
          <w:b/>
          <w:bCs/>
          <w:color w:val="1E3A8A"/>
          <w:sz w:val="30"/>
          <w:szCs w:val="30"/>
        </w:rPr>
        <w:t xml:space="preserve">5. Exigences non-fonctionnelles</w:t>
      </w:r>
    </w:p>
    <w:p>
      <w:pPr>
        <w:pStyle w:val="ListParagraph"/>
        <w:numPr>
          <w:ilvl w:val="0"/>
          <w:numId w:val="2"/>
        </w:numPr>
        <w:spacing w:after="80"/>
      </w:pPr>
      <w:r>
        <w:rPr>
          <w:sz w:val="21"/>
          <w:szCs w:val="21"/>
        </w:rPr>
        <w:t xml:space="preserve">Sécurité : communications chiffrées (HTTPS), isolation des données par famille, authentification gérée par un fournisseur certifié.</w:t>
      </w:r>
    </w:p>
    <w:p>
      <w:pPr>
        <w:pStyle w:val="ListParagraph"/>
        <w:numPr>
          <w:ilvl w:val="0"/>
          <w:numId w:val="2"/>
        </w:numPr>
        <w:spacing w:after="80"/>
      </w:pPr>
      <w:r>
        <w:rPr>
          <w:sz w:val="21"/>
          <w:szCs w:val="21"/>
        </w:rPr>
        <w:t xml:space="preserve">Performance : chargement de la carte et mise à jour des positions en moins de 2 secondes.</w:t>
      </w:r>
    </w:p>
    <w:p>
      <w:pPr>
        <w:pStyle w:val="ListParagraph"/>
        <w:numPr>
          <w:ilvl w:val="0"/>
          <w:numId w:val="2"/>
        </w:numPr>
        <w:spacing w:after="80"/>
      </w:pPr>
      <w:r>
        <w:rPr>
          <w:sz w:val="21"/>
          <w:szCs w:val="21"/>
        </w:rPr>
        <w:t xml:space="preserve">Compatibilité : navigateurs modernes, adaptation mobile et ordinateur.</w:t>
      </w:r>
    </w:p>
    <w:p>
      <w:pPr>
        <w:pStyle w:val="ListParagraph"/>
        <w:numPr>
          <w:ilvl w:val="0"/>
          <w:numId w:val="2"/>
        </w:numPr>
        <w:spacing w:after="80"/>
      </w:pPr>
      <w:r>
        <w:rPr>
          <w:sz w:val="21"/>
          <w:szCs w:val="21"/>
        </w:rPr>
        <w:t xml:space="preserve">Hébergement : infrastructure cloud (Vercel pour l'application, Supabase pour les données).</w:t>
      </w:r>
    </w:p>
    <w:p>
      <w:pPr>
        <w:pStyle w:val="Heading1"/>
        <w:pBdr>
          <w:bottom w:val="single" w:color="1D4ED8" w:sz="12" w:space="4"/>
        </w:pBdr>
        <w:spacing w:after="180" w:before="360"/>
      </w:pPr>
      <w:r>
        <w:rPr>
          <w:b/>
          <w:bCs/>
          <w:color w:val="1E3A8A"/>
          <w:sz w:val="30"/>
          <w:szCs w:val="30"/>
        </w:rPr>
        <w:t xml:space="preserve">6. Architecture technique (synthèse)</w:t>
      </w: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Interface utilisateur</w:t>
            </w:r>
          </w:p>
          <w:p>
            <w:r>
              <w:rPr>
                <w:sz w:val="20"/>
                <w:szCs w:val="20"/>
              </w:rPr>
              <w:t xml:space="preserve">React (Vite), Progressive Web App</w:t>
            </w:r>
          </w:p>
        </w:tc>
        <w:tc>
          <w:tcPr>
            <w:tcW w:type="dxa" w:w="4600"/>
          </w:tcPr>
          <w:p>
            <w:r>
              <w:rPr>
                <w:b/>
                <w:bCs/>
                <w:color w:val="1E3A8A"/>
                <w:sz w:val="20"/>
                <w:szCs w:val="20"/>
              </w:rPr>
              <w:t xml:space="preserve">Base de données</w:t>
            </w:r>
          </w:p>
          <w:p>
            <w:r>
              <w:rPr>
                <w:sz w:val="20"/>
                <w:szCs w:val="20"/>
              </w:rPr>
              <w:t xml:space="preserve">PostgreSQL managée (Supabase)</w:t>
            </w:r>
          </w:p>
        </w:tc>
      </w:tr>
    </w:tbl>
    <w:p>
      <w:pPr>
        <w:spacing w:before="200"/>
      </w:pP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Authentification</w:t>
            </w:r>
          </w:p>
          <w:p>
            <w:r>
              <w:rPr>
                <w:sz w:val="20"/>
                <w:szCs w:val="20"/>
              </w:rPr>
              <w:t xml:space="preserve">Supabase Auth</w:t>
            </w:r>
          </w:p>
        </w:tc>
        <w:tc>
          <w:tcPr>
            <w:tcW w:type="dxa" w:w="4600"/>
          </w:tcPr>
          <w:p>
            <w:r>
              <w:rPr>
                <w:b/>
                <w:bCs/>
                <w:color w:val="1E3A8A"/>
                <w:sz w:val="20"/>
                <w:szCs w:val="20"/>
              </w:rPr>
              <w:t xml:space="preserve">Stockage des fichiers</w:t>
            </w:r>
          </w:p>
          <w:p>
            <w:r>
              <w:rPr>
                <w:sz w:val="20"/>
                <w:szCs w:val="20"/>
              </w:rPr>
              <w:t xml:space="preserve">Supabase Storage (photos)</w:t>
            </w:r>
          </w:p>
        </w:tc>
      </w:tr>
    </w:tbl>
    <w:p>
      <w:pPr>
        <w:spacing w:before="200"/>
      </w:pP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Cartographie</w:t>
            </w:r>
          </w:p>
          <w:p>
            <w:r>
              <w:rPr>
                <w:sz w:val="20"/>
                <w:szCs w:val="20"/>
              </w:rPr>
              <w:t xml:space="preserve">Leaflet / OpenStreetMap / imagerie satellite</w:t>
            </w:r>
          </w:p>
        </w:tc>
        <w:tc>
          <w:tcPr>
            <w:tcW w:type="dxa" w:w="4600"/>
          </w:tcPr>
          <w:p>
            <w:r>
              <w:rPr>
                <w:b/>
                <w:bCs/>
                <w:color w:val="1E3A8A"/>
                <w:sz w:val="20"/>
                <w:szCs w:val="20"/>
              </w:rPr>
              <w:t xml:space="preserve">Hébergement &amp; déploiement</w:t>
            </w:r>
          </w:p>
          <w:p>
            <w:r>
              <w:rPr>
                <w:sz w:val="20"/>
                <w:szCs w:val="20"/>
              </w:rPr>
              <w:t xml:space="preserve">Vercel (mise en production automatique)</w:t>
            </w:r>
          </w:p>
        </w:tc>
      </w:tr>
    </w:tbl>
    <w:p>
      <w:pPr>
        <w:pStyle w:val="Heading1"/>
        <w:pBdr>
          <w:bottom w:val="single" w:color="1D4ED8" w:sz="12" w:space="4"/>
        </w:pBdr>
        <w:spacing w:after="180" w:before="360"/>
      </w:pPr>
      <w:r>
        <w:rPr>
          <w:b/>
          <w:bCs/>
          <w:color w:val="1E3A8A"/>
          <w:sz w:val="30"/>
          <w:szCs w:val="30"/>
        </w:rPr>
        <w:t xml:space="preserve">7. Livrables</w:t>
      </w:r>
    </w:p>
    <w:p>
      <w:pPr>
        <w:pStyle w:val="ListParagraph"/>
        <w:numPr>
          <w:ilvl w:val="0"/>
          <w:numId w:val="2"/>
        </w:numPr>
        <w:spacing w:after="80"/>
      </w:pPr>
      <w:r>
        <w:rPr>
          <w:sz w:val="21"/>
          <w:szCs w:val="21"/>
        </w:rPr>
        <w:t xml:space="preserve">Code source complet de l'application et du schéma de base de données.</w:t>
      </w:r>
    </w:p>
    <w:p>
      <w:pPr>
        <w:pStyle w:val="ListParagraph"/>
        <w:numPr>
          <w:ilvl w:val="0"/>
          <w:numId w:val="2"/>
        </w:numPr>
        <w:spacing w:after="80"/>
      </w:pPr>
      <w:r>
        <w:rPr>
          <w:sz w:val="21"/>
          <w:szCs w:val="21"/>
        </w:rPr>
        <w:t xml:space="preserve">Application déployée et fonctionnelle en environnement de production.</w:t>
      </w:r>
    </w:p>
    <w:p>
      <w:pPr>
        <w:pStyle w:val="ListParagraph"/>
        <w:numPr>
          <w:ilvl w:val="0"/>
          <w:numId w:val="2"/>
        </w:numPr>
        <w:spacing w:after="80"/>
      </w:pPr>
      <w:r>
        <w:rPr>
          <w:sz w:val="21"/>
          <w:szCs w:val="21"/>
        </w:rPr>
        <w:t xml:space="preserve">Documentation de configuration et d'exploitation.</w:t>
      </w:r>
    </w:p>
    <w:p>
      <w:pPr>
        <w:pStyle w:val="ListParagraph"/>
        <w:numPr>
          <w:ilvl w:val="0"/>
          <w:numId w:val="2"/>
        </w:numPr>
        <w:spacing w:after="80"/>
      </w:pPr>
      <w:r>
        <w:rPr>
          <w:sz w:val="21"/>
          <w:szCs w:val="21"/>
        </w:rPr>
        <w:t xml:space="preserve">Prise en main / formation à l'utilisation (sur demande).</w:t>
      </w:r>
    </w:p>
    <w:p>
      <w:r>
        <w:br w:type="page"/>
      </w:r>
    </w:p>
    <w:p>
      <w:pPr>
        <w:pStyle w:val="Heading1"/>
        <w:pBdr>
          <w:bottom w:val="single" w:color="1D4ED8" w:sz="12" w:space="4"/>
        </w:pBdr>
        <w:spacing w:after="180" w:before="360"/>
      </w:pPr>
      <w:r>
        <w:rPr>
          <w:b/>
          <w:bCs/>
          <w:color w:val="1E3A8A"/>
          <w:sz w:val="30"/>
          <w:szCs w:val="30"/>
        </w:rPr>
        <w:t xml:space="preserve">8. Estimation des coûts de réalisation</w:t>
      </w:r>
    </w:p>
    <w:p>
      <w:pPr>
        <w:spacing w:after="140" w:line="300"/>
      </w:pPr>
      <w:r>
        <w:rPr>
          <w:i/>
          <w:iCs/>
          <w:color w:val="64748B"/>
          <w:sz w:val="21"/>
          <w:szCs w:val="21"/>
        </w:rPr>
        <w:t xml:space="preserve">L'estimation ci-dessous est calculée sur la base d'un taux journalier de 10 000 FCFA. Ce taux est une hypothèse de travail et peut être ajusté selon le profil de l'équipe mobilisée.</w:t>
      </w:r>
    </w:p>
    <w:p>
      <w:pPr>
        <w:pStyle w:val="Heading2"/>
        <w:spacing w:after="140" w:before="260"/>
      </w:pPr>
      <w:r>
        <w:rPr>
          <w:b/>
          <w:bCs/>
          <w:color w:val="1D4ED8"/>
          <w:sz w:val="24"/>
          <w:szCs w:val="24"/>
        </w:rPr>
        <w:t xml:space="preserve">8.1 Périmètre de base (fonctionnalités décrites en section 4, hors zones de sécurité)</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400"/>
        <w:gridCol w:w="2000"/>
      </w:tblGrid>
      <w:tr>
        <w:trPr>
          <w:tblHeader/>
        </w:trPr>
        <w:tc>
          <w:tcPr>
            <w:tcW w:type="dxa" w:w="4200"/>
            <w:shd w:fill="1D4ED8"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3600"/>
            <w:shd w:fill="1D4ED8"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400"/>
            <w:shd w:fill="1D4ED8" w:val="clear"/>
            <w:tcMar>
              <w:top w:type="dxa" w:w="100"/>
              <w:left w:type="dxa" w:w="120"/>
              <w:bottom w:type="dxa" w:w="100"/>
              <w:right w:type="dxa" w:w="120"/>
            </w:tcMar>
            <w:vAlign w:val="center"/>
          </w:tcPr>
          <w:p>
            <w:pPr>
              <w:jc w:val="center"/>
            </w:pPr>
            <w:r>
              <w:rPr>
                <w:b/>
                <w:bCs/>
                <w:color w:val="FFFFFF"/>
                <w:sz w:val="20"/>
                <w:szCs w:val="20"/>
              </w:rPr>
              <w:t xml:space="preserve">Jours</w:t>
            </w:r>
          </w:p>
        </w:tc>
        <w:tc>
          <w:tcPr>
            <w:tcW w:type="dxa" w:w="2000"/>
            <w:shd w:fill="1D4ED8" w:val="clear"/>
            <w:tcMar>
              <w:top w:type="dxa" w:w="100"/>
              <w:left w:type="dxa" w:w="120"/>
              <w:bottom w:type="dxa" w:w="100"/>
              <w:right w:type="dxa" w:w="120"/>
            </w:tcMar>
            <w:vAlign w:val="center"/>
          </w:tcPr>
          <w:p>
            <w:pPr>
              <w:jc w:val="center"/>
            </w:pPr>
            <w:r>
              <w:rPr>
                <w:b/>
                <w:bCs/>
                <w:color w:val="FFFFFF"/>
                <w:sz w:val="20"/>
                <w:szCs w:val="20"/>
              </w:rPr>
              <w:t xml:space="preserve">Coût (FCFA)</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Cadrage &amp; conception</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Analyse des besoins, maquettes, architecture technique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Authentification &amp; sécurité</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Inscription, connexion, validation admin, isolation des données (RLS)</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4</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40 000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Gestion des enfants</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Ajout/modification, photos de profil, identifiants de traceur</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Suivi GPS &amp; cartographie</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Carte interactive, vue satellite, temps réel, historique de trajets</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5</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50 000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Système d'alertes</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Centre de notifications, batterie faible, statut hors-ligne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Abonnement &amp; paiement</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Essai gratuit 30 jours, paiement Orange Money / MTN MoMo, blocage automatique</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4</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40 000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Espace administrateur</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Validation des comptes, gestion des utilisateurs</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Application installable (PWA)</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Icônes, manifeste, installation mobile/desktop</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1</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10 000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Photos de profil &amp; identité visuelle</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Upload sécurisé des photos, charte graphique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Tests &amp; mise en production</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Recette fonctionnelle, correction des anomalies, déploiement</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3</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30 000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Gestion de projet</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Suivi, réunions de cadrage, documentation livrée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20 000</w:t>
            </w:r>
          </w:p>
        </w:tc>
      </w:tr>
      <w:tr>
        <w:tc>
          <w:tcPr>
            <w:tcW w:type="dxa" w:w="7800"/>
            <w:gridSpan w:val="2"/>
            <w:shd w:fill="1E3A8A" w:val="clear"/>
            <w:tcMar>
              <w:top w:type="dxa" w:w="100"/>
              <w:left w:type="dxa" w:w="120"/>
              <w:bottom w:type="dxa" w:w="100"/>
              <w:right w:type="dxa" w:w="120"/>
            </w:tcMar>
            <w:vAlign w:val="center"/>
          </w:tcPr>
          <w:p>
            <w:r>
              <w:rPr>
                <w:b/>
                <w:bCs/>
                <w:color w:val="FFFFFF"/>
                <w:sz w:val="20"/>
                <w:szCs w:val="20"/>
              </w:rPr>
              <w:t xml:space="preserve">TOTAL — Réalisation de base</w:t>
            </w:r>
          </w:p>
        </w:tc>
        <w:tc>
          <w:tcPr>
            <w:tcW w:type="dxa" w:w="1400"/>
            <w:shd w:fill="1E3A8A" w:val="clear"/>
            <w:tcMar>
              <w:top w:type="dxa" w:w="100"/>
              <w:left w:type="dxa" w:w="120"/>
              <w:bottom w:type="dxa" w:w="100"/>
              <w:right w:type="dxa" w:w="120"/>
            </w:tcMar>
            <w:vAlign w:val="center"/>
          </w:tcPr>
          <w:p>
            <w:pPr>
              <w:jc w:val="center"/>
            </w:pPr>
            <w:r>
              <w:rPr>
                <w:b/>
                <w:bCs/>
                <w:color w:val="FFFFFF"/>
                <w:sz w:val="20"/>
                <w:szCs w:val="20"/>
              </w:rPr>
              <w:t xml:space="preserve">31 j</w:t>
            </w:r>
          </w:p>
        </w:tc>
        <w:tc>
          <w:tcPr>
            <w:tcW w:type="dxa" w:w="2000"/>
            <w:shd w:fill="1E3A8A" w:val="clear"/>
            <w:tcMar>
              <w:top w:type="dxa" w:w="100"/>
              <w:left w:type="dxa" w:w="120"/>
              <w:bottom w:type="dxa" w:w="100"/>
              <w:right w:type="dxa" w:w="120"/>
            </w:tcMar>
            <w:vAlign w:val="center"/>
          </w:tcPr>
          <w:p>
            <w:pPr>
              <w:jc w:val="center"/>
            </w:pPr>
            <w:r>
              <w:rPr>
                <w:b/>
                <w:bCs/>
                <w:color w:val="FFFFFF"/>
                <w:sz w:val="20"/>
                <w:szCs w:val="20"/>
              </w:rPr>
              <w:t xml:space="preserve">310 000</w:t>
            </w:r>
          </w:p>
        </w:tc>
      </w:tr>
    </w:tbl>
    <w:p>
      <w:pPr>
        <w:pStyle w:val="Heading2"/>
        <w:spacing w:after="140" w:before="260"/>
      </w:pPr>
      <w:r>
        <w:rPr>
          <w:b/>
          <w:bCs/>
          <w:color w:val="1D4ED8"/>
          <w:sz w:val="24"/>
          <w:szCs w:val="24"/>
        </w:rPr>
        <w:t xml:space="preserve">8.2 Évolutions proposées (hors périmètre de base)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400"/>
        <w:gridCol w:w="2000"/>
      </w:tblGrid>
      <w:tr>
        <w:trPr>
          <w:tblHeader/>
        </w:trPr>
        <w:tc>
          <w:tcPr>
            <w:tcW w:type="dxa" w:w="4200"/>
            <w:shd w:fill="1D4ED8" w:val="clear"/>
            <w:tcMar>
              <w:top w:type="dxa" w:w="100"/>
              <w:left w:type="dxa" w:w="120"/>
              <w:bottom w:type="dxa" w:w="100"/>
              <w:right w:type="dxa" w:w="120"/>
            </w:tcMar>
            <w:vAlign w:val="center"/>
          </w:tcPr>
          <w:p>
            <w:pPr>
              <w:jc w:val="left"/>
            </w:pPr>
            <w:r>
              <w:rPr>
                <w:b/>
                <w:bCs/>
                <w:color w:val="FFFFFF"/>
                <w:sz w:val="20"/>
                <w:szCs w:val="20"/>
              </w:rPr>
              <w:t xml:space="preserve">Module</w:t>
            </w:r>
          </w:p>
        </w:tc>
        <w:tc>
          <w:tcPr>
            <w:tcW w:type="dxa" w:w="3600"/>
            <w:shd w:fill="1D4ED8" w:val="clear"/>
            <w:tcMar>
              <w:top w:type="dxa" w:w="100"/>
              <w:left w:type="dxa" w:w="120"/>
              <w:bottom w:type="dxa" w:w="100"/>
              <w:right w:type="dxa" w:w="120"/>
            </w:tcMar>
            <w:vAlign w:val="center"/>
          </w:tcPr>
          <w:p>
            <w:pPr>
              <w:jc w:val="left"/>
            </w:pPr>
            <w:r>
              <w:rPr>
                <w:b/>
                <w:bCs/>
                <w:color w:val="FFFFFF"/>
                <w:sz w:val="20"/>
                <w:szCs w:val="20"/>
              </w:rPr>
              <w:t xml:space="preserve">Description</w:t>
            </w:r>
          </w:p>
        </w:tc>
        <w:tc>
          <w:tcPr>
            <w:tcW w:type="dxa" w:w="1400"/>
            <w:shd w:fill="1D4ED8" w:val="clear"/>
            <w:tcMar>
              <w:top w:type="dxa" w:w="100"/>
              <w:left w:type="dxa" w:w="120"/>
              <w:bottom w:type="dxa" w:w="100"/>
              <w:right w:type="dxa" w:w="120"/>
            </w:tcMar>
            <w:vAlign w:val="center"/>
          </w:tcPr>
          <w:p>
            <w:pPr>
              <w:jc w:val="center"/>
            </w:pPr>
            <w:r>
              <w:rPr>
                <w:b/>
                <w:bCs/>
                <w:color w:val="FFFFFF"/>
                <w:sz w:val="20"/>
                <w:szCs w:val="20"/>
              </w:rPr>
              <w:t xml:space="preserve">Jours</w:t>
            </w:r>
          </w:p>
        </w:tc>
        <w:tc>
          <w:tcPr>
            <w:tcW w:type="dxa" w:w="2000"/>
            <w:shd w:fill="1D4ED8" w:val="clear"/>
            <w:tcMar>
              <w:top w:type="dxa" w:w="100"/>
              <w:left w:type="dxa" w:w="120"/>
              <w:bottom w:type="dxa" w:w="100"/>
              <w:right w:type="dxa" w:w="120"/>
            </w:tcMar>
            <w:vAlign w:val="center"/>
          </w:tcPr>
          <w:p>
            <w:pPr>
              <w:jc w:val="center"/>
            </w:pPr>
            <w:r>
              <w:rPr>
                <w:b/>
                <w:bCs/>
                <w:color w:val="FFFFFF"/>
                <w:sz w:val="20"/>
                <w:szCs w:val="20"/>
              </w:rPr>
              <w:t xml:space="preserve">Coût (FCFA)</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Zones de sécurité (géofencing)</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Interface de création/gestion des zones + alertes d'entrée-sortie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Traceur GPS physique</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Passerelle de réception de position (selon matériel retenu)</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5 à 8</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65 000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Notifications push navigateur</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Alertes temps réel même application fermée</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20 000</w:t>
            </w:r>
          </w:p>
        </w:tc>
      </w:tr>
      <w:tr>
        <w:tc>
          <w:tcPr>
            <w:tcW w:type="dxa" w:w="4200"/>
            <w:shd w:fill="EFF6FF" w:val="clear"/>
            <w:tcMar>
              <w:top w:type="dxa" w:w="100"/>
              <w:left w:type="dxa" w:w="120"/>
              <w:bottom w:type="dxa" w:w="100"/>
              <w:right w:type="dxa" w:w="120"/>
            </w:tcMar>
            <w:vAlign w:val="center"/>
          </w:tcPr>
          <w:p>
            <w:pPr>
              <w:jc w:val="left"/>
            </w:pPr>
            <w:r>
              <w:rPr>
                <w:b/>
                <w:bCs/>
                <w:color w:val="111827"/>
                <w:sz w:val="20"/>
                <w:szCs w:val="20"/>
              </w:rPr>
              <w:t xml:space="preserve">Assistant conversationnel (IA)</w:t>
            </w:r>
          </w:p>
        </w:tc>
        <w:tc>
          <w:tcPr>
            <w:tcW w:type="dxa" w:w="3600"/>
            <w:shd w:fill="EFF6FF" w:val="clear"/>
            <w:tcMar>
              <w:top w:type="dxa" w:w="100"/>
              <w:left w:type="dxa" w:w="120"/>
              <w:bottom w:type="dxa" w:w="100"/>
              <w:right w:type="dxa" w:w="120"/>
            </w:tcMar>
            <w:vAlign w:val="center"/>
          </w:tcPr>
          <w:p>
            <w:pPr>
              <w:jc w:val="left"/>
            </w:pPr>
            <w:r>
              <w:rPr>
                <w:b w:val="false"/>
                <w:bCs w:val="false"/>
                <w:color w:val="111827"/>
                <w:sz w:val="19"/>
                <w:szCs w:val="19"/>
              </w:rPr>
              <w:t xml:space="preserve">Chatbot d'aide à l'utilisation et de conseils, basé sur l'API Google AI Studio (Gemini, offre gratuite)</w:t>
            </w:r>
          </w:p>
        </w:tc>
        <w:tc>
          <w:tcPr>
            <w:tcW w:type="dxa" w:w="14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3 à 4</w:t>
            </w:r>
          </w:p>
        </w:tc>
        <w:tc>
          <w:tcPr>
            <w:tcW w:type="dxa" w:w="2000"/>
            <w:shd w:fill="EFF6FF" w:val="clear"/>
            <w:tcMar>
              <w:top w:type="dxa" w:w="100"/>
              <w:left w:type="dxa" w:w="120"/>
              <w:bottom w:type="dxa" w:w="100"/>
              <w:right w:type="dxa" w:w="120"/>
            </w:tcMar>
            <w:vAlign w:val="center"/>
          </w:tcPr>
          <w:p>
            <w:pPr>
              <w:jc w:val="center"/>
            </w:pPr>
            <w:r>
              <w:rPr>
                <w:b w:val="false"/>
                <w:bCs w:val="false"/>
                <w:color w:val="111827"/>
                <w:sz w:val="20"/>
                <w:szCs w:val="20"/>
              </w:rPr>
              <w:t xml:space="preserve">35 000</w:t>
            </w:r>
          </w:p>
        </w:tc>
      </w:tr>
      <w:tr>
        <w:tc>
          <w:tcPr>
            <w:tcW w:type="dxa" w:w="4200"/>
            <w:shd w:fill="FFFFFF" w:val="clear"/>
            <w:tcMar>
              <w:top w:type="dxa" w:w="100"/>
              <w:left w:type="dxa" w:w="120"/>
              <w:bottom w:type="dxa" w:w="100"/>
              <w:right w:type="dxa" w:w="120"/>
            </w:tcMar>
            <w:vAlign w:val="center"/>
          </w:tcPr>
          <w:p>
            <w:pPr>
              <w:jc w:val="left"/>
            </w:pPr>
            <w:r>
              <w:rPr>
                <w:b/>
                <w:bCs/>
                <w:color w:val="111827"/>
                <w:sz w:val="20"/>
                <w:szCs w:val="20"/>
              </w:rPr>
              <w:t xml:space="preserve">Passerelle de paiement réelle</w:t>
            </w:r>
          </w:p>
        </w:tc>
        <w:tc>
          <w:tcPr>
            <w:tcW w:type="dxa" w:w="3600"/>
            <w:shd w:fill="FFFFFF" w:val="clear"/>
            <w:tcMar>
              <w:top w:type="dxa" w:w="100"/>
              <w:left w:type="dxa" w:w="120"/>
              <w:bottom w:type="dxa" w:w="100"/>
              <w:right w:type="dxa" w:w="120"/>
            </w:tcMar>
            <w:vAlign w:val="center"/>
          </w:tcPr>
          <w:p>
            <w:pPr>
              <w:jc w:val="left"/>
            </w:pPr>
            <w:r>
              <w:rPr>
                <w:b w:val="false"/>
                <w:bCs w:val="false"/>
                <w:color w:val="111827"/>
                <w:sz w:val="19"/>
                <w:szCs w:val="19"/>
              </w:rPr>
              <w:t xml:space="preserve">Intégration production Orange Money / MTN MoMo (hors simulation)</w:t>
            </w:r>
          </w:p>
        </w:tc>
        <w:tc>
          <w:tcPr>
            <w:tcW w:type="dxa" w:w="14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w:t>
            </w:r>
          </w:p>
        </w:tc>
        <w:tc>
          <w:tcPr>
            <w:tcW w:type="dxa" w:w="2000"/>
            <w:shd w:fill="FFFFFF" w:val="clear"/>
            <w:tcMar>
              <w:top w:type="dxa" w:w="100"/>
              <w:left w:type="dxa" w:w="120"/>
              <w:bottom w:type="dxa" w:w="100"/>
              <w:right w:type="dxa" w:w="120"/>
            </w:tcMar>
            <w:vAlign w:val="center"/>
          </w:tcPr>
          <w:p>
            <w:pPr>
              <w:jc w:val="center"/>
            </w:pPr>
            <w:r>
              <w:rPr>
                <w:b w:val="false"/>
                <w:bCs w:val="false"/>
                <w:color w:val="111827"/>
                <w:sz w:val="20"/>
                <w:szCs w:val="20"/>
              </w:rPr>
              <w:t xml:space="preserve">30 000</w:t>
            </w:r>
          </w:p>
        </w:tc>
      </w:tr>
      <w:tr>
        <w:tc>
          <w:tcPr>
            <w:tcW w:type="dxa" w:w="7800"/>
            <w:gridSpan w:val="2"/>
            <w:shd w:fill="1E3A8A" w:val="clear"/>
            <w:tcMar>
              <w:top w:type="dxa" w:w="100"/>
              <w:left w:type="dxa" w:w="120"/>
              <w:bottom w:type="dxa" w:w="100"/>
              <w:right w:type="dxa" w:w="120"/>
            </w:tcMar>
            <w:vAlign w:val="center"/>
          </w:tcPr>
          <w:p>
            <w:r>
              <w:rPr>
                <w:b/>
                <w:bCs/>
                <w:color w:val="FFFFFF"/>
                <w:sz w:val="20"/>
                <w:szCs w:val="20"/>
              </w:rPr>
              <w:t xml:space="preserve">TOTAL — Évolutions (si retenues)</w:t>
            </w:r>
          </w:p>
        </w:tc>
        <w:tc>
          <w:tcPr>
            <w:tcW w:type="dxa" w:w="1400"/>
            <w:shd w:fill="1E3A8A" w:val="clear"/>
            <w:tcMar>
              <w:top w:type="dxa" w:w="100"/>
              <w:left w:type="dxa" w:w="120"/>
              <w:bottom w:type="dxa" w:w="100"/>
              <w:right w:type="dxa" w:w="120"/>
            </w:tcMar>
            <w:vAlign w:val="center"/>
          </w:tcPr>
          <w:p>
            <w:pPr>
              <w:jc w:val="center"/>
            </w:pPr>
            <w:r>
              <w:rPr>
                <w:b/>
                <w:bCs/>
                <w:color w:val="FFFFFF"/>
                <w:sz w:val="20"/>
                <w:szCs w:val="20"/>
              </w:rPr>
              <w:t xml:space="preserve">—</w:t>
            </w:r>
          </w:p>
        </w:tc>
        <w:tc>
          <w:tcPr>
            <w:tcW w:type="dxa" w:w="2000"/>
            <w:shd w:fill="1E3A8A" w:val="clear"/>
            <w:tcMar>
              <w:top w:type="dxa" w:w="100"/>
              <w:left w:type="dxa" w:w="120"/>
              <w:bottom w:type="dxa" w:w="100"/>
              <w:right w:type="dxa" w:w="120"/>
            </w:tcMar>
            <w:vAlign w:val="center"/>
          </w:tcPr>
          <w:p>
            <w:pPr>
              <w:jc w:val="center"/>
            </w:pPr>
            <w:r>
              <w:rPr>
                <w:b/>
                <w:bCs/>
                <w:color w:val="FFFFFF"/>
                <w:sz w:val="20"/>
                <w:szCs w:val="20"/>
              </w:rPr>
              <w:t xml:space="preserve">180 000</w:t>
            </w:r>
          </w:p>
        </w:tc>
      </w:tr>
    </w:tbl>
    <w:p>
      <w:pPr>
        <w:pStyle w:val="Heading2"/>
        <w:spacing w:after="140" w:before="260"/>
      </w:pPr>
      <w:r>
        <w:rPr>
          <w:b/>
          <w:bCs/>
          <w:color w:val="1D4ED8"/>
          <w:sz w:val="24"/>
          <w:szCs w:val="24"/>
        </w:rPr>
        <w:t xml:space="preserve">8.3 Coûts récurrents d'exploitation (hébergement)</w:t>
      </w:r>
    </w:p>
    <w:p>
      <w:pPr>
        <w:pStyle w:val="ListParagraph"/>
        <w:numPr>
          <w:ilvl w:val="0"/>
          <w:numId w:val="2"/>
        </w:numPr>
        <w:spacing w:after="80"/>
      </w:pPr>
      <w:r>
        <w:rPr>
          <w:sz w:val="21"/>
          <w:szCs w:val="21"/>
        </w:rPr>
        <w:t xml:space="preserve">Base de données / authentification / stockage : gratuit jusqu'à un seuil d'usage, puis environ 15 000 FCFA/mois.</w:t>
      </w:r>
    </w:p>
    <w:p>
      <w:pPr>
        <w:pStyle w:val="ListParagraph"/>
        <w:numPr>
          <w:ilvl w:val="0"/>
          <w:numId w:val="2"/>
        </w:numPr>
        <w:spacing w:after="80"/>
      </w:pPr>
      <w:r>
        <w:rPr>
          <w:sz w:val="21"/>
          <w:szCs w:val="21"/>
        </w:rPr>
        <w:t xml:space="preserve">Hébergement de l'application : gratuit jusqu'à un seuil d'usage, puis environ 12 000 FCFA/mois.</w:t>
      </w:r>
    </w:p>
    <w:p>
      <w:pPr>
        <w:pStyle w:val="ListParagraph"/>
        <w:numPr>
          <w:ilvl w:val="0"/>
          <w:numId w:val="2"/>
        </w:numPr>
        <w:spacing w:after="80"/>
      </w:pPr>
      <w:r>
        <w:rPr>
          <w:sz w:val="21"/>
          <w:szCs w:val="21"/>
        </w:rPr>
        <w:t xml:space="preserve">Nom de domaine : environ 10 000 FCFA/an.</w:t>
      </w:r>
    </w:p>
    <w:p>
      <w:pPr>
        <w:pStyle w:val="ListParagraph"/>
        <w:numPr>
          <w:ilvl w:val="0"/>
          <w:numId w:val="2"/>
        </w:numPr>
        <w:spacing w:after="80"/>
      </w:pPr>
      <w:r>
        <w:rPr>
          <w:sz w:val="21"/>
          <w:szCs w:val="21"/>
        </w:rPr>
        <w:t xml:space="preserve">Assistant conversationnel (Google AI Studio / Gemini) : gratuit dans les limites de l'offre gratuite (quota de requêtes par minute/jour) ; un passage à un palier payant pourrait être nécessaire en cas de forte utilisation.</w:t>
      </w:r>
    </w:p>
    <w:p>
      <w:pPr>
        <w:spacing w:after="140" w:line="300"/>
      </w:pPr>
      <w:r>
        <w:rPr>
          <w:i/>
          <w:iCs/>
          <w:color w:val="64748B"/>
          <w:sz w:val="21"/>
          <w:szCs w:val="21"/>
        </w:rPr>
        <w:t xml:space="preserve">Soit environ 27 000 FCFA/mois une fois les paliers gratuits dépassés (ordre de grandeur, tarifs des fournisseurs cloud susceptibles d'évoluer).</w:t>
      </w:r>
    </w:p>
    <w:p>
      <w:pPr>
        <w:pStyle w:val="Heading2"/>
        <w:spacing w:after="140" w:before="260"/>
      </w:pPr>
      <w:r>
        <w:rPr>
          <w:b/>
          <w:bCs/>
          <w:color w:val="1D4ED8"/>
          <w:sz w:val="24"/>
          <w:szCs w:val="24"/>
        </w:rPr>
        <w:t xml:space="preserve">8.4 Synthèse financière</w:t>
      </w: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Développement — périmètre de base</w:t>
            </w:r>
          </w:p>
          <w:p>
            <w:r>
              <w:rPr>
                <w:sz w:val="20"/>
                <w:szCs w:val="20"/>
              </w:rPr>
              <w:t xml:space="preserve">310 000 FCFA</w:t>
            </w:r>
          </w:p>
        </w:tc>
        <w:tc>
          <w:tcPr>
            <w:tcW w:type="dxa" w:w="4600"/>
          </w:tcPr>
          <w:p>
            <w:r>
              <w:rPr>
                <w:b/>
                <w:bCs/>
                <w:color w:val="1E3A8A"/>
                <w:sz w:val="20"/>
                <w:szCs w:val="20"/>
              </w:rPr>
              <w:t xml:space="preserve">Évolutions optionnelles</w:t>
            </w:r>
          </w:p>
          <w:p>
            <w:r>
              <w:rPr>
                <w:sz w:val="20"/>
                <w:szCs w:val="20"/>
              </w:rPr>
              <w:t xml:space="preserve">180 000 FCFA (si retenues)</w:t>
            </w:r>
          </w:p>
        </w:tc>
      </w:tr>
    </w:tbl>
    <w:p>
      <w:pPr>
        <w:spacing w:before="200"/>
      </w:pPr>
    </w:p>
    <w:tbl>
      <w:tblPr>
        <w:tblW w:type="dxa" w:w="9200"/>
        <w:tblBorders>
          <w:top w:val="none"/>
          <w:left w:val="none"/>
          <w:bottom w:val="none"/>
          <w:right w:val="none"/>
          <w:insideH w:val="none"/>
          <w:insideV w:val="none"/>
        </w:tblBorders>
      </w:tblPr>
      <w:tblGrid>
        <w:gridCol w:w="4600"/>
        <w:gridCol w:w="4600"/>
      </w:tblGrid>
      <w:tr>
        <w:tc>
          <w:tcPr>
            <w:tcW w:type="dxa" w:w="4600"/>
          </w:tcPr>
          <w:p>
            <w:r>
              <w:rPr>
                <w:b/>
                <w:bCs/>
                <w:color w:val="1E3A8A"/>
                <w:sz w:val="20"/>
                <w:szCs w:val="20"/>
              </w:rPr>
              <w:t xml:space="preserve">Exploitation mensuelle estimée</w:t>
            </w:r>
          </w:p>
          <w:p>
            <w:r>
              <w:rPr>
                <w:sz w:val="20"/>
                <w:szCs w:val="20"/>
              </w:rPr>
              <w:t xml:space="preserve">≈ 27 000 FCFA/mois</w:t>
            </w:r>
          </w:p>
        </w:tc>
        <w:tc>
          <w:tcPr>
            <w:tcW w:type="dxa" w:w="4600"/>
          </w:tcPr>
          <w:p>
            <w:r>
              <w:rPr>
                <w:b/>
                <w:bCs/>
                <w:color w:val="1E3A8A"/>
                <w:sz w:val="20"/>
                <w:szCs w:val="20"/>
              </w:rPr>
              <w:t xml:space="preserve">Délai de réalisation estimé</w:t>
            </w:r>
          </w:p>
          <w:p>
            <w:r>
              <w:rPr>
                <w:sz w:val="20"/>
                <w:szCs w:val="20"/>
              </w:rPr>
              <w:t xml:space="preserve">≈ 31 jours ouvrés</w:t>
            </w:r>
          </w:p>
        </w:tc>
      </w:tr>
    </w:tbl>
    <w:p>
      <w:pPr>
        <w:pStyle w:val="Heading1"/>
        <w:pBdr>
          <w:bottom w:val="single" w:color="1D4ED8" w:sz="12" w:space="4"/>
        </w:pBdr>
        <w:spacing w:after="180" w:before="360"/>
      </w:pPr>
      <w:r>
        <w:rPr>
          <w:b/>
          <w:bCs/>
          <w:color w:val="1E3A8A"/>
          <w:sz w:val="30"/>
          <w:szCs w:val="30"/>
        </w:rPr>
        <w:t xml:space="preserve">9. Modalités</w:t>
      </w:r>
    </w:p>
    <w:p>
      <w:pPr>
        <w:pStyle w:val="ListParagraph"/>
        <w:numPr>
          <w:ilvl w:val="0"/>
          <w:numId w:val="2"/>
        </w:numPr>
        <w:spacing w:after="80"/>
      </w:pPr>
      <w:r>
        <w:rPr>
          <w:sz w:val="21"/>
          <w:szCs w:val="21"/>
        </w:rPr>
        <w:t xml:space="preserve">Paiement : 40 % à la commande, 30 % à la recette intermédiaire, 30 % à la livraison.</w:t>
      </w:r>
    </w:p>
    <w:p>
      <w:pPr>
        <w:pStyle w:val="ListParagraph"/>
        <w:numPr>
          <w:ilvl w:val="0"/>
          <w:numId w:val="2"/>
        </w:numPr>
        <w:spacing w:after="80"/>
      </w:pPr>
      <w:r>
        <w:rPr>
          <w:sz w:val="21"/>
          <w:szCs w:val="21"/>
        </w:rPr>
        <w:t xml:space="preserve">Garantie : 30 jours de corrections gratuites après mise en production.</w:t>
      </w:r>
    </w:p>
    <w:p>
      <w:pPr>
        <w:pStyle w:val="ListParagraph"/>
        <w:numPr>
          <w:ilvl w:val="0"/>
          <w:numId w:val="2"/>
        </w:numPr>
        <w:spacing w:after="80"/>
      </w:pPr>
      <w:r>
        <w:rPr>
          <w:sz w:val="21"/>
          <w:szCs w:val="21"/>
        </w:rPr>
        <w:t xml:space="preserve">Validité de la présente offre : 30 jours à compter de la date d'émission.</w:t>
      </w:r>
    </w:p>
    <w:p>
      <w:pPr>
        <w:spacing w:before="500"/>
      </w:pPr>
    </w:p>
    <w:p>
      <w:pPr>
        <w:spacing w:after="140" w:line="300"/>
      </w:pPr>
      <w:r>
        <w:rPr>
          <w:color w:val="64748B"/>
          <w:sz w:val="21"/>
          <w:szCs w:val="21"/>
        </w:rPr>
        <w:t xml:space="preserve">Nova Tech Solution SARL reste à disposition pour toute précision ou ajustement du présent cahier des charges.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Nova Tech Solution SARL — Page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SecurTrajet —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ad09af61ad62d6c0d28dd4735c7af6c349e2a2.jpg"/><Relationship Id="rId10" Type="http://schemas.openxmlformats.org/officeDocument/2006/relationships/image" Target="media/146df0a238e56cd2c1103a879121485d3d59ad44.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2026-08-28T11:14:40.841Z</dcterms:created>
  <dcterms:modified xsi:type="dcterms:W3CDTF">2026-08-28T11:14:40.841Z</dcterms:modified>
</cp:coreProperties>
</file>

<file path=docProps/custom.xml><?xml version="1.0" encoding="utf-8"?>
<Properties xmlns="http://schemas.openxmlformats.org/officeDocument/2006/custom-properties" xmlns:vt="http://schemas.openxmlformats.org/officeDocument/2006/docPropsVTypes"/>
</file>